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EA49C">
      <w:pPr>
        <w:pStyle w:val="2"/>
        <w:jc w:val="center"/>
        <w:rPr>
          <w:rFonts w:ascii="等线" w:hAnsi="等线" w:eastAsia="等线"/>
          <w:color w:val="auto"/>
          <w:sz w:val="32"/>
        </w:rPr>
      </w:pPr>
      <w:r>
        <w:rPr>
          <w:rFonts w:hint="eastAsia" w:ascii="等线" w:hAnsi="等线" w:eastAsia="等线"/>
          <w:color w:val="auto"/>
          <w:sz w:val="32"/>
        </w:rPr>
        <w:t>绍兴院区信息化建设项目软硬件基准</w:t>
      </w:r>
    </w:p>
    <w:p w14:paraId="7CA80E2C">
      <w:pPr>
        <w:rPr>
          <w:rFonts w:ascii="等线" w:hAnsi="等线" w:eastAsia="等线"/>
        </w:rPr>
      </w:pPr>
      <w:r>
        <w:rPr>
          <w:rFonts w:hint="eastAsia" w:ascii="等线" w:hAnsi="等线" w:eastAsia="等线"/>
        </w:rPr>
        <w:t>本基准围绕智慧医院整体规划与系统整合优化目标编制，作为各供应商编制响应方案的技术依据。供应商须逐条对照本基准说明达成方式，经信息工程部技术评审通过后，方可进入业务需求确认环节。</w:t>
      </w:r>
    </w:p>
    <w:p w14:paraId="0729DBD3">
      <w:pPr>
        <w:pStyle w:val="3"/>
        <w:jc w:val="center"/>
        <w:rPr>
          <w:rFonts w:ascii="等线" w:hAnsi="等线" w:eastAsia="等线"/>
          <w:b/>
          <w:color w:val="auto"/>
          <w:sz w:val="28"/>
        </w:rPr>
      </w:pPr>
      <w:r>
        <w:rPr>
          <w:rFonts w:hint="eastAsia" w:ascii="等线" w:hAnsi="等线" w:eastAsia="等线"/>
          <w:b/>
          <w:color w:val="auto"/>
          <w:sz w:val="28"/>
        </w:rPr>
        <w:t>一、软件方案技术与运维基准</w:t>
      </w:r>
    </w:p>
    <w:p w14:paraId="732E3024">
      <w:pPr>
        <w:rPr>
          <w:rFonts w:ascii="等线" w:hAnsi="等线" w:eastAsia="等线"/>
        </w:rPr>
      </w:pPr>
      <w:r>
        <w:rPr>
          <w:rFonts w:hint="eastAsia" w:ascii="等线" w:hAnsi="等线" w:eastAsia="等线"/>
        </w:rPr>
        <w:t>总体要求：绍兴院区软件方案应当以智慧医院整体规划与系统整合优化为导向，围绕双院区一体化运行、数据与业务流程统一管理、面向人工智能持续演进等核心目标进行建设。</w:t>
      </w:r>
    </w:p>
    <w:p w14:paraId="7CC70330">
      <w:pPr>
        <w:pStyle w:val="4"/>
        <w:rPr>
          <w:rFonts w:ascii="等线" w:hAnsi="等线" w:eastAsia="等线"/>
          <w:b/>
          <w:color w:val="auto"/>
          <w:sz w:val="24"/>
        </w:rPr>
      </w:pPr>
      <w:r>
        <w:rPr>
          <w:rFonts w:hint="eastAsia" w:ascii="等线" w:hAnsi="等线" w:eastAsia="等线"/>
          <w:b/>
          <w:color w:val="auto"/>
          <w:sz w:val="24"/>
        </w:rPr>
        <w:t>（一）数据与流程互通</w:t>
      </w:r>
    </w:p>
    <w:p w14:paraId="2734EF80">
      <w:pPr>
        <w:rPr>
          <w:rFonts w:ascii="等线" w:hAnsi="等线" w:eastAsia="等线"/>
        </w:rPr>
      </w:pPr>
      <w:r>
        <w:rPr>
          <w:rFonts w:ascii="等线" w:hAnsi="等线" w:eastAsia="等线"/>
        </w:rPr>
        <w:t>1. 核心业务系统（含医疗核心、检查检验、影像等）应当与本院现有核心信息系统实现数据实时互通和业务流程有效衔接，提供行业通用标准接口，支持</w:t>
      </w:r>
      <w:r>
        <w:rPr>
          <w:rFonts w:ascii="等线" w:hAnsi="等线" w:eastAsia="等线"/>
          <w:highlight w:val="none"/>
        </w:rPr>
        <w:t>双院区患者</w:t>
      </w:r>
      <w:r>
        <w:rPr>
          <w:rFonts w:hint="eastAsia" w:ascii="等线" w:hAnsi="等线" w:eastAsia="等线"/>
          <w:highlight w:val="none"/>
          <w:lang w:eastAsia="zh-CN"/>
        </w:rPr>
        <w:t>、</w:t>
      </w:r>
      <w:r>
        <w:rPr>
          <w:rFonts w:hint="eastAsia" w:ascii="等线" w:hAnsi="等线" w:eastAsia="等线"/>
          <w:highlight w:val="none"/>
          <w:lang w:val="en-US" w:eastAsia="zh-CN"/>
        </w:rPr>
        <w:t>职工等</w:t>
      </w:r>
      <w:r>
        <w:rPr>
          <w:rFonts w:ascii="等线" w:hAnsi="等线" w:eastAsia="等线"/>
          <w:highlight w:val="none"/>
        </w:rPr>
        <w:t>统一身份标识</w:t>
      </w:r>
      <w:r>
        <w:rPr>
          <w:rFonts w:ascii="等线" w:hAnsi="等线" w:eastAsia="等线"/>
        </w:rPr>
        <w:t>的建立与实时同步，不得形成信息孤岛。</w:t>
      </w:r>
    </w:p>
    <w:p w14:paraId="78BC25ED">
      <w:pPr>
        <w:rPr>
          <w:rFonts w:hint="eastAsia" w:ascii="等线" w:hAnsi="等线" w:eastAsia="等线"/>
          <w:lang w:val="en-US" w:eastAsia="zh-CN"/>
        </w:rPr>
      </w:pPr>
      <w:r>
        <w:rPr>
          <w:rFonts w:ascii="等线" w:hAnsi="等线" w:eastAsia="等线"/>
        </w:rPr>
        <w:t xml:space="preserve">2. </w:t>
      </w:r>
      <w:r>
        <w:rPr>
          <w:rFonts w:hint="eastAsia" w:ascii="等线" w:hAnsi="等线" w:eastAsia="等线"/>
          <w:lang w:val="en-US" w:eastAsia="zh-CN"/>
        </w:rPr>
        <w:t>信息</w:t>
      </w:r>
      <w:r>
        <w:rPr>
          <w:rFonts w:ascii="等线" w:hAnsi="等线" w:eastAsia="等线"/>
        </w:rPr>
        <w:t>系统应当具备标准接口互通能力，开放数据接口及字段说明文档</w:t>
      </w:r>
      <w:r>
        <w:rPr>
          <w:rFonts w:hint="eastAsia" w:ascii="等线" w:hAnsi="等线" w:eastAsia="等线"/>
          <w:lang w:eastAsia="zh-CN"/>
        </w:rPr>
        <w:t>，</w:t>
      </w:r>
      <w:r>
        <w:rPr>
          <w:rFonts w:hint="eastAsia" w:ascii="等线" w:hAnsi="等线" w:eastAsia="等线"/>
          <w:lang w:val="en-US" w:eastAsia="zh-CN"/>
        </w:rPr>
        <w:t>相关的秘钥及授权文件由医院统筹管理分发。</w:t>
      </w:r>
    </w:p>
    <w:p w14:paraId="5BEFC7CA">
      <w:pPr>
        <w:rPr>
          <w:rFonts w:ascii="等线" w:hAnsi="等线" w:eastAsia="等线"/>
        </w:rPr>
      </w:pPr>
      <w:r>
        <w:rPr>
          <w:rFonts w:ascii="等线" w:hAnsi="等线" w:eastAsia="等线"/>
        </w:rPr>
        <w:t>3. 供应商须</w:t>
      </w:r>
      <w:r>
        <w:rPr>
          <w:rFonts w:hint="eastAsia" w:ascii="等线" w:hAnsi="等线" w:eastAsia="等线"/>
          <w:lang w:val="en-US" w:eastAsia="zh-CN"/>
        </w:rPr>
        <w:t>按照医院统一管理要求</w:t>
      </w:r>
      <w:r>
        <w:rPr>
          <w:rFonts w:ascii="等线" w:hAnsi="等线" w:eastAsia="等线"/>
        </w:rPr>
        <w:t>提交完整的接口清单、数据字典</w:t>
      </w:r>
      <w:r>
        <w:rPr>
          <w:rFonts w:hint="eastAsia" w:ascii="等线" w:hAnsi="等线" w:eastAsia="等线"/>
          <w:lang w:val="en-US" w:eastAsia="zh-CN"/>
        </w:rPr>
        <w:t>等</w:t>
      </w:r>
      <w:r>
        <w:rPr>
          <w:rFonts w:ascii="等线" w:hAnsi="等线" w:eastAsia="等线"/>
        </w:rPr>
        <w:t>，以及与本院现有系统的对接方案（含改造工作量说明）。</w:t>
      </w:r>
    </w:p>
    <w:p w14:paraId="050DF962">
      <w:pPr>
        <w:pStyle w:val="4"/>
        <w:rPr>
          <w:rFonts w:ascii="等线" w:hAnsi="等线" w:eastAsia="等线"/>
          <w:b/>
          <w:color w:val="auto"/>
          <w:sz w:val="24"/>
        </w:rPr>
      </w:pPr>
      <w:r>
        <w:rPr>
          <w:rFonts w:hint="eastAsia" w:ascii="等线" w:hAnsi="等线" w:eastAsia="等线"/>
          <w:b/>
          <w:color w:val="auto"/>
          <w:sz w:val="24"/>
        </w:rPr>
        <w:t>（二）技术架构与管理要求</w:t>
      </w:r>
    </w:p>
    <w:p w14:paraId="387C7FAB">
      <w:pPr>
        <w:rPr>
          <w:rFonts w:hint="eastAsia" w:ascii="等线" w:hAnsi="等线" w:eastAsia="等线"/>
          <w:lang w:val="en-US" w:eastAsia="zh-CN"/>
        </w:rPr>
      </w:pPr>
      <w:r>
        <w:rPr>
          <w:rFonts w:ascii="等线" w:hAnsi="等线" w:eastAsia="等线"/>
        </w:rPr>
        <w:t>1. 日志管理：建立统一日志规范，操作、登录、接口调用、异常等信息应当完整留痕，集中采集并支持审计追溯。</w:t>
      </w:r>
      <w:r>
        <w:rPr>
          <w:rFonts w:hint="eastAsia" w:ascii="等线" w:hAnsi="等线" w:eastAsia="等线"/>
          <w:lang w:val="en-US" w:eastAsia="zh-CN"/>
        </w:rPr>
        <w:t>系统日志应按照医院统一要求管理和部署。</w:t>
      </w:r>
      <w:bookmarkStart w:id="0" w:name="_GoBack"/>
      <w:bookmarkEnd w:id="0"/>
    </w:p>
    <w:p w14:paraId="0E8B71C3">
      <w:pPr>
        <w:rPr>
          <w:rFonts w:ascii="等线" w:hAnsi="等线" w:eastAsia="等线"/>
        </w:rPr>
      </w:pPr>
      <w:r>
        <w:rPr>
          <w:rFonts w:ascii="等线" w:hAnsi="等线" w:eastAsia="等线"/>
        </w:rPr>
        <w:t>2. 安全合规：应当满足国家信息安全等级保护要求，实现操作行为可追溯、权限分级管控。杭州与绍兴两地医保数据应当隔离。</w:t>
      </w:r>
    </w:p>
    <w:p w14:paraId="6F976E3F">
      <w:pPr>
        <w:rPr>
          <w:rFonts w:ascii="等线" w:hAnsi="等线" w:eastAsia="等线"/>
        </w:rPr>
      </w:pPr>
      <w:r>
        <w:rPr>
          <w:rFonts w:ascii="等线" w:hAnsi="等线" w:eastAsia="等线"/>
        </w:rPr>
        <w:t>3. 运维管理：支持双院区统一运维监控，提供标准化部署及配置文档。关键配置参数</w:t>
      </w:r>
      <w:r>
        <w:rPr>
          <w:rFonts w:hint="eastAsia" w:ascii="等线" w:hAnsi="等线" w:eastAsia="等线"/>
          <w:lang w:val="en-US" w:eastAsia="zh-CN"/>
        </w:rPr>
        <w:t>及运维基础信息（包含数据库、服务器账号密码等）</w:t>
      </w:r>
      <w:r>
        <w:rPr>
          <w:rFonts w:ascii="等线" w:hAnsi="等线" w:eastAsia="等线"/>
        </w:rPr>
        <w:t>应当</w:t>
      </w:r>
      <w:r>
        <w:rPr>
          <w:rFonts w:hint="eastAsia" w:ascii="等线" w:hAnsi="等线" w:eastAsia="等线"/>
          <w:lang w:val="en-US" w:eastAsia="zh-CN"/>
        </w:rPr>
        <w:t>提供院方所有，</w:t>
      </w:r>
      <w:r>
        <w:rPr>
          <w:rFonts w:ascii="等线" w:hAnsi="等线" w:eastAsia="等线"/>
        </w:rPr>
        <w:t>支持由院方自主维护，不依赖供应商操作。</w:t>
      </w:r>
    </w:p>
    <w:p w14:paraId="15E1DDC8">
      <w:pPr>
        <w:rPr>
          <w:rFonts w:ascii="等线" w:hAnsi="等线" w:eastAsia="等线"/>
        </w:rPr>
      </w:pPr>
      <w:r>
        <w:rPr>
          <w:rFonts w:hint="eastAsia" w:ascii="等线" w:hAnsi="等线" w:eastAsia="等线"/>
          <w:lang w:val="en-US" w:eastAsia="zh-CN"/>
        </w:rPr>
        <w:t>4.</w:t>
      </w:r>
      <w:r>
        <w:rPr>
          <w:rFonts w:ascii="等线" w:hAnsi="等线" w:eastAsia="等线"/>
        </w:rPr>
        <w:t>系统</w:t>
      </w:r>
      <w:r>
        <w:rPr>
          <w:rFonts w:hint="eastAsia" w:ascii="等线" w:hAnsi="等线" w:eastAsia="等线"/>
          <w:lang w:val="en-US" w:eastAsia="zh-CN"/>
        </w:rPr>
        <w:t>必须支持</w:t>
      </w:r>
      <w:r>
        <w:rPr>
          <w:rFonts w:ascii="等线" w:hAnsi="等线" w:eastAsia="等线"/>
        </w:rPr>
        <w:t>统一身份认证的登录方式。</w:t>
      </w:r>
    </w:p>
    <w:p w14:paraId="4CB3B83C">
      <w:pPr>
        <w:rPr>
          <w:rFonts w:hint="eastAsia" w:ascii="等线" w:hAnsi="等线" w:eastAsia="等线"/>
          <w:lang w:val="en-US" w:eastAsia="zh-CN"/>
        </w:rPr>
      </w:pPr>
      <w:r>
        <w:rPr>
          <w:rFonts w:hint="eastAsia" w:ascii="等线" w:hAnsi="等线" w:eastAsia="等线"/>
          <w:lang w:val="en-US" w:eastAsia="zh-CN"/>
        </w:rPr>
        <w:t>5.系统必须提供信创部署方案。</w:t>
      </w:r>
    </w:p>
    <w:p w14:paraId="2073B29D">
      <w:pPr>
        <w:pStyle w:val="4"/>
        <w:rPr>
          <w:rFonts w:ascii="等线" w:hAnsi="等线" w:eastAsia="等线"/>
          <w:b/>
          <w:color w:val="auto"/>
          <w:sz w:val="24"/>
        </w:rPr>
      </w:pPr>
      <w:r>
        <w:rPr>
          <w:rFonts w:hint="eastAsia" w:ascii="等线" w:hAnsi="等线" w:eastAsia="等线"/>
          <w:b/>
          <w:color w:val="auto"/>
          <w:sz w:val="24"/>
        </w:rPr>
        <w:t>（三）人工智能对接准备</w:t>
      </w:r>
    </w:p>
    <w:p w14:paraId="6F234B35">
      <w:pPr>
        <w:rPr>
          <w:rFonts w:ascii="等线" w:hAnsi="等线" w:eastAsia="等线"/>
        </w:rPr>
      </w:pPr>
      <w:r>
        <w:rPr>
          <w:rFonts w:ascii="等线" w:hAnsi="等线" w:eastAsia="等线"/>
        </w:rPr>
        <w:t>1. 系统应当支持接入医院统一人工智能管理平台，智能模型和智能应用须通过统一节点调用，不得各自封闭部署。</w:t>
      </w:r>
    </w:p>
    <w:p w14:paraId="589CF0C7">
      <w:pPr>
        <w:rPr>
          <w:rFonts w:ascii="等线" w:hAnsi="等线" w:eastAsia="等线"/>
        </w:rPr>
      </w:pPr>
      <w:r>
        <w:rPr>
          <w:rFonts w:ascii="等线" w:hAnsi="等线" w:eastAsia="等线"/>
        </w:rPr>
        <w:t>2. 核心业务数据应当结构化存储，术语编码应当统一规范（符合医院主数据标准），为人工智能应用做好数据基础准备。</w:t>
      </w:r>
    </w:p>
    <w:p w14:paraId="0E47ACA1">
      <w:pPr>
        <w:rPr>
          <w:rFonts w:ascii="等线" w:hAnsi="等线" w:eastAsia="等线"/>
        </w:rPr>
      </w:pPr>
      <w:r>
        <w:rPr>
          <w:rFonts w:ascii="等线" w:hAnsi="等线" w:eastAsia="等线"/>
        </w:rPr>
        <w:t>3. 供应商须提供智能模型及智能应用在接入、权限管理、停用退出等方面的标准接口与操作规范。</w:t>
      </w:r>
    </w:p>
    <w:p w14:paraId="47595AE1">
      <w:pPr>
        <w:rPr>
          <w:rFonts w:ascii="等线" w:hAnsi="等线" w:eastAsia="等线"/>
        </w:rPr>
      </w:pPr>
      <w:r>
        <w:rPr>
          <w:rFonts w:ascii="等线" w:hAnsi="等线" w:eastAsia="等线"/>
        </w:rPr>
        <w:t>4. 训练数据及人工智能产出成果（含标注成果）的知识产权归医院所有，应当支持完整迁移导出。</w:t>
      </w:r>
    </w:p>
    <w:p w14:paraId="4440C011">
      <w:pPr>
        <w:rPr>
          <w:rFonts w:ascii="等线" w:hAnsi="等线" w:eastAsia="等线"/>
        </w:rPr>
      </w:pPr>
      <w:r>
        <w:rPr>
          <w:rFonts w:ascii="等线" w:hAnsi="等线" w:eastAsia="等线"/>
        </w:rPr>
        <w:t>5.【加分项】面向人工智能编排的能力开放设计：鼓励供应商将系统核心功能拆解为职责单一、输入输出标准化的最小执行单元，并提供可视化结果呈现。上述功能单元应当以附带业务含义说明和机器可读声明的标准化方式对外开放，便于人工智能平台理解与发现。支持医院人工智能平台根据临床场景需求，自动识别、选择、组合与调度上述功能单元完成任务并整合呈现结果。各功能单元应当具有清晰的权限与审计边界，可由医院统一人工智能管理平台统一调度。</w:t>
      </w:r>
    </w:p>
    <w:p w14:paraId="6AE4D889">
      <w:pPr>
        <w:rPr>
          <w:rFonts w:ascii="等线" w:hAnsi="等线" w:eastAsia="等线"/>
        </w:rPr>
      </w:pPr>
      <w:r>
        <w:rPr>
          <w:rFonts w:hint="eastAsia" w:ascii="等线" w:hAnsi="等线" w:eastAsia="等线"/>
        </w:rPr>
        <w:t>评估要点：功能拆解的粒度与复用性；声明的标准化与可发现性；人工智能按需求自动调度组合的支持能力；结果呈现与医院人工智能平台的对接能力。</w:t>
      </w:r>
    </w:p>
    <w:p w14:paraId="217F67C6">
      <w:pPr>
        <w:pStyle w:val="4"/>
        <w:rPr>
          <w:rFonts w:ascii="等线" w:hAnsi="等线" w:eastAsia="等线"/>
          <w:b/>
          <w:color w:val="auto"/>
          <w:sz w:val="24"/>
        </w:rPr>
      </w:pPr>
      <w:r>
        <w:rPr>
          <w:rFonts w:hint="eastAsia" w:ascii="等线" w:hAnsi="等线" w:eastAsia="等线"/>
          <w:b/>
          <w:color w:val="auto"/>
          <w:sz w:val="24"/>
        </w:rPr>
        <w:t>（四）数据资产与归属</w:t>
      </w:r>
    </w:p>
    <w:p w14:paraId="35222C4E">
      <w:pPr>
        <w:rPr>
          <w:rFonts w:hint="eastAsia" w:ascii="等线" w:hAnsi="等线" w:eastAsia="等线"/>
          <w:lang w:val="en-US" w:eastAsia="zh-CN"/>
        </w:rPr>
      </w:pPr>
      <w:r>
        <w:rPr>
          <w:rFonts w:ascii="等线" w:hAnsi="等线" w:eastAsia="等线"/>
        </w:rPr>
        <w:t>业务数据所有权归医院所有。系统应当支持以标准格式完整导出和迁移。供应商退出服务时，应当完整返还全部数据（含中间过程产物），不得以任何理由扣留数据。</w:t>
      </w:r>
      <w:r>
        <w:rPr>
          <w:rFonts w:hint="eastAsia" w:ascii="等线" w:hAnsi="等线" w:eastAsia="等线"/>
          <w:lang w:val="en-US" w:eastAsia="zh-CN"/>
        </w:rPr>
        <w:t>医院与供应商共同开发部分</w:t>
      </w:r>
    </w:p>
    <w:p w14:paraId="66139F03">
      <w:pPr>
        <w:pStyle w:val="4"/>
        <w:rPr>
          <w:rFonts w:ascii="等线" w:hAnsi="等线" w:eastAsia="等线"/>
          <w:b/>
          <w:color w:val="auto"/>
          <w:sz w:val="24"/>
        </w:rPr>
      </w:pPr>
      <w:r>
        <w:rPr>
          <w:rFonts w:hint="eastAsia" w:ascii="等线" w:hAnsi="等线" w:eastAsia="等线"/>
          <w:b/>
          <w:color w:val="auto"/>
          <w:sz w:val="24"/>
        </w:rPr>
        <w:t>（五）实施与验收</w:t>
      </w:r>
    </w:p>
    <w:p w14:paraId="4B4D851D">
      <w:pPr>
        <w:rPr>
          <w:rFonts w:ascii="等线" w:hAnsi="等线" w:eastAsia="等线"/>
        </w:rPr>
      </w:pPr>
      <w:r>
        <w:rPr>
          <w:rFonts w:ascii="等线" w:hAnsi="等线" w:eastAsia="等线"/>
        </w:rPr>
        <w:t>1. 时间要求：须满足绍兴院区开业运行的实施周期，供应商应当提交分阶段里程碑计划。</w:t>
      </w:r>
    </w:p>
    <w:p w14:paraId="33A78DA0">
      <w:pPr>
        <w:rPr>
          <w:rFonts w:ascii="等线" w:hAnsi="等线" w:eastAsia="等线"/>
        </w:rPr>
      </w:pPr>
      <w:r>
        <w:rPr>
          <w:rFonts w:ascii="等线" w:hAnsi="等线" w:eastAsia="等线"/>
        </w:rPr>
        <w:t>2. 分阶段技术验收：数据互通、数据归属、安全隔离为关键验收项（一票否决）——上述事项不达标的，不予验收、不予付款。</w:t>
      </w:r>
    </w:p>
    <w:p w14:paraId="12A785DA">
      <w:pPr>
        <w:pStyle w:val="3"/>
        <w:jc w:val="center"/>
        <w:rPr>
          <w:rFonts w:ascii="等线" w:hAnsi="等线" w:eastAsia="等线"/>
          <w:b/>
          <w:color w:val="auto"/>
          <w:sz w:val="28"/>
        </w:rPr>
      </w:pPr>
      <w:r>
        <w:rPr>
          <w:rFonts w:hint="eastAsia" w:ascii="等线" w:hAnsi="等线" w:eastAsia="等线"/>
          <w:b/>
          <w:color w:val="auto"/>
          <w:sz w:val="28"/>
        </w:rPr>
        <w:t>二、硬件方案技术与质量基准</w:t>
      </w:r>
    </w:p>
    <w:p w14:paraId="425181FC">
      <w:pPr>
        <w:rPr>
          <w:rFonts w:ascii="等线" w:hAnsi="等线" w:eastAsia="等线"/>
        </w:rPr>
      </w:pPr>
      <w:r>
        <w:rPr>
          <w:rFonts w:hint="eastAsia" w:ascii="等线" w:hAnsi="等线" w:eastAsia="等线"/>
        </w:rPr>
        <w:t>总体要求：硬件方案应当保障核心业务系统与人工智能应用的运行性能，支持双院区统一运维管理，满足安全合规与质量要求。选型以性能与兼容性优先，信息技术应用创新（信创）产品作为加分项。</w:t>
      </w:r>
    </w:p>
    <w:p w14:paraId="11EE88C8">
      <w:pPr>
        <w:pStyle w:val="4"/>
        <w:rPr>
          <w:rFonts w:ascii="等线" w:hAnsi="等线" w:eastAsia="等线"/>
          <w:b/>
          <w:color w:val="auto"/>
          <w:sz w:val="24"/>
        </w:rPr>
      </w:pPr>
      <w:r>
        <w:rPr>
          <w:rFonts w:hint="eastAsia" w:ascii="等线" w:hAnsi="等线" w:eastAsia="等线"/>
          <w:b/>
          <w:color w:val="auto"/>
          <w:sz w:val="24"/>
        </w:rPr>
        <w:t>（一）性能与容量要求</w:t>
      </w:r>
    </w:p>
    <w:p w14:paraId="38CCE3F4">
      <w:pPr>
        <w:rPr>
          <w:rFonts w:ascii="等线" w:hAnsi="等线" w:eastAsia="等线"/>
        </w:rPr>
      </w:pPr>
      <w:r>
        <w:rPr>
          <w:rFonts w:ascii="等线" w:hAnsi="等线" w:eastAsia="等线"/>
        </w:rPr>
        <w:t>1. 计算和存储资源应当满足核心业务系统及人工智能推理、数据处理等负载需求，供应商须提交容量规划及扩展方案。关键系统应当具备高可用保障能力（含冗余备份和容灾方案），系统恢复时间和数据恢复点指标应当达到约定标准。</w:t>
      </w:r>
    </w:p>
    <w:p w14:paraId="2426BDE0">
      <w:pPr>
        <w:pStyle w:val="4"/>
        <w:rPr>
          <w:rFonts w:ascii="等线" w:hAnsi="等线" w:eastAsia="等线"/>
          <w:b/>
          <w:color w:val="auto"/>
          <w:sz w:val="24"/>
        </w:rPr>
      </w:pPr>
      <w:r>
        <w:rPr>
          <w:rFonts w:hint="eastAsia" w:ascii="等线" w:hAnsi="等线" w:eastAsia="等线"/>
          <w:b/>
          <w:color w:val="auto"/>
          <w:sz w:val="24"/>
        </w:rPr>
        <w:t>（二）兼容与统一运维</w:t>
      </w:r>
    </w:p>
    <w:p w14:paraId="30E1F502">
      <w:pPr>
        <w:rPr>
          <w:rFonts w:ascii="等线" w:hAnsi="等线" w:eastAsia="等线"/>
        </w:rPr>
      </w:pPr>
      <w:r>
        <w:rPr>
          <w:rFonts w:ascii="等线" w:hAnsi="等线" w:eastAsia="等线"/>
        </w:rPr>
        <w:t>1. 硬件设备应当与本院现有技术架构兼容，支持双院区统一监控运维。供应商须提供标准化配置及运维文档。</w:t>
      </w:r>
    </w:p>
    <w:p w14:paraId="7A2C8BA5">
      <w:pPr>
        <w:rPr>
          <w:rFonts w:ascii="等线" w:hAnsi="等线" w:eastAsia="等线"/>
        </w:rPr>
      </w:pPr>
      <w:r>
        <w:rPr>
          <w:rFonts w:ascii="等线" w:hAnsi="等线" w:eastAsia="等线"/>
        </w:rPr>
        <w:t>2. 终端及外围设备（如移动手持终端、护理推车、自助服务终端、诊间显示屏等）应当与业务系统完成适配验证。</w:t>
      </w:r>
    </w:p>
    <w:p w14:paraId="6EE2B217">
      <w:pPr>
        <w:pStyle w:val="4"/>
        <w:rPr>
          <w:rFonts w:ascii="等线" w:hAnsi="等线" w:eastAsia="等线"/>
          <w:b/>
          <w:color w:val="auto"/>
          <w:sz w:val="24"/>
        </w:rPr>
      </w:pPr>
      <w:r>
        <w:rPr>
          <w:rFonts w:hint="eastAsia" w:ascii="等线" w:hAnsi="等线" w:eastAsia="等线"/>
          <w:b/>
          <w:color w:val="auto"/>
          <w:sz w:val="24"/>
        </w:rPr>
        <w:t>（三）网络与安全</w:t>
      </w:r>
    </w:p>
    <w:p w14:paraId="265014B0">
      <w:pPr>
        <w:rPr>
          <w:rFonts w:ascii="等线" w:hAnsi="等线" w:eastAsia="等线"/>
        </w:rPr>
      </w:pPr>
      <w:r>
        <w:rPr>
          <w:rFonts w:ascii="等线" w:hAnsi="等线" w:eastAsia="等线"/>
        </w:rPr>
        <w:t>1. 网络及安全设备（含防火墙、应用安全防护、访问控制、安全审计、运维管理等）应当满足国家信息安全等级保护要求。</w:t>
      </w:r>
    </w:p>
    <w:p w14:paraId="23CEC8C6">
      <w:pPr>
        <w:pStyle w:val="4"/>
        <w:rPr>
          <w:rFonts w:ascii="等线" w:hAnsi="等线" w:eastAsia="等线"/>
          <w:b/>
          <w:color w:val="auto"/>
          <w:sz w:val="24"/>
        </w:rPr>
      </w:pPr>
      <w:r>
        <w:rPr>
          <w:rFonts w:hint="eastAsia" w:ascii="等线" w:hAnsi="等线" w:eastAsia="等线"/>
          <w:b/>
          <w:color w:val="auto"/>
          <w:sz w:val="24"/>
        </w:rPr>
        <w:t>（四）信息技术应用创新（加分项）</w:t>
      </w:r>
    </w:p>
    <w:p w14:paraId="2821DE89">
      <w:pPr>
        <w:rPr>
          <w:rFonts w:ascii="等线" w:hAnsi="等线" w:eastAsia="等线"/>
        </w:rPr>
      </w:pPr>
      <w:r>
        <w:rPr>
          <w:rFonts w:ascii="等线" w:hAnsi="等线" w:eastAsia="等线"/>
        </w:rPr>
        <w:t>1. 服务器、存储、网络设备的信创适配作为加分项评审，不作为一票否决条件。如供应商选用信创产品，须提交与核心业务系统及人工智能应用的适配验证报告和性能保障承诺。</w:t>
      </w:r>
    </w:p>
    <w:p w14:paraId="2234D1DE">
      <w:pPr>
        <w:pStyle w:val="4"/>
        <w:rPr>
          <w:rFonts w:ascii="等线" w:hAnsi="等线" w:eastAsia="等线"/>
          <w:b/>
          <w:color w:val="auto"/>
          <w:sz w:val="24"/>
        </w:rPr>
      </w:pPr>
      <w:r>
        <w:rPr>
          <w:rFonts w:hint="eastAsia" w:ascii="等线" w:hAnsi="等线" w:eastAsia="等线"/>
          <w:b/>
          <w:color w:val="auto"/>
          <w:sz w:val="24"/>
        </w:rPr>
        <w:t>（五）质保与验收</w:t>
      </w:r>
    </w:p>
    <w:p w14:paraId="295F44E9">
      <w:pPr>
        <w:rPr>
          <w:rFonts w:ascii="等线" w:hAnsi="等线" w:eastAsia="等线"/>
        </w:rPr>
      </w:pPr>
      <w:r>
        <w:rPr>
          <w:rFonts w:ascii="等线" w:hAnsi="等线" w:eastAsia="等线"/>
        </w:rPr>
        <w:t>1. 供应商应当明确质保年限、故障响应时效、备品备件保障等服务承诺。采用分阶段到货验收方式，性能及兼容性等关键指标不达标的，不予验收、不予付款。</w:t>
      </w:r>
    </w:p>
    <w:p w14:paraId="6489CEFB">
      <w:pPr>
        <w:rPr>
          <w:rFonts w:ascii="等线" w:hAnsi="等线" w:eastAsia="等线"/>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A7B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006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5F9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799C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6F69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719D">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29"/>
    <w:rsid w:val="00002629"/>
    <w:rsid w:val="001C5D03"/>
    <w:rsid w:val="005141CE"/>
    <w:rsid w:val="005309A5"/>
    <w:rsid w:val="007533C5"/>
    <w:rsid w:val="00A439F1"/>
    <w:rsid w:val="00AE4FEF"/>
    <w:rsid w:val="00B46FFB"/>
    <w:rsid w:val="044D4B71"/>
    <w:rsid w:val="0645183E"/>
    <w:rsid w:val="177111E1"/>
    <w:rsid w:val="2131231A"/>
    <w:rsid w:val="41480796"/>
    <w:rsid w:val="419172DB"/>
    <w:rsid w:val="53942677"/>
    <w:rsid w:val="5A365079"/>
    <w:rsid w:val="61E562CF"/>
    <w:rsid w:val="6C944351"/>
    <w:rsid w:val="6E5F5463"/>
    <w:rsid w:val="77F90543"/>
    <w:rsid w:val="7D3D5D84"/>
    <w:rsid w:val="7F96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customStyle="1"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customStyle="1"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1891</Words>
  <Characters>1912</Characters>
  <Lines>53</Lines>
  <Paragraphs>30</Paragraphs>
  <TotalTime>3</TotalTime>
  <ScaleCrop>false</ScaleCrop>
  <LinksUpToDate>false</LinksUpToDate>
  <CharactersWithSpaces>1930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2026-06-12T00:44:00Z</dcterms:created>
  <dc:creator>zhen meng</dc:creator>
  <cp:lastModifiedBy>朱朱</cp:lastModifiedBy>
  <dcterms:modified xsi:type="dcterms:W3CDTF">2026-06-12T07:43:35Z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eyJoZGlkIjoiZTg0ZTgyMjRhNDdhNzJhN2M4ODE3MTQxNjdmZTc3YjEiLCJ1c2VySWQiOiI0OTczNzg1NDIifQ==</vt:lpwstr>
  </property>
  <property fmtid="{D5CDD505-2E9C-101B-9397-08002B2CF9AE}" pid="3" name="KSOProductBuildVer">
    <vt:lpwstr>2052-12.1.0.26895</vt:lpwstr>
  </property>
  <property fmtid="{D5CDD505-2E9C-101B-9397-08002B2CF9AE}" pid="4" name="ICV">
    <vt:lpwstr>B3547679182A427289A227BB61E2F5EE_12</vt:lpwstr>
  </property>
</Properties>
</file>