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5CD5D">
      <w:pPr>
        <w:pStyle w:val="4"/>
        <w:bidi w:val="0"/>
        <w:ind w:left="0" w:leftChars="0" w:firstLine="0" w:firstLineChars="0"/>
        <w:rPr>
          <w:rFonts w:hint="eastAsia"/>
          <w:lang w:val="en-US" w:eastAsia="zh-CN"/>
        </w:rPr>
      </w:pPr>
      <w:r>
        <w:rPr>
          <w:rFonts w:hint="eastAsia"/>
          <w:lang w:val="en-US" w:eastAsia="zh-CN"/>
        </w:rPr>
        <w:t>用户需求书（含评分标准）</w:t>
      </w:r>
    </w:p>
    <w:p w14:paraId="20758E99">
      <w:pPr>
        <w:pStyle w:val="5"/>
        <w:bidi w:val="0"/>
        <w:rPr>
          <w:rFonts w:hint="eastAsia"/>
          <w:lang w:val="en-US" w:eastAsia="zh-CN"/>
        </w:rPr>
      </w:pPr>
      <w:r>
        <w:rPr>
          <w:rFonts w:hint="eastAsia"/>
          <w:lang w:val="en-US" w:eastAsia="zh-CN"/>
        </w:rPr>
        <w:t>项目概述</w:t>
      </w:r>
    </w:p>
    <w:p w14:paraId="6E73C6AA">
      <w:pPr>
        <w:pStyle w:val="6"/>
        <w:bidi w:val="0"/>
        <w:rPr>
          <w:rFonts w:hint="eastAsia"/>
          <w:lang w:val="en-US" w:eastAsia="zh-CN"/>
        </w:rPr>
      </w:pPr>
      <w:r>
        <w:rPr>
          <w:rFonts w:hint="eastAsia"/>
          <w:lang w:val="en-US" w:eastAsia="zh-CN"/>
        </w:rPr>
        <w:t>项目背景</w:t>
      </w:r>
    </w:p>
    <w:p w14:paraId="739E36D3">
      <w:pPr>
        <w:bidi w:val="0"/>
        <w:rPr>
          <w:rFonts w:hint="default"/>
        </w:rPr>
      </w:pPr>
      <w:r>
        <w:rPr>
          <w:rFonts w:hint="eastAsia"/>
          <w:lang w:val="en-US" w:eastAsia="zh-CN"/>
        </w:rPr>
        <w:t>因医院</w:t>
      </w:r>
      <w:r>
        <w:rPr>
          <w:rFonts w:hint="default"/>
        </w:rPr>
        <w:t>内外围交通环境复杂，早晚高峰及就诊时段拥堵严重。目前交通巡查主要依靠人工步行或车载巡逻，覆盖范围有限、盲区多、夜间及复杂路况识别能力弱；院区安防依赖固定监控和门禁，尚未部署任何空中巡查设备，高层楼顶、偏僻角落、消防通道等重点区域存在巡查盲区。</w:t>
      </w:r>
    </w:p>
    <w:p w14:paraId="009713E8">
      <w:pPr>
        <w:bidi w:val="0"/>
        <w:rPr>
          <w:rFonts w:hint="eastAsia"/>
          <w:lang w:val="en-US" w:eastAsia="zh-CN"/>
        </w:rPr>
      </w:pPr>
      <w:r>
        <w:rPr>
          <w:rFonts w:hint="default"/>
        </w:rPr>
        <w:t>为精准把脉交通态势、提升安防消防管控水平，拟建设无人机智能化巡检系统，通过“空中巡查+地面联动”模式，填补人力巡查盲区，提升交通管理、安防监控和消防应急的智能化水平。</w:t>
      </w:r>
    </w:p>
    <w:p w14:paraId="4EA1A991">
      <w:pPr>
        <w:pStyle w:val="6"/>
        <w:bidi w:val="0"/>
        <w:rPr>
          <w:rFonts w:hint="eastAsia"/>
          <w:lang w:val="en-US" w:eastAsia="zh-CN"/>
        </w:rPr>
      </w:pPr>
      <w:r>
        <w:rPr>
          <w:rFonts w:hint="eastAsia"/>
          <w:lang w:val="en-US" w:eastAsia="zh-CN"/>
        </w:rPr>
        <w:t>建设目标</w:t>
      </w:r>
    </w:p>
    <w:p w14:paraId="2E076AAA">
      <w:pPr>
        <w:bidi w:val="0"/>
        <w:rPr>
          <w:rFonts w:hint="eastAsia"/>
          <w:lang w:val="en-US" w:eastAsia="zh-CN"/>
        </w:rPr>
      </w:pPr>
      <w:r>
        <w:rPr>
          <w:rFonts w:hint="eastAsia"/>
          <w:lang w:val="en-US" w:eastAsia="zh-CN"/>
        </w:rPr>
        <w:t>（一）交通管理</w:t>
      </w:r>
      <w:r>
        <w:rPr>
          <w:rFonts w:hint="eastAsia"/>
          <w:lang w:val="en-US" w:eastAsia="zh-CN"/>
        </w:rPr>
        <w:br w:type="textWrapping"/>
      </w:r>
      <w:r>
        <w:rPr>
          <w:rFonts w:hint="eastAsia"/>
          <w:lang w:val="en-US" w:eastAsia="zh-CN"/>
        </w:rPr>
        <w:t>利用无人机对医院内外围道路开展高频次空中巡查，实时回传交通态势（车流密度、排队长度等），实现道路100%空中可视覆盖，辅助指挥中心科学调度，实现交通疏导智能化、精细化。</w:t>
      </w:r>
    </w:p>
    <w:p w14:paraId="24EF5B2A">
      <w:pPr>
        <w:bidi w:val="0"/>
        <w:rPr>
          <w:rFonts w:hint="eastAsia"/>
          <w:lang w:val="en-US" w:eastAsia="zh-CN"/>
        </w:rPr>
      </w:pPr>
      <w:r>
        <w:rPr>
          <w:rFonts w:hint="eastAsia"/>
          <w:lang w:val="en-US" w:eastAsia="zh-CN"/>
        </w:rPr>
        <w:t>（二）安防防控</w:t>
      </w:r>
      <w:r>
        <w:rPr>
          <w:rFonts w:hint="eastAsia"/>
          <w:lang w:val="en-US" w:eastAsia="zh-CN"/>
        </w:rPr>
        <w:br w:type="textWrapping"/>
      </w:r>
      <w:r>
        <w:rPr>
          <w:rFonts w:hint="eastAsia"/>
          <w:lang w:val="en-US" w:eastAsia="zh-CN"/>
        </w:rPr>
        <w:t>对院区出入口、停车场、偏僻角落、危险品库房等重点区域开展常态化空中巡逻，实时监控人流、排查可疑行为，突发事件时可快速升空取证，震慑违法滋事行为，弥补地面安保盲区。</w:t>
      </w:r>
    </w:p>
    <w:p w14:paraId="4811E742">
      <w:pPr>
        <w:bidi w:val="0"/>
        <w:rPr>
          <w:rFonts w:hint="eastAsia"/>
          <w:lang w:val="en-US" w:eastAsia="zh-CN"/>
        </w:rPr>
      </w:pPr>
      <w:r>
        <w:rPr>
          <w:rFonts w:hint="eastAsia"/>
          <w:lang w:val="en-US" w:eastAsia="zh-CN"/>
        </w:rPr>
        <w:t>（三）消防管控</w:t>
      </w:r>
      <w:r>
        <w:rPr>
          <w:rFonts w:hint="eastAsia"/>
          <w:lang w:val="en-US" w:eastAsia="zh-CN"/>
        </w:rPr>
        <w:br w:type="textWrapping"/>
      </w:r>
      <w:r>
        <w:rPr>
          <w:rFonts w:hint="eastAsia"/>
          <w:lang w:val="en-US" w:eastAsia="zh-CN"/>
        </w:rPr>
        <w:t>对高层建筑楼顶、外墙、消防通道、易燃易爆区域等盲区开展常态化巡检，精准排查线路老化、通道堵塞等隐患；火灾时通过热成像快速定位火源、搜寻被困人员，实时回传现场情况，支撑应急救援。</w:t>
      </w:r>
    </w:p>
    <w:p w14:paraId="006D94CC">
      <w:pPr>
        <w:bidi w:val="0"/>
        <w:rPr>
          <w:rFonts w:hint="eastAsia"/>
          <w:lang w:val="en-US" w:eastAsia="zh-CN"/>
        </w:rPr>
      </w:pPr>
      <w:r>
        <w:rPr>
          <w:rFonts w:hint="eastAsia"/>
          <w:lang w:val="en-US" w:eastAsia="zh-CN"/>
        </w:rPr>
        <w:t>（四）应急响应</w:t>
      </w:r>
      <w:r>
        <w:rPr>
          <w:rFonts w:hint="eastAsia"/>
          <w:lang w:val="en-US" w:eastAsia="zh-CN"/>
        </w:rPr>
        <w:br w:type="textWrapping"/>
      </w:r>
      <w:r>
        <w:rPr>
          <w:rFonts w:hint="eastAsia"/>
          <w:lang w:val="en-US" w:eastAsia="zh-CN"/>
        </w:rPr>
        <w:t>构建空地一体化应急联动机制，突发事件时无人机先行抵近侦察，实时回传影像，辅助指挥中心快速研判、科学调度，提升响应处置效率。</w:t>
      </w:r>
    </w:p>
    <w:p w14:paraId="6419B0C4">
      <w:pPr>
        <w:pStyle w:val="5"/>
        <w:bidi w:val="0"/>
        <w:rPr>
          <w:rFonts w:hint="default"/>
          <w:lang w:val="en-US" w:eastAsia="zh-CN"/>
        </w:rPr>
      </w:pPr>
      <w:r>
        <w:rPr>
          <w:rFonts w:hint="eastAsia"/>
          <w:lang w:val="en-US" w:eastAsia="zh-CN"/>
        </w:rPr>
        <w:t>采购需求</w:t>
      </w:r>
    </w:p>
    <w:p w14:paraId="24AA6E41">
      <w:pPr>
        <w:pStyle w:val="6"/>
        <w:bidi w:val="0"/>
        <w:rPr>
          <w:rFonts w:hint="eastAsia"/>
          <w:lang w:val="en-US" w:eastAsia="zh-CN"/>
        </w:rPr>
      </w:pPr>
      <w:r>
        <w:rPr>
          <w:rStyle w:val="16"/>
          <w:rFonts w:hint="eastAsia" w:ascii="Times New Roman" w:hAnsi="宋体" w:eastAsia="宋体" w:cs="Times New Roman"/>
          <w:b/>
          <w:bCs w:val="0"/>
          <w:i w:val="0"/>
          <w:kern w:val="0"/>
          <w:sz w:val="24"/>
          <w:szCs w:val="20"/>
          <w:lang w:eastAsia="zh-CN"/>
        </w:rPr>
        <w:t>采购清单</w:t>
      </w:r>
      <w:r>
        <w:rPr>
          <w:rStyle w:val="16"/>
          <w:rFonts w:hint="eastAsia" w:ascii="Times New Roman" w:hAnsi="宋体" w:eastAsia="宋体" w:cs="Times New Roman"/>
          <w:b/>
          <w:bCs w:val="0"/>
          <w:i w:val="0"/>
          <w:kern w:val="0"/>
          <w:sz w:val="24"/>
          <w:szCs w:val="20"/>
          <w:lang w:val="en-US" w:eastAsia="zh-CN"/>
        </w:rPr>
        <w:t>及</w:t>
      </w:r>
      <w:r>
        <w:rPr>
          <w:rFonts w:hint="eastAsia" w:ascii="宋体" w:hAnsi="宋体" w:eastAsia="宋体" w:cs="Times New Roman"/>
          <w:b/>
          <w:bCs w:val="0"/>
          <w:kern w:val="0"/>
          <w:sz w:val="24"/>
          <w:szCs w:val="24"/>
        </w:rPr>
        <w:t>技术参数</w:t>
      </w:r>
      <w:r>
        <w:rPr>
          <w:rFonts w:hint="eastAsia" w:ascii="宋体" w:hAnsi="宋体" w:eastAsia="宋体" w:cs="Times New Roman"/>
          <w:b/>
          <w:bCs w:val="0"/>
          <w:kern w:val="0"/>
          <w:sz w:val="24"/>
          <w:szCs w:val="24"/>
          <w:lang w:val="en-US" w:eastAsia="zh-CN"/>
        </w:rPr>
        <w:t>要求</w:t>
      </w:r>
    </w:p>
    <w:tbl>
      <w:tblPr>
        <w:tblStyle w:val="1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74"/>
        <w:gridCol w:w="5379"/>
        <w:gridCol w:w="773"/>
        <w:gridCol w:w="642"/>
      </w:tblGrid>
      <w:tr w14:paraId="5C22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8" w:type="dxa"/>
            <w:vAlign w:val="center"/>
          </w:tcPr>
          <w:p w14:paraId="61FD706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074" w:type="dxa"/>
            <w:vAlign w:val="center"/>
          </w:tcPr>
          <w:p w14:paraId="62361F5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5379" w:type="dxa"/>
            <w:vAlign w:val="center"/>
          </w:tcPr>
          <w:p w14:paraId="721E9EDE">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773" w:type="dxa"/>
            <w:vAlign w:val="center"/>
          </w:tcPr>
          <w:p w14:paraId="47EE4B8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642" w:type="dxa"/>
            <w:vAlign w:val="center"/>
          </w:tcPr>
          <w:p w14:paraId="4082300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4B9A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36" w:type="dxa"/>
            <w:gridSpan w:val="5"/>
            <w:vAlign w:val="center"/>
          </w:tcPr>
          <w:p w14:paraId="7EC8816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一、无人机自动巡检系统</w:t>
            </w:r>
          </w:p>
        </w:tc>
      </w:tr>
      <w:tr w14:paraId="1C23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7AD13BF2">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p>
          <w:p w14:paraId="3B552DD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p>
          <w:p w14:paraId="327FAA1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w:t>
            </w:r>
          </w:p>
        </w:tc>
        <w:tc>
          <w:tcPr>
            <w:tcW w:w="1074" w:type="dxa"/>
            <w:vAlign w:val="center"/>
          </w:tcPr>
          <w:p w14:paraId="5B69CFB7">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p>
          <w:p w14:paraId="35BCD0E2">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p>
          <w:p w14:paraId="109DD294">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无人机自动机场</w:t>
            </w:r>
          </w:p>
        </w:tc>
        <w:tc>
          <w:tcPr>
            <w:tcW w:w="5379" w:type="dxa"/>
            <w:vAlign w:val="center"/>
          </w:tcPr>
          <w:p w14:paraId="754813B7">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1.★整体重量：≤55kg（不含飞行器）</w:t>
            </w:r>
          </w:p>
          <w:p w14:paraId="04AFDB5E">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2.外形尺寸（长*宽*高）：≤1800*800*500mm（舱盖开启）</w:t>
            </w:r>
          </w:p>
          <w:p w14:paraId="6D3500EE">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3.最大允许降落</w:t>
            </w:r>
            <w:r>
              <w:rPr>
                <w:rFonts w:hint="eastAsia" w:ascii="宋体" w:hAnsi="宋体" w:eastAsia="宋体" w:cs="宋体"/>
                <w:i w:val="0"/>
                <w:iCs w:val="0"/>
                <w:color w:val="000000"/>
                <w:sz w:val="24"/>
                <w:szCs w:val="24"/>
                <w:highlight w:val="none"/>
                <w:u w:val="none"/>
                <w:lang w:val="en-US" w:eastAsia="zh-CN"/>
              </w:rPr>
              <w:t>风速</w:t>
            </w:r>
            <w:r>
              <w:rPr>
                <w:rFonts w:hint="eastAsia" w:ascii="宋体" w:hAnsi="宋体" w:eastAsia="宋体" w:cs="宋体"/>
                <w:sz w:val="24"/>
                <w:szCs w:val="24"/>
                <w:highlight w:val="none"/>
                <w:lang w:val="en-US" w:eastAsia="zh-CN"/>
              </w:rPr>
              <w:t>：≥12m/s</w:t>
            </w:r>
          </w:p>
          <w:p w14:paraId="681B0F94">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4.最大运行海拔高度：≥4500m</w:t>
            </w:r>
          </w:p>
          <w:p w14:paraId="5C1943AE">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5.★RTK基站卫星接受频率：同时接收GPS、BeiDou、GLONASS、Galileo、QZSS</w:t>
            </w:r>
          </w:p>
          <w:p w14:paraId="64CB64D9">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6.RTK基站定位：水平：≤1cm+1ppm（RMS）垂直：≤2cm+1ppm（RMS）</w:t>
            </w:r>
          </w:p>
          <w:p w14:paraId="4B775171">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7.传感器：风速传感器、雨量传感器、环境温度传感器、水浸传感器、舱内湿度传感器、舱内湿度传感器</w:t>
            </w:r>
          </w:p>
          <w:p w14:paraId="5AC68849">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8.备用电池续航时间：≥4小时</w:t>
            </w:r>
          </w:p>
          <w:p w14:paraId="5F6F59E8">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9.支持外接交换机进行数据通信</w:t>
            </w:r>
          </w:p>
          <w:p w14:paraId="1DA38DE3">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10.★支持使用移动终端APP进行部署和调试</w:t>
            </w:r>
          </w:p>
          <w:p w14:paraId="35E26806">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（带“★”的提供具有法定检测机构出具的检测/检验报告)</w:t>
            </w:r>
          </w:p>
        </w:tc>
        <w:tc>
          <w:tcPr>
            <w:tcW w:w="773" w:type="dxa"/>
            <w:vAlign w:val="center"/>
          </w:tcPr>
          <w:p w14:paraId="42436737">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42" w:type="dxa"/>
            <w:vAlign w:val="center"/>
          </w:tcPr>
          <w:p w14:paraId="00C1FF5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1</w:t>
            </w:r>
          </w:p>
        </w:tc>
      </w:tr>
      <w:tr w14:paraId="1E66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7FF8C72D">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w:t>
            </w:r>
          </w:p>
        </w:tc>
        <w:tc>
          <w:tcPr>
            <w:tcW w:w="1074" w:type="dxa"/>
            <w:vAlign w:val="center"/>
          </w:tcPr>
          <w:p w14:paraId="3681E8E2">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无人机</w:t>
            </w:r>
          </w:p>
        </w:tc>
        <w:tc>
          <w:tcPr>
            <w:tcW w:w="5379" w:type="dxa"/>
            <w:vAlign w:val="center"/>
          </w:tcPr>
          <w:p w14:paraId="1D1261BC">
            <w:pPr>
              <w:numPr>
                <w:ilvl w:val="0"/>
                <w:numId w:val="0"/>
              </w:numPr>
              <w:bidi w:val="0"/>
              <w:rPr>
                <w:rFonts w:hint="eastAsia"/>
                <w:lang w:val="en-US" w:eastAsia="zh-CN"/>
              </w:rPr>
            </w:pPr>
            <w:r>
              <w:rPr>
                <w:rFonts w:hint="default"/>
                <w:lang w:val="en-US" w:eastAsia="zh-CN"/>
              </w:rPr>
              <w:t>1.</w:t>
            </w:r>
            <w:r>
              <w:rPr>
                <w:rFonts w:hint="eastAsia"/>
                <w:lang w:val="en-US" w:eastAsia="zh-CN"/>
              </w:rPr>
              <w:t>裸机重量：≤1900 克</w:t>
            </w:r>
          </w:p>
          <w:p w14:paraId="4E660E63">
            <w:pPr>
              <w:numPr>
                <w:ilvl w:val="0"/>
                <w:numId w:val="0"/>
              </w:numPr>
              <w:bidi w:val="0"/>
              <w:rPr>
                <w:rFonts w:hint="eastAsia"/>
                <w:lang w:val="en-US" w:eastAsia="zh-CN"/>
              </w:rPr>
            </w:pPr>
            <w:r>
              <w:rPr>
                <w:rFonts w:hint="default"/>
                <w:lang w:val="en-US" w:eastAsia="zh-CN"/>
              </w:rPr>
              <w:t>2.</w:t>
            </w:r>
            <w:r>
              <w:rPr>
                <w:rFonts w:hint="eastAsia"/>
                <w:lang w:val="en-US" w:eastAsia="zh-CN"/>
              </w:rPr>
              <w:t>尺寸（长×宽×高）：≤380×420×220mm（不含桨叶）</w:t>
            </w:r>
          </w:p>
          <w:p w14:paraId="35D3B374">
            <w:pPr>
              <w:numPr>
                <w:ilvl w:val="0"/>
                <w:numId w:val="0"/>
              </w:numPr>
              <w:bidi w:val="0"/>
              <w:rPr>
                <w:rFonts w:hint="eastAsia"/>
                <w:lang w:val="en-US" w:eastAsia="zh-CN"/>
              </w:rPr>
            </w:pPr>
            <w:r>
              <w:rPr>
                <w:rFonts w:hint="default"/>
                <w:lang w:val="en-US" w:eastAsia="zh-CN"/>
              </w:rPr>
              <w:t>3.</w:t>
            </w:r>
            <w:r>
              <w:rPr>
                <w:rFonts w:hint="eastAsia"/>
                <w:lang w:val="en-US" w:eastAsia="zh-CN"/>
              </w:rPr>
              <w:t>对角线轴距：≤500mm</w:t>
            </w:r>
          </w:p>
          <w:p w14:paraId="659DDB28">
            <w:pPr>
              <w:numPr>
                <w:ilvl w:val="0"/>
                <w:numId w:val="0"/>
              </w:numPr>
              <w:bidi w:val="0"/>
              <w:rPr>
                <w:rFonts w:hint="default"/>
                <w:lang w:val="en-US" w:eastAsia="zh-CN"/>
              </w:rPr>
            </w:pPr>
            <w:r>
              <w:rPr>
                <w:rFonts w:hint="default"/>
                <w:lang w:val="en-US" w:eastAsia="zh-CN"/>
              </w:rPr>
              <w:t>4.最长飞行时间：</w:t>
            </w:r>
            <w:r>
              <w:rPr>
                <w:rFonts w:hint="eastAsia"/>
                <w:lang w:val="en-US" w:eastAsia="zh-CN"/>
              </w:rPr>
              <w:t>≥</w:t>
            </w:r>
            <w:r>
              <w:rPr>
                <w:rFonts w:hint="default"/>
                <w:lang w:val="en-US" w:eastAsia="zh-CN"/>
              </w:rPr>
              <w:t>45分钟</w:t>
            </w:r>
          </w:p>
          <w:p w14:paraId="4E058403">
            <w:pPr>
              <w:numPr>
                <w:ilvl w:val="0"/>
                <w:numId w:val="0"/>
              </w:numPr>
              <w:bidi w:val="0"/>
              <w:rPr>
                <w:rFonts w:hint="eastAsia"/>
                <w:lang w:val="en-US" w:eastAsia="zh-CN"/>
              </w:rPr>
            </w:pPr>
            <w:r>
              <w:rPr>
                <w:rFonts w:hint="default"/>
                <w:lang w:val="en-US" w:eastAsia="zh-CN"/>
              </w:rPr>
              <w:t>5</w:t>
            </w:r>
            <w:r>
              <w:rPr>
                <w:rFonts w:hint="eastAsia"/>
                <w:lang w:val="en-US" w:eastAsia="zh-CN"/>
              </w:rPr>
              <w:t>.热成像传感器类型：非制冷氧化钒（VOx）</w:t>
            </w:r>
          </w:p>
          <w:p w14:paraId="4F19624B">
            <w:pPr>
              <w:numPr>
                <w:ilvl w:val="0"/>
                <w:numId w:val="0"/>
              </w:numPr>
              <w:bidi w:val="0"/>
              <w:rPr>
                <w:rFonts w:hint="eastAsia"/>
              </w:rPr>
            </w:pPr>
            <w:r>
              <w:rPr>
                <w:rFonts w:hint="default"/>
                <w:lang w:val="en-US" w:eastAsia="zh-CN"/>
              </w:rPr>
              <w:t>6</w:t>
            </w:r>
            <w:r>
              <w:rPr>
                <w:rFonts w:hint="eastAsia"/>
                <w:lang w:val="en-US" w:eastAsia="zh-CN"/>
              </w:rPr>
              <w:t>.分辨率：≥640*512</w:t>
            </w:r>
          </w:p>
          <w:p w14:paraId="0DA50044">
            <w:pPr>
              <w:numPr>
                <w:ilvl w:val="0"/>
                <w:numId w:val="0"/>
              </w:numPr>
              <w:bidi w:val="0"/>
              <w:rPr>
                <w:rFonts w:hint="eastAsia"/>
              </w:rPr>
            </w:pPr>
            <w:r>
              <w:rPr>
                <w:rFonts w:hint="default"/>
                <w:lang w:val="en-US" w:eastAsia="zh-CN"/>
              </w:rPr>
              <w:t>7</w:t>
            </w:r>
            <w:r>
              <w:rPr>
                <w:rFonts w:hint="eastAsia"/>
                <w:lang w:val="en-US" w:eastAsia="zh-CN"/>
              </w:rPr>
              <w:t>.帧率：≥30Hz</w:t>
            </w:r>
          </w:p>
          <w:p w14:paraId="66A03202">
            <w:pPr>
              <w:numPr>
                <w:ilvl w:val="0"/>
                <w:numId w:val="0"/>
              </w:numPr>
              <w:bidi w:val="0"/>
              <w:rPr>
                <w:rFonts w:hint="eastAsia"/>
              </w:rPr>
            </w:pPr>
            <w:r>
              <w:rPr>
                <w:rFonts w:hint="default"/>
                <w:lang w:val="en-US" w:eastAsia="zh-CN"/>
              </w:rPr>
              <w:t>8</w:t>
            </w:r>
            <w:r>
              <w:rPr>
                <w:rFonts w:hint="eastAsia"/>
                <w:lang w:val="en-US" w:eastAsia="zh-CN"/>
              </w:rPr>
              <w:t>.★测温方式：点测温、区域测温</w:t>
            </w:r>
          </w:p>
          <w:p w14:paraId="26D2BACB">
            <w:pPr>
              <w:numPr>
                <w:ilvl w:val="0"/>
                <w:numId w:val="0"/>
              </w:numPr>
              <w:bidi w:val="0"/>
              <w:rPr>
                <w:rFonts w:hint="eastAsia"/>
              </w:rPr>
            </w:pPr>
            <w:r>
              <w:rPr>
                <w:rFonts w:hint="default"/>
                <w:lang w:val="en-US" w:eastAsia="zh-CN"/>
              </w:rPr>
              <w:t>9</w:t>
            </w:r>
            <w:r>
              <w:rPr>
                <w:rFonts w:hint="eastAsia"/>
                <w:lang w:val="en-US" w:eastAsia="zh-CN"/>
              </w:rPr>
              <w:t>.数字变焦：≥28倍</w:t>
            </w:r>
          </w:p>
          <w:p w14:paraId="0C7E648D">
            <w:pPr>
              <w:numPr>
                <w:ilvl w:val="0"/>
                <w:numId w:val="0"/>
              </w:numPr>
              <w:bidi w:val="0"/>
              <w:rPr>
                <w:rFonts w:hint="eastAsia"/>
              </w:rPr>
            </w:pPr>
            <w:r>
              <w:rPr>
                <w:rFonts w:hint="eastAsia"/>
                <w:lang w:val="en-US" w:eastAsia="zh-CN"/>
              </w:rPr>
              <w:t>无人机-广角相机：</w:t>
            </w:r>
          </w:p>
          <w:p w14:paraId="22A290F8">
            <w:pPr>
              <w:numPr>
                <w:ilvl w:val="0"/>
                <w:numId w:val="0"/>
              </w:numPr>
              <w:bidi w:val="0"/>
              <w:rPr>
                <w:rFonts w:hint="eastAsia"/>
              </w:rPr>
            </w:pPr>
            <w:r>
              <w:rPr>
                <w:rFonts w:hint="eastAsia"/>
                <w:lang w:val="en-US" w:eastAsia="zh-CN"/>
              </w:rPr>
              <w:t>1.有效像素：≥4800万</w:t>
            </w:r>
          </w:p>
          <w:p w14:paraId="52F33209">
            <w:pPr>
              <w:numPr>
                <w:ilvl w:val="0"/>
                <w:numId w:val="0"/>
              </w:numPr>
              <w:bidi w:val="0"/>
              <w:rPr>
                <w:rFonts w:hint="eastAsia"/>
              </w:rPr>
            </w:pPr>
            <w:r>
              <w:rPr>
                <w:rFonts w:hint="eastAsia"/>
                <w:lang w:val="en-US" w:eastAsia="zh-CN"/>
              </w:rPr>
              <w:t>2.等效焦距：24mm</w:t>
            </w:r>
          </w:p>
          <w:p w14:paraId="5AE9978F">
            <w:pPr>
              <w:numPr>
                <w:ilvl w:val="0"/>
                <w:numId w:val="0"/>
              </w:numPr>
              <w:bidi w:val="0"/>
              <w:rPr>
                <w:rFonts w:hint="eastAsia"/>
              </w:rPr>
            </w:pPr>
            <w:r>
              <w:rPr>
                <w:rFonts w:hint="eastAsia"/>
                <w:lang w:val="en-US" w:eastAsia="zh-CN"/>
              </w:rPr>
              <w:t>无人机-中长焦相机：</w:t>
            </w:r>
          </w:p>
          <w:p w14:paraId="4E300C36">
            <w:pPr>
              <w:numPr>
                <w:ilvl w:val="0"/>
                <w:numId w:val="0"/>
              </w:numPr>
              <w:bidi w:val="0"/>
              <w:rPr>
                <w:rFonts w:hint="eastAsia"/>
              </w:rPr>
            </w:pPr>
            <w:r>
              <w:rPr>
                <w:rFonts w:hint="eastAsia"/>
                <w:lang w:val="en-US" w:eastAsia="zh-CN"/>
              </w:rPr>
              <w:t>1.有效像素：≥4800万</w:t>
            </w:r>
          </w:p>
          <w:p w14:paraId="1F7157BC">
            <w:pPr>
              <w:numPr>
                <w:ilvl w:val="0"/>
                <w:numId w:val="0"/>
              </w:numPr>
              <w:bidi w:val="0"/>
              <w:rPr>
                <w:rFonts w:hint="eastAsia"/>
              </w:rPr>
            </w:pPr>
            <w:r>
              <w:rPr>
                <w:rFonts w:hint="eastAsia"/>
                <w:lang w:val="en-US" w:eastAsia="zh-CN"/>
              </w:rPr>
              <w:t>2.等效焦距：70mm</w:t>
            </w:r>
          </w:p>
          <w:p w14:paraId="6276DA55">
            <w:pPr>
              <w:numPr>
                <w:ilvl w:val="0"/>
                <w:numId w:val="0"/>
              </w:numPr>
              <w:bidi w:val="0"/>
              <w:rPr>
                <w:rFonts w:hint="eastAsia"/>
              </w:rPr>
            </w:pPr>
            <w:r>
              <w:rPr>
                <w:rFonts w:hint="eastAsia"/>
                <w:lang w:val="en-US" w:eastAsia="zh-CN"/>
              </w:rPr>
              <w:t>无人机-长焦相机：</w:t>
            </w:r>
          </w:p>
          <w:p w14:paraId="77B92E96">
            <w:pPr>
              <w:numPr>
                <w:ilvl w:val="0"/>
                <w:numId w:val="0"/>
              </w:numPr>
              <w:bidi w:val="0"/>
              <w:rPr>
                <w:rFonts w:hint="eastAsia"/>
              </w:rPr>
            </w:pPr>
            <w:r>
              <w:rPr>
                <w:rFonts w:hint="eastAsia"/>
                <w:lang w:val="en-US" w:eastAsia="zh-CN"/>
              </w:rPr>
              <w:t>1.有效像素：≥4800万</w:t>
            </w:r>
          </w:p>
          <w:p w14:paraId="2854A8E8">
            <w:pPr>
              <w:numPr>
                <w:ilvl w:val="0"/>
                <w:numId w:val="0"/>
              </w:numPr>
              <w:bidi w:val="0"/>
              <w:rPr>
                <w:rFonts w:hint="eastAsia"/>
              </w:rPr>
            </w:pPr>
            <w:r>
              <w:rPr>
                <w:rFonts w:hint="eastAsia"/>
                <w:lang w:val="en-US" w:eastAsia="zh-CN"/>
              </w:rPr>
              <w:t>2.等效焦距：168mm</w:t>
            </w:r>
          </w:p>
          <w:p w14:paraId="599D2510">
            <w:pPr>
              <w:numPr>
                <w:ilvl w:val="0"/>
                <w:numId w:val="0"/>
              </w:numPr>
              <w:bidi w:val="0"/>
              <w:rPr>
                <w:rFonts w:hint="eastAsia"/>
              </w:rPr>
            </w:pPr>
            <w:r>
              <w:rPr>
                <w:rFonts w:hint="eastAsia"/>
                <w:lang w:val="en-US" w:eastAsia="zh-CN"/>
              </w:rPr>
              <w:t>3.数字变焦：≥16倍</w:t>
            </w:r>
          </w:p>
          <w:p w14:paraId="4309548C">
            <w:pPr>
              <w:numPr>
                <w:ilvl w:val="0"/>
                <w:numId w:val="0"/>
              </w:numPr>
              <w:bidi w:val="0"/>
              <w:rPr>
                <w:rFonts w:hint="eastAsia"/>
              </w:rPr>
            </w:pPr>
            <w:r>
              <w:rPr>
                <w:rFonts w:hint="eastAsia"/>
                <w:lang w:val="en-US" w:eastAsia="zh-CN"/>
              </w:rPr>
              <w:t>4.混合变焦：≥110倍</w:t>
            </w:r>
          </w:p>
          <w:p w14:paraId="3E8306F7">
            <w:pPr>
              <w:numPr>
                <w:ilvl w:val="0"/>
                <w:numId w:val="0"/>
              </w:numPr>
              <w:bidi w:val="0"/>
              <w:rPr>
                <w:rFonts w:hint="eastAsia"/>
              </w:rPr>
            </w:pPr>
            <w:r>
              <w:rPr>
                <w:rFonts w:hint="eastAsia"/>
                <w:lang w:val="en-US" w:eastAsia="zh-CN"/>
              </w:rPr>
              <w:t>无人机-激光测距模块：</w:t>
            </w:r>
          </w:p>
          <w:p w14:paraId="4FCB085D">
            <w:pPr>
              <w:numPr>
                <w:ilvl w:val="0"/>
                <w:numId w:val="0"/>
              </w:numPr>
              <w:bidi w:val="0"/>
              <w:rPr>
                <w:rFonts w:hint="eastAsia"/>
              </w:rPr>
            </w:pPr>
            <w:r>
              <w:rPr>
                <w:rFonts w:hint="eastAsia"/>
                <w:lang w:val="en-US" w:eastAsia="zh-CN"/>
              </w:rPr>
              <w:t>1.测距精度：≤1m</w:t>
            </w:r>
          </w:p>
          <w:p w14:paraId="5C4B40F4">
            <w:pPr>
              <w:numPr>
                <w:ilvl w:val="0"/>
                <w:numId w:val="0"/>
              </w:numPr>
              <w:bidi w:val="0"/>
              <w:rPr>
                <w:rFonts w:hint="eastAsia"/>
              </w:rPr>
            </w:pPr>
            <w:r>
              <w:rPr>
                <w:rFonts w:hint="eastAsia"/>
                <w:lang w:val="en-US" w:eastAsia="zh-CN"/>
              </w:rPr>
              <w:t>2.正入射量程：≥1800m（1HZ）@20%反射率目标</w:t>
            </w:r>
          </w:p>
          <w:p w14:paraId="034BCDF9">
            <w:pPr>
              <w:numPr>
                <w:ilvl w:val="0"/>
                <w:numId w:val="0"/>
              </w:numPr>
              <w:bidi w:val="0"/>
              <w:rPr>
                <w:rFonts w:hint="eastAsia"/>
              </w:rPr>
            </w:pPr>
            <w:r>
              <w:rPr>
                <w:rFonts w:hint="eastAsia"/>
                <w:lang w:val="en-US" w:eastAsia="zh-CN"/>
              </w:rPr>
              <w:t>3.斜入射量程：600m（1HZ）（1：5斜距）</w:t>
            </w:r>
          </w:p>
          <w:p w14:paraId="1254F1B0">
            <w:pPr>
              <w:numPr>
                <w:ilvl w:val="0"/>
                <w:numId w:val="0"/>
              </w:numPr>
              <w:bidi w:val="0"/>
              <w:rPr>
                <w:rFonts w:hint="eastAsia"/>
              </w:rPr>
            </w:pPr>
            <w:r>
              <w:rPr>
                <w:rFonts w:hint="eastAsia"/>
                <w:lang w:val="en-US" w:eastAsia="zh-CN"/>
              </w:rPr>
              <w:t>4.盲区：≤1m</w:t>
            </w:r>
          </w:p>
          <w:p w14:paraId="7D067E1B">
            <w:pPr>
              <w:numPr>
                <w:ilvl w:val="0"/>
                <w:numId w:val="0"/>
              </w:numPr>
              <w:bidi w:val="0"/>
              <w:rPr>
                <w:rFonts w:hint="eastAsia" w:ascii="宋体" w:hAnsi="宋体" w:eastAsia="宋体" w:cs="宋体"/>
                <w:szCs w:val="24"/>
                <w:highlight w:val="none"/>
                <w:lang w:val="en-US" w:eastAsia="zh-CN" w:bidi="ar-SA"/>
              </w:rPr>
            </w:pPr>
            <w:r>
              <w:rPr>
                <w:rFonts w:hint="eastAsia"/>
                <w:lang w:val="en-US" w:eastAsia="zh-CN"/>
              </w:rPr>
              <w:t>（带“★”的提供具有法定检测机构出具的检测/检验报告)</w:t>
            </w:r>
          </w:p>
        </w:tc>
        <w:tc>
          <w:tcPr>
            <w:tcW w:w="773" w:type="dxa"/>
            <w:vAlign w:val="center"/>
          </w:tcPr>
          <w:p w14:paraId="6382A1D2">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642" w:type="dxa"/>
            <w:vAlign w:val="center"/>
          </w:tcPr>
          <w:p w14:paraId="45C3ED4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1</w:t>
            </w:r>
          </w:p>
        </w:tc>
      </w:tr>
      <w:tr w14:paraId="3360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35C0B6FD">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w:t>
            </w:r>
          </w:p>
        </w:tc>
        <w:tc>
          <w:tcPr>
            <w:tcW w:w="1074" w:type="dxa"/>
            <w:vAlign w:val="center"/>
          </w:tcPr>
          <w:p w14:paraId="22DE2787">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无人机电池</w:t>
            </w:r>
          </w:p>
        </w:tc>
        <w:tc>
          <w:tcPr>
            <w:tcW w:w="5379" w:type="dxa"/>
            <w:vAlign w:val="center"/>
          </w:tcPr>
          <w:p w14:paraId="69729E59">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1.重量：≤650g</w:t>
            </w:r>
          </w:p>
          <w:p w14:paraId="737416A6">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2.容量：≥6500mAh</w:t>
            </w:r>
          </w:p>
          <w:p w14:paraId="0B5819BF">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3.能量：≤150Wh</w:t>
            </w:r>
          </w:p>
          <w:p w14:paraId="3A275571">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4.支持低温自加热充电</w:t>
            </w:r>
          </w:p>
        </w:tc>
        <w:tc>
          <w:tcPr>
            <w:tcW w:w="773" w:type="dxa"/>
            <w:vAlign w:val="center"/>
          </w:tcPr>
          <w:p w14:paraId="20D80662">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块</w:t>
            </w:r>
          </w:p>
        </w:tc>
        <w:tc>
          <w:tcPr>
            <w:tcW w:w="642" w:type="dxa"/>
            <w:vAlign w:val="center"/>
          </w:tcPr>
          <w:p w14:paraId="161AF7C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sz w:val="24"/>
                <w:szCs w:val="24"/>
                <w:highlight w:val="none"/>
                <w:lang w:val="en-US" w:eastAsia="zh-CN" w:bidi="ar-SA"/>
              </w:rPr>
            </w:pPr>
            <w:r>
              <w:rPr>
                <w:rFonts w:hint="default" w:ascii="宋体" w:hAnsi="宋体" w:cs="宋体"/>
                <w:sz w:val="24"/>
                <w:szCs w:val="24"/>
                <w:highlight w:val="none"/>
                <w:lang w:val="en-US" w:eastAsia="zh-CN" w:bidi="ar-SA"/>
              </w:rPr>
              <w:t>1</w:t>
            </w:r>
          </w:p>
        </w:tc>
      </w:tr>
      <w:tr w14:paraId="7EF2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32180A4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w:t>
            </w:r>
          </w:p>
        </w:tc>
        <w:tc>
          <w:tcPr>
            <w:tcW w:w="1074" w:type="dxa"/>
            <w:vAlign w:val="center"/>
          </w:tcPr>
          <w:p w14:paraId="05EC3C6E">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4G增强图传模块</w:t>
            </w:r>
          </w:p>
        </w:tc>
        <w:tc>
          <w:tcPr>
            <w:tcW w:w="5379" w:type="dxa"/>
            <w:vAlign w:val="center"/>
          </w:tcPr>
          <w:p w14:paraId="032A9E8A">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在无人机原有图传的基础上，与4G网络共同协作，如原有图传信号受遮挡或干扰，用户仍可借助4G网络操控无人机，降低断开连接的几率</w:t>
            </w:r>
          </w:p>
        </w:tc>
        <w:tc>
          <w:tcPr>
            <w:tcW w:w="773" w:type="dxa"/>
            <w:vAlign w:val="center"/>
          </w:tcPr>
          <w:p w14:paraId="6174F106">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42" w:type="dxa"/>
            <w:vAlign w:val="center"/>
          </w:tcPr>
          <w:p w14:paraId="30A265E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sz w:val="24"/>
                <w:szCs w:val="24"/>
                <w:highlight w:val="none"/>
                <w:lang w:val="en-US" w:eastAsia="zh-CN" w:bidi="ar-SA"/>
              </w:rPr>
            </w:pPr>
            <w:r>
              <w:rPr>
                <w:rFonts w:hint="default" w:ascii="宋体" w:hAnsi="宋体" w:cs="宋体"/>
                <w:sz w:val="24"/>
                <w:szCs w:val="24"/>
                <w:highlight w:val="none"/>
                <w:lang w:val="en-US" w:eastAsia="zh-CN" w:bidi="ar-SA"/>
              </w:rPr>
              <w:t>1</w:t>
            </w:r>
          </w:p>
        </w:tc>
      </w:tr>
      <w:tr w14:paraId="31FF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3E8E8C6E">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1074" w:type="dxa"/>
            <w:vAlign w:val="center"/>
          </w:tcPr>
          <w:p w14:paraId="639EFA9F">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喊话器</w:t>
            </w:r>
          </w:p>
        </w:tc>
        <w:tc>
          <w:tcPr>
            <w:tcW w:w="5379" w:type="dxa"/>
            <w:vAlign w:val="center"/>
          </w:tcPr>
          <w:p w14:paraId="12412887">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1.重量：≤90g</w:t>
            </w:r>
          </w:p>
          <w:p w14:paraId="77F1BEAA">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2.尺寸（长*宽*高）：≤80*</w:t>
            </w:r>
            <w:r>
              <w:rPr>
                <w:rFonts w:hint="default" w:ascii="宋体" w:hAnsi="宋体" w:cs="宋体"/>
                <w:sz w:val="24"/>
                <w:szCs w:val="24"/>
                <w:highlight w:val="none"/>
                <w:lang w:val="en-US" w:eastAsia="zh-CN"/>
              </w:rPr>
              <w:t>80</w:t>
            </w:r>
            <w:r>
              <w:rPr>
                <w:rFonts w:hint="eastAsia" w:ascii="宋体" w:hAnsi="宋体" w:eastAsia="宋体" w:cs="宋体"/>
                <w:sz w:val="24"/>
                <w:szCs w:val="24"/>
                <w:highlight w:val="none"/>
                <w:lang w:val="en-US" w:eastAsia="zh-CN"/>
              </w:rPr>
              <w:t>*</w:t>
            </w:r>
            <w:r>
              <w:rPr>
                <w:rFonts w:hint="default" w:ascii="宋体" w:hAnsi="宋体" w:cs="宋体"/>
                <w:sz w:val="24"/>
                <w:szCs w:val="24"/>
                <w:highlight w:val="none"/>
                <w:lang w:val="en-US" w:eastAsia="zh-CN"/>
              </w:rPr>
              <w:t>60</w:t>
            </w:r>
            <w:r>
              <w:rPr>
                <w:rFonts w:hint="eastAsia" w:ascii="宋体" w:hAnsi="宋体" w:eastAsia="宋体" w:cs="宋体"/>
                <w:sz w:val="24"/>
                <w:szCs w:val="24"/>
                <w:highlight w:val="none"/>
                <w:lang w:val="en-US" w:eastAsia="zh-CN"/>
              </w:rPr>
              <w:t>mm</w:t>
            </w:r>
          </w:p>
          <w:p w14:paraId="20065F9B">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3.最大功率：≥15瓦</w:t>
            </w:r>
          </w:p>
          <w:p w14:paraId="4BC5C975">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4.最大响度：≥114dB@1m</w:t>
            </w:r>
          </w:p>
          <w:p w14:paraId="0C0B0CB8">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5.有效广播距离：≥300m</w:t>
            </w:r>
          </w:p>
          <w:p w14:paraId="409BC874">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6.广播方式：实时喊话、录音喊话、媒体导入（支持边传边播）、文字转语音</w:t>
            </w:r>
          </w:p>
          <w:p w14:paraId="5F877116">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7.防护等级：≥IP55</w:t>
            </w:r>
          </w:p>
        </w:tc>
        <w:tc>
          <w:tcPr>
            <w:tcW w:w="773" w:type="dxa"/>
            <w:vAlign w:val="center"/>
          </w:tcPr>
          <w:p w14:paraId="0B6B80B0">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42" w:type="dxa"/>
            <w:vAlign w:val="center"/>
          </w:tcPr>
          <w:p w14:paraId="5D5C77E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sz w:val="24"/>
                <w:szCs w:val="24"/>
                <w:highlight w:val="none"/>
                <w:lang w:val="en-US" w:eastAsia="zh-CN" w:bidi="ar-SA"/>
              </w:rPr>
            </w:pPr>
            <w:r>
              <w:rPr>
                <w:rFonts w:hint="default" w:ascii="宋体" w:hAnsi="宋体" w:cs="宋体"/>
                <w:sz w:val="24"/>
                <w:szCs w:val="24"/>
                <w:highlight w:val="none"/>
                <w:lang w:val="en-US" w:eastAsia="zh-CN" w:bidi="ar-SA"/>
              </w:rPr>
              <w:t>1</w:t>
            </w:r>
          </w:p>
        </w:tc>
      </w:tr>
      <w:tr w14:paraId="7D49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4CFA9EAC">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w:t>
            </w:r>
          </w:p>
        </w:tc>
        <w:tc>
          <w:tcPr>
            <w:tcW w:w="1074" w:type="dxa"/>
            <w:vAlign w:val="center"/>
          </w:tcPr>
          <w:p w14:paraId="2C9183BC">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探照灯</w:t>
            </w:r>
          </w:p>
        </w:tc>
        <w:tc>
          <w:tcPr>
            <w:tcW w:w="5379" w:type="dxa"/>
            <w:vAlign w:val="center"/>
          </w:tcPr>
          <w:p w14:paraId="05D959EE">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1.重量：≤</w:t>
            </w:r>
            <w:r>
              <w:rPr>
                <w:rFonts w:hint="default" w:ascii="宋体" w:hAnsi="宋体" w:cs="宋体"/>
                <w:sz w:val="24"/>
                <w:szCs w:val="24"/>
                <w:highlight w:val="none"/>
                <w:lang w:val="en-US" w:eastAsia="zh-CN"/>
              </w:rPr>
              <w:t>100</w:t>
            </w:r>
            <w:r>
              <w:rPr>
                <w:rFonts w:hint="eastAsia" w:ascii="宋体" w:hAnsi="宋体" w:eastAsia="宋体" w:cs="宋体"/>
                <w:sz w:val="24"/>
                <w:szCs w:val="24"/>
                <w:highlight w:val="none"/>
                <w:lang w:val="en-US" w:eastAsia="zh-CN"/>
              </w:rPr>
              <w:t>g</w:t>
            </w:r>
          </w:p>
          <w:p w14:paraId="6C9B5EB7">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2.尺寸（长*宽*高）：≤</w:t>
            </w:r>
            <w:r>
              <w:rPr>
                <w:rFonts w:hint="default" w:ascii="宋体" w:hAnsi="宋体" w:cs="宋体"/>
                <w:sz w:val="24"/>
                <w:szCs w:val="24"/>
                <w:highlight w:val="none"/>
                <w:lang w:val="en-US" w:eastAsia="zh-CN"/>
              </w:rPr>
              <w:t>100</w:t>
            </w:r>
            <w:r>
              <w:rPr>
                <w:rFonts w:hint="eastAsia" w:ascii="宋体" w:hAnsi="宋体" w:eastAsia="宋体" w:cs="宋体"/>
                <w:sz w:val="24"/>
                <w:szCs w:val="24"/>
                <w:highlight w:val="none"/>
                <w:lang w:val="en-US" w:eastAsia="zh-CN"/>
              </w:rPr>
              <w:t>*170*30mm</w:t>
            </w:r>
          </w:p>
          <w:p w14:paraId="6138A0F8">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3.最大功率：≥30瓦</w:t>
            </w:r>
          </w:p>
          <w:p w14:paraId="78EE6CAA">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4.照度：≥4.3±0.2lux@100m，17±0.2lux@50m</w:t>
            </w:r>
          </w:p>
          <w:p w14:paraId="2677A3C5">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5.有效照明角度：≥22度（10%相对照度）</w:t>
            </w:r>
          </w:p>
          <w:p w14:paraId="664C93CE">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6.有效照明面积：≥2200平方m@100m（10%相对照度）</w:t>
            </w:r>
          </w:p>
          <w:p w14:paraId="4B5CD073">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7.云台可控转动范围：俯仰：≥-90°~35°</w:t>
            </w:r>
          </w:p>
          <w:p w14:paraId="20E3F86F">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8.防护等级：≥IP55</w:t>
            </w:r>
          </w:p>
        </w:tc>
        <w:tc>
          <w:tcPr>
            <w:tcW w:w="773" w:type="dxa"/>
            <w:vAlign w:val="center"/>
          </w:tcPr>
          <w:p w14:paraId="3A0F8F67">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42" w:type="dxa"/>
            <w:vAlign w:val="center"/>
          </w:tcPr>
          <w:p w14:paraId="4B89F81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sz w:val="24"/>
                <w:szCs w:val="24"/>
                <w:highlight w:val="none"/>
                <w:lang w:val="en-US" w:eastAsia="zh-CN" w:bidi="ar-SA"/>
              </w:rPr>
            </w:pPr>
            <w:r>
              <w:rPr>
                <w:rFonts w:hint="default" w:ascii="宋体" w:hAnsi="宋体" w:cs="宋体"/>
                <w:sz w:val="24"/>
                <w:szCs w:val="24"/>
                <w:highlight w:val="none"/>
                <w:lang w:val="en-US" w:eastAsia="zh-CN" w:bidi="ar-SA"/>
              </w:rPr>
              <w:t>1</w:t>
            </w:r>
          </w:p>
        </w:tc>
      </w:tr>
      <w:tr w14:paraId="198A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560CDEB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7</w:t>
            </w:r>
          </w:p>
        </w:tc>
        <w:tc>
          <w:tcPr>
            <w:tcW w:w="1074" w:type="dxa"/>
            <w:vAlign w:val="center"/>
          </w:tcPr>
          <w:p w14:paraId="4C75E1BA">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sz w:val="24"/>
                <w:szCs w:val="24"/>
                <w:highlight w:val="none"/>
                <w:lang w:val="en-US" w:eastAsia="zh-CN"/>
              </w:rPr>
              <w:t xml:space="preserve">无人机机场诊断模块 </w:t>
            </w:r>
          </w:p>
        </w:tc>
        <w:tc>
          <w:tcPr>
            <w:tcW w:w="5379" w:type="dxa"/>
            <w:vAlign w:val="center"/>
          </w:tcPr>
          <w:p w14:paraId="4636E2C6">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1.重量：≤150g</w:t>
            </w:r>
          </w:p>
          <w:p w14:paraId="686626DF">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2.高度：≤60mm</w:t>
            </w:r>
          </w:p>
          <w:p w14:paraId="3C3447D9">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3.★支持机场远程开合电，电源和网络在位监测，并上传信息至平台告警模块</w:t>
            </w:r>
          </w:p>
          <w:p w14:paraId="0EC7A1FE">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4.模块自带UPS电源，外接电源断开时依旧能与平台进行通讯</w:t>
            </w:r>
          </w:p>
          <w:p w14:paraId="21984C1A">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（带“★”的提供具有法定检测机构出具的检测/检验报告)</w:t>
            </w:r>
          </w:p>
        </w:tc>
        <w:tc>
          <w:tcPr>
            <w:tcW w:w="773" w:type="dxa"/>
            <w:vAlign w:val="center"/>
          </w:tcPr>
          <w:p w14:paraId="4831E23F">
            <w:pPr>
              <w:keepNext w:val="0"/>
              <w:keepLines w:val="0"/>
              <w:pageBreakBefore w:val="0"/>
              <w:widowControl/>
              <w:kinsoku/>
              <w:wordWrap/>
              <w:overflowPunct/>
              <w:topLinePunct w:val="0"/>
              <w:autoSpaceDE w:val="0"/>
              <w:autoSpaceDN w:val="0"/>
              <w:bidi w:val="0"/>
              <w:adjustRightInd/>
              <w:snapToGrid/>
              <w:ind w:firstLine="0"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套</w:t>
            </w:r>
          </w:p>
        </w:tc>
        <w:tc>
          <w:tcPr>
            <w:tcW w:w="642" w:type="dxa"/>
            <w:vAlign w:val="center"/>
          </w:tcPr>
          <w:p w14:paraId="396CADE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1</w:t>
            </w:r>
          </w:p>
        </w:tc>
      </w:tr>
      <w:tr w14:paraId="49C8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59525E3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8</w:t>
            </w:r>
          </w:p>
        </w:tc>
        <w:tc>
          <w:tcPr>
            <w:tcW w:w="1074" w:type="dxa"/>
            <w:vAlign w:val="center"/>
          </w:tcPr>
          <w:p w14:paraId="0F55D75D">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第三方责任险</w:t>
            </w:r>
          </w:p>
        </w:tc>
        <w:tc>
          <w:tcPr>
            <w:tcW w:w="5379" w:type="dxa"/>
            <w:vAlign w:val="center"/>
          </w:tcPr>
          <w:p w14:paraId="2D857EB6">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提供不低于100万的第三者责任险，不计免赔，人伤物伤共享保额</w:t>
            </w:r>
          </w:p>
        </w:tc>
        <w:tc>
          <w:tcPr>
            <w:tcW w:w="773" w:type="dxa"/>
            <w:vAlign w:val="center"/>
          </w:tcPr>
          <w:p w14:paraId="5AE41560">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台/年</w:t>
            </w:r>
          </w:p>
        </w:tc>
        <w:tc>
          <w:tcPr>
            <w:tcW w:w="642" w:type="dxa"/>
            <w:vAlign w:val="center"/>
          </w:tcPr>
          <w:p w14:paraId="314BA65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w:t>
            </w:r>
          </w:p>
        </w:tc>
      </w:tr>
      <w:tr w14:paraId="0B20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3DD7C9B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9</w:t>
            </w:r>
          </w:p>
        </w:tc>
        <w:tc>
          <w:tcPr>
            <w:tcW w:w="1074" w:type="dxa"/>
            <w:vAlign w:val="center"/>
          </w:tcPr>
          <w:p w14:paraId="485F2240">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机场网络资费</w:t>
            </w:r>
          </w:p>
        </w:tc>
        <w:tc>
          <w:tcPr>
            <w:tcW w:w="5379" w:type="dxa"/>
            <w:vAlign w:val="center"/>
          </w:tcPr>
          <w:p w14:paraId="5259F018">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上行带宽100Mbps以上，下行300Mbps以上</w:t>
            </w:r>
          </w:p>
        </w:tc>
        <w:tc>
          <w:tcPr>
            <w:tcW w:w="773" w:type="dxa"/>
            <w:vAlign w:val="center"/>
          </w:tcPr>
          <w:p w14:paraId="6A7111E1">
            <w:pPr>
              <w:keepNext w:val="0"/>
              <w:keepLines w:val="0"/>
              <w:pageBreakBefore w:val="0"/>
              <w:widowControl/>
              <w:kinsoku/>
              <w:wordWrap/>
              <w:overflowPunct/>
              <w:topLinePunct w:val="0"/>
              <w:autoSpaceDE w:val="0"/>
              <w:autoSpaceDN w:val="0"/>
              <w:bidi w:val="0"/>
              <w:adjustRightInd/>
              <w:snapToGrid/>
              <w:ind w:firstLine="0"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条/年</w:t>
            </w:r>
          </w:p>
        </w:tc>
        <w:tc>
          <w:tcPr>
            <w:tcW w:w="642" w:type="dxa"/>
            <w:vAlign w:val="center"/>
          </w:tcPr>
          <w:p w14:paraId="5FACEEB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3</w:t>
            </w:r>
          </w:p>
        </w:tc>
      </w:tr>
      <w:tr w14:paraId="7E74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8" w:type="dxa"/>
            <w:vAlign w:val="center"/>
          </w:tcPr>
          <w:p w14:paraId="09D35125">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w:t>
            </w:r>
          </w:p>
        </w:tc>
        <w:tc>
          <w:tcPr>
            <w:tcW w:w="1074" w:type="dxa"/>
            <w:vAlign w:val="center"/>
          </w:tcPr>
          <w:p w14:paraId="1F49B10E">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安装服务</w:t>
            </w:r>
          </w:p>
        </w:tc>
        <w:tc>
          <w:tcPr>
            <w:tcW w:w="5379" w:type="dxa"/>
            <w:vAlign w:val="center"/>
          </w:tcPr>
          <w:p w14:paraId="51B44502">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1.安装部署的人力、交通费用</w:t>
            </w:r>
          </w:p>
          <w:p w14:paraId="4A4BBF50">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2.安装部署中使用的4G路由器、视频监控、电源防水盒及五金件费用</w:t>
            </w:r>
          </w:p>
          <w:p w14:paraId="3D7A469C">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3.勘察选址相关费用</w:t>
            </w:r>
          </w:p>
          <w:p w14:paraId="3F98E605">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4.机场基座的材料费及施工所需的人工&amp;进场费用</w:t>
            </w:r>
          </w:p>
          <w:p w14:paraId="3D3B2E49">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5.电线、网线、避雷设施、配电箱的材料费用及施工所需的人工&amp;进场费用</w:t>
            </w:r>
          </w:p>
          <w:p w14:paraId="2F1F2C2A">
            <w:pPr>
              <w:keepNext w:val="0"/>
              <w:keepLines w:val="0"/>
              <w:pageBreakBefore w:val="0"/>
              <w:widowControl/>
              <w:kinsoku/>
              <w:wordWrap/>
              <w:overflowPunct/>
              <w:topLinePunct w:val="0"/>
              <w:autoSpaceDE w:val="0"/>
              <w:autoSpaceDN w:val="0"/>
              <w:bidi w:val="0"/>
              <w:adjustRightInd/>
              <w:snapToGrid/>
              <w:ind w:firstLine="0" w:firstLineChars="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6.吊装作业等特殊场景费用及特殊场所的进场费用</w:t>
            </w:r>
          </w:p>
        </w:tc>
        <w:tc>
          <w:tcPr>
            <w:tcW w:w="773" w:type="dxa"/>
            <w:vAlign w:val="center"/>
          </w:tcPr>
          <w:p w14:paraId="6F9BBB4B">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项</w:t>
            </w:r>
          </w:p>
        </w:tc>
        <w:tc>
          <w:tcPr>
            <w:tcW w:w="642" w:type="dxa"/>
            <w:vAlign w:val="center"/>
          </w:tcPr>
          <w:p w14:paraId="4F81DCF5">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sz w:val="24"/>
                <w:szCs w:val="24"/>
                <w:highlight w:val="none"/>
                <w:lang w:val="en-US" w:eastAsia="zh-CN" w:bidi="ar-SA"/>
              </w:rPr>
            </w:pPr>
            <w:r>
              <w:rPr>
                <w:rFonts w:hint="default" w:ascii="宋体" w:hAnsi="宋体" w:cs="宋体"/>
                <w:sz w:val="24"/>
                <w:szCs w:val="24"/>
                <w:highlight w:val="none"/>
                <w:lang w:val="en-US" w:eastAsia="zh-CN" w:bidi="ar-SA"/>
              </w:rPr>
              <w:t>1</w:t>
            </w:r>
          </w:p>
        </w:tc>
      </w:tr>
      <w:tr w14:paraId="3F0A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36" w:type="dxa"/>
            <w:gridSpan w:val="5"/>
            <w:vAlign w:val="center"/>
          </w:tcPr>
          <w:p w14:paraId="42F7F64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w:t>
            </w:r>
            <w:r>
              <w:rPr>
                <w:rFonts w:hint="eastAsia" w:ascii="宋体" w:hAnsi="宋体" w:cs="宋体"/>
                <w:b/>
                <w:bCs/>
                <w:i w:val="0"/>
                <w:iCs w:val="0"/>
                <w:color w:val="000000"/>
                <w:kern w:val="0"/>
                <w:sz w:val="24"/>
                <w:szCs w:val="24"/>
                <w:highlight w:val="none"/>
                <w:u w:val="none"/>
                <w:lang w:val="en-US" w:eastAsia="zh-CN" w:bidi="ar"/>
              </w:rPr>
              <w:t>软件平台</w:t>
            </w:r>
          </w:p>
        </w:tc>
      </w:tr>
      <w:tr w14:paraId="390A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68" w:type="dxa"/>
            <w:vAlign w:val="center"/>
          </w:tcPr>
          <w:p w14:paraId="1CB2C32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74" w:type="dxa"/>
            <w:vAlign w:val="center"/>
          </w:tcPr>
          <w:p w14:paraId="7F4B8AE7">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无人机管控平台</w:t>
            </w:r>
          </w:p>
        </w:tc>
        <w:tc>
          <w:tcPr>
            <w:tcW w:w="5379" w:type="dxa"/>
            <w:vAlign w:val="top"/>
          </w:tcPr>
          <w:p w14:paraId="55DA28D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eastAsia="zh-CN"/>
              </w:rPr>
            </w:pPr>
            <w:r>
              <w:rPr>
                <w:rFonts w:hint="eastAsia"/>
                <w:lang w:val="en-US" w:eastAsia="zh-CN"/>
              </w:rPr>
              <w:t>★</w:t>
            </w:r>
            <w:r>
              <w:rPr>
                <w:rFonts w:hint="eastAsia"/>
              </w:rPr>
              <w:t>1、无人机状态监测</w:t>
            </w:r>
            <w:r>
              <w:rPr>
                <w:rFonts w:hint="eastAsia"/>
                <w:lang w:eastAsia="zh-CN"/>
              </w:rPr>
              <w:t>：</w:t>
            </w:r>
            <w:r>
              <w:rPr>
                <w:rFonts w:hint="eastAsia"/>
              </w:rPr>
              <w:t>支持显示多架多类型无人机的数传、图传信息，实现无人机视频的集中展示；支持在线地图或离线地图</w:t>
            </w:r>
            <w:r>
              <w:rPr>
                <w:rFonts w:hint="eastAsia"/>
                <w:lang w:eastAsia="zh-CN"/>
              </w:rPr>
              <w:t>；</w:t>
            </w:r>
          </w:p>
          <w:p w14:paraId="425431F2">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eastAsia="zh-CN"/>
              </w:rPr>
            </w:pPr>
            <w:r>
              <w:rPr>
                <w:rFonts w:hint="eastAsia"/>
              </w:rPr>
              <w:t>2、</w:t>
            </w:r>
            <w:r>
              <w:rPr>
                <w:rFonts w:hint="eastAsia"/>
                <w:lang w:val="en-US" w:eastAsia="zh-CN"/>
              </w:rPr>
              <w:t>组织架构设备列表：</w:t>
            </w:r>
            <w:r>
              <w:rPr>
                <w:rFonts w:hint="eastAsia"/>
              </w:rPr>
              <w:t>支持显示各组织架构中登记的所有无人机/当前在线无人机数量</w:t>
            </w:r>
            <w:r>
              <w:rPr>
                <w:rFonts w:hint="eastAsia"/>
                <w:lang w:eastAsia="zh-CN"/>
              </w:rPr>
              <w:t>；</w:t>
            </w:r>
          </w:p>
          <w:p w14:paraId="3D719C88">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3、地图一体化展示</w:t>
            </w:r>
            <w:r>
              <w:rPr>
                <w:rFonts w:hint="eastAsia"/>
                <w:lang w:eastAsia="zh-CN"/>
              </w:rPr>
              <w:t>：</w:t>
            </w:r>
            <w:r>
              <w:rPr>
                <w:rFonts w:hint="eastAsia"/>
              </w:rPr>
              <w:t>展示在线无人机的地理位置</w:t>
            </w:r>
          </w:p>
          <w:p w14:paraId="30C97F5C">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eastAsia="zh-CN"/>
              </w:rPr>
            </w:pPr>
            <w:r>
              <w:rPr>
                <w:rFonts w:hint="eastAsia"/>
              </w:rPr>
              <w:t>4、地图图层</w:t>
            </w:r>
            <w:r>
              <w:rPr>
                <w:rFonts w:hint="eastAsia"/>
                <w:lang w:val="en-US" w:eastAsia="zh-CN"/>
              </w:rPr>
              <w:t>信息：</w:t>
            </w:r>
            <w:r>
              <w:rPr>
                <w:rFonts w:hint="eastAsia"/>
              </w:rPr>
              <w:t>支持显示多类图层信息展示</w:t>
            </w:r>
            <w:r>
              <w:rPr>
                <w:rFonts w:hint="eastAsia"/>
                <w:lang w:eastAsia="zh-CN"/>
              </w:rPr>
              <w:t>；</w:t>
            </w:r>
          </w:p>
          <w:p w14:paraId="62AF12C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5、设备管理</w:t>
            </w:r>
          </w:p>
          <w:p w14:paraId="34D5D41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eastAsia="zh-CN"/>
              </w:rPr>
            </w:pPr>
            <w:r>
              <w:rPr>
                <w:rFonts w:hint="eastAsia"/>
              </w:rPr>
              <w:t>无人机机巢、无人机设备类型相关数据查看</w:t>
            </w:r>
            <w:r>
              <w:rPr>
                <w:rFonts w:hint="eastAsia"/>
                <w:lang w:eastAsia="zh-CN"/>
              </w:rPr>
              <w:t>：</w:t>
            </w:r>
            <w:r>
              <w:rPr>
                <w:rFonts w:hint="eastAsia"/>
              </w:rPr>
              <w:t>支持在线机巢的实时信息显示，包括图形化的机巢状态显示，网络状态、数据上传等；机巢的信息数据包括P-GPS状态、链接卫星数量、网络时延、无人机当前电量等信息。在GIS地图中，显示机巢位置以及无人机可覆盖范围</w:t>
            </w:r>
            <w:r>
              <w:rPr>
                <w:rFonts w:hint="eastAsia"/>
                <w:lang w:eastAsia="zh-CN"/>
              </w:rPr>
              <w:t>；</w:t>
            </w:r>
          </w:p>
          <w:p w14:paraId="49965084">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5.1、气象信息显示：机巢气象站信息显示；</w:t>
            </w:r>
          </w:p>
          <w:p w14:paraId="6CCB0E5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5.2、无人机基础信息显示</w:t>
            </w:r>
            <w:r>
              <w:rPr>
                <w:rFonts w:hint="eastAsia"/>
                <w:lang w:eastAsia="zh-CN"/>
              </w:rPr>
              <w:t>：</w:t>
            </w:r>
            <w:r>
              <w:rPr>
                <w:rFonts w:hint="eastAsia"/>
              </w:rPr>
              <w:t>包括经纬度、水平速度、垂直速度、高度、距返航点距离等；</w:t>
            </w:r>
          </w:p>
          <w:p w14:paraId="60ED4CE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eastAsia="zh-CN"/>
              </w:rPr>
            </w:pPr>
            <w:r>
              <w:rPr>
                <w:rFonts w:hint="eastAsia"/>
                <w:lang w:val="en-US" w:eastAsia="zh-CN"/>
              </w:rPr>
              <w:t>★</w:t>
            </w:r>
            <w:r>
              <w:rPr>
                <w:rFonts w:hint="eastAsia"/>
              </w:rPr>
              <w:t>5.3、远程调试</w:t>
            </w:r>
            <w:r>
              <w:rPr>
                <w:rFonts w:hint="eastAsia"/>
                <w:lang w:eastAsia="zh-CN"/>
              </w:rPr>
              <w:t>：</w:t>
            </w:r>
            <w:r>
              <w:rPr>
                <w:rFonts w:hint="eastAsia"/>
                <w:lang w:val="en-US" w:eastAsia="zh-CN"/>
              </w:rPr>
              <w:t>支持机巢的远程调试，包括机巢重启、飞行器夜航灯开关、备降转移高度、限远、避障开关等；</w:t>
            </w:r>
          </w:p>
          <w:p w14:paraId="7D1948C9">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eastAsia="zh-CN"/>
              </w:rPr>
            </w:pPr>
            <w:r>
              <w:rPr>
                <w:rFonts w:hint="eastAsia"/>
              </w:rPr>
              <w:t>5.4</w:t>
            </w:r>
            <w:r>
              <w:rPr>
                <w:rFonts w:hint="eastAsia"/>
                <w:lang w:eastAsia="zh-CN"/>
              </w:rPr>
              <w:t>、</w:t>
            </w:r>
            <w:r>
              <w:rPr>
                <w:rFonts w:hint="eastAsia"/>
                <w:lang w:val="en-US" w:eastAsia="zh-CN"/>
              </w:rPr>
              <w:t>一键起飞/降落：</w:t>
            </w:r>
            <w:r>
              <w:rPr>
                <w:rFonts w:hint="eastAsia"/>
              </w:rPr>
              <w:t>无人机地图选点参数设置，一键起飞，一键降落功能</w:t>
            </w:r>
            <w:r>
              <w:rPr>
                <w:rFonts w:hint="eastAsia"/>
                <w:lang w:eastAsia="zh-CN"/>
              </w:rPr>
              <w:t>；</w:t>
            </w:r>
          </w:p>
          <w:p w14:paraId="74D9C3B3">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eastAsia="zh-CN"/>
              </w:rPr>
            </w:pPr>
            <w:r>
              <w:rPr>
                <w:rFonts w:hint="eastAsia"/>
              </w:rPr>
              <w:t>6、</w:t>
            </w:r>
            <w:r>
              <w:rPr>
                <w:rFonts w:hint="eastAsia"/>
                <w:lang w:val="en-US" w:eastAsia="zh-CN"/>
              </w:rPr>
              <w:t>智能航线规划：</w:t>
            </w:r>
            <w:r>
              <w:rPr>
                <w:rFonts w:hint="eastAsia"/>
              </w:rPr>
              <w:t>平台能够实现智能航线规划功能，航线数据统一保存在平台端，形成航线库</w:t>
            </w:r>
            <w:r>
              <w:rPr>
                <w:rFonts w:hint="eastAsia"/>
                <w:lang w:eastAsia="zh-CN"/>
              </w:rPr>
              <w:t>；</w:t>
            </w:r>
          </w:p>
          <w:p w14:paraId="5AC6DE93">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eastAsia="zh-CN"/>
              </w:rPr>
            </w:pPr>
            <w:r>
              <w:rPr>
                <w:rFonts w:hint="eastAsia"/>
              </w:rPr>
              <w:t>7、航线任务下发</w:t>
            </w:r>
            <w:r>
              <w:rPr>
                <w:rFonts w:hint="eastAsia"/>
                <w:lang w:eastAsia="zh-CN"/>
              </w:rPr>
              <w:t>：</w:t>
            </w:r>
            <w:r>
              <w:rPr>
                <w:rFonts w:hint="eastAsia"/>
              </w:rPr>
              <w:t>平台端的航线下发至无人机遥控器，无人机按照下发航线进行飞行</w:t>
            </w:r>
            <w:r>
              <w:rPr>
                <w:rFonts w:hint="eastAsia"/>
                <w:lang w:eastAsia="zh-CN"/>
              </w:rPr>
              <w:t>；</w:t>
            </w:r>
          </w:p>
          <w:p w14:paraId="5ED68D8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val="en-US" w:eastAsia="zh-CN"/>
              </w:rPr>
            </w:pPr>
            <w:r>
              <w:rPr>
                <w:rFonts w:hint="eastAsia"/>
                <w:lang w:val="en-US" w:eastAsia="zh-CN"/>
              </w:rPr>
              <w:t>★</w:t>
            </w:r>
            <w:r>
              <w:rPr>
                <w:rFonts w:hint="eastAsia"/>
              </w:rPr>
              <w:t>8、历史轨迹查看</w:t>
            </w:r>
            <w:r>
              <w:rPr>
                <w:rFonts w:hint="eastAsia"/>
                <w:lang w:eastAsia="zh-CN"/>
              </w:rPr>
              <w:t>：</w:t>
            </w:r>
            <w:r>
              <w:rPr>
                <w:rFonts w:hint="eastAsia"/>
              </w:rPr>
              <w:t>支持实现轨迹回放时同步显示无人机相关信息等。轨迹回放支持倍速</w:t>
            </w:r>
            <w:r>
              <w:rPr>
                <w:rFonts w:hint="eastAsia"/>
                <w:lang w:val="en-US" w:eastAsia="zh-CN"/>
              </w:rPr>
              <w:t>播放；</w:t>
            </w:r>
          </w:p>
          <w:p w14:paraId="555278BE">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eastAsia="zh-CN"/>
              </w:rPr>
            </w:pPr>
            <w:r>
              <w:rPr>
                <w:rFonts w:hint="eastAsia"/>
                <w:lang w:val="en-US" w:eastAsia="zh-CN"/>
              </w:rPr>
              <w:t>9、</w:t>
            </w:r>
            <w:r>
              <w:rPr>
                <w:rFonts w:hint="eastAsia"/>
              </w:rPr>
              <w:t>集中展示</w:t>
            </w:r>
            <w:r>
              <w:rPr>
                <w:rFonts w:hint="eastAsia"/>
                <w:lang w:eastAsia="zh-CN"/>
              </w:rPr>
              <w:t>：</w:t>
            </w:r>
            <w:r>
              <w:rPr>
                <w:rFonts w:hint="eastAsia"/>
              </w:rPr>
              <w:t>平台端以四分屏、六分屏、九分屏等方式进行电视墙形态直播无人机实时视频。支持多类型视频终端设备将实时视频投送至平台端进行实时显示。对视频展示的布局方式进行选择，标准模式为：四宫格展示、六宫格展示、九宫格，十二宫格展示</w:t>
            </w:r>
            <w:r>
              <w:rPr>
                <w:rFonts w:hint="eastAsia"/>
                <w:lang w:eastAsia="zh-CN"/>
              </w:rPr>
              <w:t>。</w:t>
            </w:r>
          </w:p>
          <w:p w14:paraId="0C14733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1</w:t>
            </w:r>
            <w:r>
              <w:rPr>
                <w:rFonts w:hint="eastAsia"/>
                <w:lang w:val="en-US" w:eastAsia="zh-CN"/>
              </w:rPr>
              <w:t>0</w:t>
            </w:r>
            <w:r>
              <w:rPr>
                <w:rFonts w:hint="eastAsia"/>
              </w:rPr>
              <w:t>、飞行任务</w:t>
            </w:r>
            <w:r>
              <w:rPr>
                <w:rFonts w:hint="eastAsia"/>
                <w:lang w:val="en-US" w:eastAsia="zh-CN"/>
              </w:rPr>
              <w:t>管理</w:t>
            </w:r>
            <w:r>
              <w:rPr>
                <w:rFonts w:hint="eastAsia"/>
              </w:rPr>
              <w:t>：</w:t>
            </w:r>
            <w:r>
              <w:rPr>
                <w:rFonts w:hint="eastAsia"/>
                <w:lang w:val="en-US" w:eastAsia="zh-CN"/>
              </w:rPr>
              <w:t>新建计划：填写计划名称、选择航线、返航高度、失联动作等；</w:t>
            </w:r>
            <w:r>
              <w:rPr>
                <w:rFonts w:hint="eastAsia"/>
              </w:rPr>
              <w:t>计划任务：</w:t>
            </w:r>
            <w:r>
              <w:rPr>
                <w:rFonts w:hint="eastAsia"/>
                <w:lang w:val="en-US" w:eastAsia="zh-CN"/>
              </w:rPr>
              <w:t>计划任务：按状态查看具体任务信息</w:t>
            </w:r>
            <w:r>
              <w:rPr>
                <w:rFonts w:hint="eastAsia"/>
              </w:rPr>
              <w:t>。</w:t>
            </w:r>
          </w:p>
          <w:p w14:paraId="5152D73E">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lang w:val="en-US" w:eastAsia="zh-CN"/>
              </w:rPr>
            </w:pPr>
            <w:r>
              <w:rPr>
                <w:rFonts w:hint="eastAsia"/>
              </w:rPr>
              <w:t>1</w:t>
            </w:r>
            <w:r>
              <w:rPr>
                <w:rFonts w:hint="eastAsia"/>
                <w:lang w:val="en-US" w:eastAsia="zh-CN"/>
              </w:rPr>
              <w:t>1</w:t>
            </w:r>
            <w:r>
              <w:rPr>
                <w:rFonts w:hint="eastAsia"/>
              </w:rPr>
              <w:t>、航线库</w:t>
            </w:r>
            <w:r>
              <w:rPr>
                <w:rFonts w:hint="eastAsia"/>
                <w:lang w:eastAsia="zh-CN"/>
              </w:rPr>
              <w:t>：</w:t>
            </w:r>
            <w:r>
              <w:rPr>
                <w:rFonts w:hint="eastAsia"/>
                <w:lang w:val="en-US" w:eastAsia="zh-CN"/>
              </w:rPr>
              <w:t>管理已建航线规划，支持航线上传、绘制、查看、删除。</w:t>
            </w:r>
          </w:p>
          <w:p w14:paraId="7130FC94">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1</w:t>
            </w:r>
            <w:r>
              <w:rPr>
                <w:rFonts w:hint="eastAsia"/>
                <w:lang w:val="en-US" w:eastAsia="zh-CN"/>
              </w:rPr>
              <w:t>2</w:t>
            </w:r>
            <w:r>
              <w:rPr>
                <w:rFonts w:hint="eastAsia"/>
              </w:rPr>
              <w:t>、部门管理</w:t>
            </w:r>
            <w:r>
              <w:rPr>
                <w:rFonts w:hint="eastAsia"/>
                <w:lang w:val="en-US" w:eastAsia="zh-CN"/>
              </w:rPr>
              <w:t>:设置部门及管辖范围，实现内部组织机构管理。</w:t>
            </w:r>
          </w:p>
          <w:p w14:paraId="34A0883F">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1</w:t>
            </w:r>
            <w:r>
              <w:rPr>
                <w:rFonts w:hint="eastAsia"/>
                <w:lang w:val="en-US" w:eastAsia="zh-CN"/>
              </w:rPr>
              <w:t>3</w:t>
            </w:r>
            <w:r>
              <w:rPr>
                <w:rFonts w:hint="eastAsia"/>
              </w:rPr>
              <w:t>、人员管理</w:t>
            </w:r>
            <w:r>
              <w:rPr>
                <w:rFonts w:hint="eastAsia"/>
                <w:lang w:eastAsia="zh-CN"/>
              </w:rPr>
              <w:t>：</w:t>
            </w:r>
            <w:r>
              <w:rPr>
                <w:rFonts w:hint="eastAsia"/>
              </w:rPr>
              <w:t>设置人员及角色，实现对不同部门下的人员管理。</w:t>
            </w:r>
          </w:p>
          <w:p w14:paraId="3A6CD763">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1</w:t>
            </w:r>
            <w:r>
              <w:rPr>
                <w:rFonts w:hint="eastAsia"/>
                <w:lang w:val="en-US" w:eastAsia="zh-CN"/>
              </w:rPr>
              <w:t>4</w:t>
            </w:r>
            <w:r>
              <w:rPr>
                <w:rFonts w:hint="eastAsia"/>
              </w:rPr>
              <w:t>、角色管理</w:t>
            </w:r>
            <w:r>
              <w:rPr>
                <w:rFonts w:hint="eastAsia"/>
                <w:lang w:eastAsia="zh-CN"/>
              </w:rPr>
              <w:t>：</w:t>
            </w:r>
            <w:r>
              <w:rPr>
                <w:rFonts w:hint="eastAsia"/>
              </w:rPr>
              <w:t>设置角色及对应的权限，实现对不同角色在系统内的不同权限管理。</w:t>
            </w:r>
          </w:p>
          <w:p w14:paraId="02857D5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1</w:t>
            </w:r>
            <w:r>
              <w:rPr>
                <w:rFonts w:hint="eastAsia"/>
                <w:lang w:val="en-US" w:eastAsia="zh-CN"/>
              </w:rPr>
              <w:t>5</w:t>
            </w:r>
            <w:r>
              <w:rPr>
                <w:rFonts w:hint="eastAsia"/>
              </w:rPr>
              <w:t>、在线无人机查看</w:t>
            </w:r>
            <w:r>
              <w:rPr>
                <w:rFonts w:hint="eastAsia"/>
                <w:lang w:eastAsia="zh-CN"/>
              </w:rPr>
              <w:t>：</w:t>
            </w:r>
            <w:r>
              <w:rPr>
                <w:rFonts w:hint="eastAsia"/>
              </w:rPr>
              <w:t>查看在线无人机飞行状态，实时查看无人机飞行视频、飞行轨迹等信息。</w:t>
            </w:r>
          </w:p>
          <w:p w14:paraId="1F3479D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1</w:t>
            </w:r>
            <w:r>
              <w:rPr>
                <w:rFonts w:hint="eastAsia"/>
                <w:lang w:val="en-US" w:eastAsia="zh-CN"/>
              </w:rPr>
              <w:t>6</w:t>
            </w:r>
            <w:r>
              <w:rPr>
                <w:rFonts w:hint="eastAsia"/>
              </w:rPr>
              <w:t>、远程</w:t>
            </w:r>
            <w:r>
              <w:rPr>
                <w:rFonts w:hint="eastAsia"/>
                <w:lang w:val="en-US" w:eastAsia="zh-CN"/>
              </w:rPr>
              <w:t>云台</w:t>
            </w:r>
            <w:r>
              <w:rPr>
                <w:rFonts w:hint="eastAsia"/>
              </w:rPr>
              <w:t>控制</w:t>
            </w:r>
            <w:r>
              <w:rPr>
                <w:rFonts w:hint="eastAsia"/>
                <w:lang w:eastAsia="zh-CN"/>
              </w:rPr>
              <w:t>：</w:t>
            </w:r>
            <w:r>
              <w:rPr>
                <w:rFonts w:hint="eastAsia"/>
              </w:rPr>
              <w:t>支持远程云台镜头控制</w:t>
            </w:r>
            <w:r>
              <w:rPr>
                <w:rFonts w:hint="eastAsia"/>
                <w:lang w:val="en-US" w:eastAsia="zh-CN"/>
              </w:rPr>
              <w:t>（云台左右、上下旋转）；</w:t>
            </w:r>
          </w:p>
          <w:p w14:paraId="5C049228">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rPr>
              <w:t>1</w:t>
            </w:r>
            <w:r>
              <w:rPr>
                <w:rFonts w:hint="eastAsia"/>
                <w:lang w:val="en-US" w:eastAsia="zh-CN"/>
              </w:rPr>
              <w:t>7</w:t>
            </w:r>
            <w:r>
              <w:rPr>
                <w:rFonts w:hint="eastAsia"/>
              </w:rPr>
              <w:t>、</w:t>
            </w:r>
            <w:r>
              <w:rPr>
                <w:rFonts w:hint="eastAsia"/>
                <w:lang w:val="en-US" w:eastAsia="zh-CN"/>
              </w:rPr>
              <w:t>点线面标注:支持在地图页面进行点、线、面标注，标注信息在系统端、飞手遥控器端、单兵端同步查看；支持标注信息管理；</w:t>
            </w:r>
          </w:p>
          <w:p w14:paraId="6515C0C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lang w:val="en-US" w:eastAsia="zh-CN"/>
              </w:rPr>
              <w:t>18</w:t>
            </w:r>
            <w:r>
              <w:rPr>
                <w:rFonts w:hint="eastAsia"/>
              </w:rPr>
              <w:t>、设备告警</w:t>
            </w:r>
            <w:r>
              <w:rPr>
                <w:rFonts w:hint="eastAsia"/>
                <w:lang w:eastAsia="zh-CN"/>
              </w:rPr>
              <w:t>：</w:t>
            </w:r>
            <w:r>
              <w:rPr>
                <w:rFonts w:hint="eastAsia"/>
                <w:lang w:val="en-US" w:eastAsia="zh-CN"/>
              </w:rPr>
              <w:t>设备告警历史记录展示，包括警告内容、设备、时间等；</w:t>
            </w:r>
          </w:p>
          <w:p w14:paraId="3C7FC99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lang w:val="en-US" w:eastAsia="zh-CN"/>
              </w:rPr>
              <w:t>19</w:t>
            </w:r>
            <w:r>
              <w:rPr>
                <w:rFonts w:hint="eastAsia"/>
              </w:rPr>
              <w:t>、通知公告</w:t>
            </w:r>
            <w:r>
              <w:rPr>
                <w:rFonts w:hint="eastAsia"/>
                <w:lang w:eastAsia="zh-CN"/>
              </w:rPr>
              <w:t>：</w:t>
            </w:r>
            <w:r>
              <w:rPr>
                <w:rFonts w:hint="eastAsia"/>
                <w:lang w:val="en-US" w:eastAsia="zh-CN"/>
              </w:rPr>
              <w:t>公告内容发布管理；</w:t>
            </w:r>
          </w:p>
          <w:p w14:paraId="5FFF4BBC">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rPr>
              <w:t>2</w:t>
            </w:r>
            <w:r>
              <w:rPr>
                <w:rFonts w:hint="eastAsia"/>
                <w:lang w:val="en-US" w:eastAsia="zh-CN"/>
              </w:rPr>
              <w:t>0</w:t>
            </w:r>
            <w:r>
              <w:rPr>
                <w:rFonts w:hint="eastAsia"/>
              </w:rPr>
              <w:t>、日志操作记录</w:t>
            </w:r>
            <w:r>
              <w:rPr>
                <w:rFonts w:hint="eastAsia"/>
                <w:lang w:eastAsia="zh-CN"/>
              </w:rPr>
              <w:t>：</w:t>
            </w:r>
            <w:r>
              <w:rPr>
                <w:rFonts w:hint="eastAsia"/>
                <w:lang w:val="en-US" w:eastAsia="zh-CN"/>
              </w:rPr>
              <w:t>记录系统内各类操作、登录记录；</w:t>
            </w:r>
          </w:p>
          <w:p w14:paraId="22D93BB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★21</w:t>
            </w:r>
            <w:r>
              <w:rPr>
                <w:rFonts w:hint="eastAsia"/>
              </w:rPr>
              <w:t>、AI智能检测</w:t>
            </w:r>
            <w:r>
              <w:rPr>
                <w:rFonts w:hint="eastAsia"/>
                <w:lang w:eastAsia="zh-CN"/>
              </w:rPr>
              <w:t>：</w:t>
            </w:r>
            <w:r>
              <w:rPr>
                <w:rFonts w:hint="eastAsia"/>
              </w:rPr>
              <w:t>支持AI算法的接入</w:t>
            </w:r>
            <w:r>
              <w:rPr>
                <w:rFonts w:hint="eastAsia"/>
                <w:lang w:val="en-US" w:eastAsia="zh-CN"/>
              </w:rPr>
              <w:t>，投标人须承诺开放API接口，承诺提供人员、车辆、烟雾/火点识别算法调试与配置服务；</w:t>
            </w:r>
          </w:p>
          <w:p w14:paraId="6960BEDD">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★22、AR实景投影：支持AR实景投影，将关键地理信息实时叠加至无人机直播画面；</w:t>
            </w:r>
          </w:p>
          <w:p w14:paraId="6EFB49F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★23、移动端查看：支持平台移动端APP（iOS/Android）查看，APP端与Web端功能同步；</w:t>
            </w:r>
          </w:p>
          <w:p w14:paraId="3C4E52C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lang w:val="en-US" w:eastAsia="zh-CN"/>
              </w:rPr>
              <w:t>24、</w:t>
            </w:r>
            <w:r>
              <w:rPr>
                <w:rFonts w:hint="eastAsia"/>
              </w:rPr>
              <w:t>媒体库</w:t>
            </w:r>
            <w:r>
              <w:rPr>
                <w:rFonts w:hint="eastAsia"/>
                <w:lang w:eastAsia="zh-CN"/>
              </w:rPr>
              <w:t>：</w:t>
            </w:r>
            <w:r>
              <w:rPr>
                <w:rFonts w:hint="eastAsia"/>
                <w:lang w:val="en-US" w:eastAsia="zh-CN"/>
              </w:rPr>
              <w:t>无人机所拍摄的图片及视频显示，包括图片及视频；</w:t>
            </w:r>
          </w:p>
          <w:p w14:paraId="4AF669A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lang w:val="en-US" w:eastAsia="zh-CN"/>
              </w:rPr>
              <w:t>★25</w:t>
            </w:r>
            <w:r>
              <w:rPr>
                <w:rFonts w:hint="eastAsia"/>
              </w:rPr>
              <w:t>、警情管理</w:t>
            </w:r>
            <w:r>
              <w:rPr>
                <w:rFonts w:hint="eastAsia"/>
                <w:lang w:eastAsia="zh-CN"/>
              </w:rPr>
              <w:t>：</w:t>
            </w:r>
            <w:r>
              <w:rPr>
                <w:rFonts w:hint="eastAsia"/>
                <w:lang w:val="en-US" w:eastAsia="zh-CN"/>
              </w:rPr>
              <w:t>警情列表化展示，包括位置、时间、经纬度、警情级别等信息；</w:t>
            </w:r>
          </w:p>
          <w:p w14:paraId="7E1B459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eastAsia="宋体"/>
                <w:lang w:eastAsia="zh-CN"/>
              </w:rPr>
            </w:pPr>
            <w:r>
              <w:rPr>
                <w:rFonts w:hint="eastAsia"/>
                <w:lang w:val="en-US" w:eastAsia="zh-CN"/>
              </w:rPr>
              <w:t>★</w:t>
            </w:r>
            <w:r>
              <w:rPr>
                <w:rFonts w:hint="eastAsia"/>
              </w:rPr>
              <w:t>2</w:t>
            </w:r>
            <w:r>
              <w:rPr>
                <w:rFonts w:hint="eastAsia"/>
                <w:lang w:val="en-US" w:eastAsia="zh-CN"/>
              </w:rPr>
              <w:t>6</w:t>
            </w:r>
            <w:r>
              <w:rPr>
                <w:rFonts w:hint="eastAsia"/>
              </w:rPr>
              <w:t>、第三方平台对接</w:t>
            </w:r>
            <w:r>
              <w:rPr>
                <w:rFonts w:hint="eastAsia"/>
                <w:lang w:eastAsia="zh-CN"/>
              </w:rPr>
              <w:t>：</w:t>
            </w:r>
            <w:r>
              <w:rPr>
                <w:rFonts w:hint="eastAsia"/>
              </w:rPr>
              <w:t>支持将无人机的视频、报警巡检数据等推送至第三方应用平台</w:t>
            </w:r>
            <w:r>
              <w:rPr>
                <w:rFonts w:hint="eastAsia"/>
                <w:lang w:eastAsia="zh-CN"/>
              </w:rPr>
              <w:t>；</w:t>
            </w:r>
            <w:r>
              <w:rPr>
                <w:rFonts w:hint="eastAsia"/>
                <w:lang w:val="en-US" w:eastAsia="zh-CN"/>
              </w:rPr>
              <w:t>投标人须提供《</w:t>
            </w:r>
            <w:r>
              <w:rPr>
                <w:rFonts w:hint="eastAsia"/>
              </w:rPr>
              <w:t>第三方平台对接</w:t>
            </w:r>
            <w:r>
              <w:rPr>
                <w:rFonts w:hint="eastAsia"/>
                <w:lang w:val="en-US" w:eastAsia="zh-CN"/>
              </w:rPr>
              <w:t>承诺函》；</w:t>
            </w:r>
          </w:p>
          <w:p w14:paraId="5F6499E4">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★27、信创部署：支持信创服务器或信创云部署，提供国产化适配方案；投标人须提供《私有化部署承诺函》</w:t>
            </w:r>
          </w:p>
          <w:p w14:paraId="76F66432">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eastAsia="zh-CN"/>
              </w:rPr>
            </w:pPr>
            <w:r>
              <w:rPr>
                <w:rFonts w:hint="eastAsia"/>
                <w:lang w:val="en-US" w:eastAsia="zh-CN"/>
              </w:rPr>
              <w:t>★28、</w:t>
            </w:r>
            <w:r>
              <w:rPr>
                <w:rFonts w:hint="default"/>
                <w:lang w:val="en-US" w:eastAsia="zh-CN"/>
              </w:rPr>
              <w:t>私有化部署</w:t>
            </w:r>
            <w:r>
              <w:rPr>
                <w:rFonts w:hint="eastAsia"/>
                <w:lang w:val="en-US" w:eastAsia="zh-CN"/>
              </w:rPr>
              <w:t>：软件平台支持私有化部署，部署于采购人指定的本地服务器或信创云环境。投标人须提供《私有化部署承诺函》。</w:t>
            </w:r>
            <w:r>
              <w:rPr>
                <w:rFonts w:hint="eastAsia"/>
              </w:rPr>
              <w:br w:type="textWrapping"/>
            </w:r>
            <w:r>
              <w:rPr>
                <w:rFonts w:hint="eastAsia"/>
                <w:lang w:val="en-US" w:eastAsia="zh-CN"/>
              </w:rPr>
              <w:t>（带“★”的须提供软件功能截图佐证，★26、★27、★28 须提供加盖原厂家公章的承诺函佐证)</w:t>
            </w:r>
          </w:p>
        </w:tc>
        <w:tc>
          <w:tcPr>
            <w:tcW w:w="773" w:type="dxa"/>
            <w:vAlign w:val="center"/>
          </w:tcPr>
          <w:p w14:paraId="1BB9007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套</w:t>
            </w:r>
          </w:p>
        </w:tc>
        <w:tc>
          <w:tcPr>
            <w:tcW w:w="642" w:type="dxa"/>
            <w:vAlign w:val="center"/>
          </w:tcPr>
          <w:p w14:paraId="7F11CE1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cs="宋体"/>
                <w:i w:val="0"/>
                <w:iCs w:val="0"/>
                <w:color w:val="000000"/>
                <w:kern w:val="0"/>
                <w:sz w:val="24"/>
                <w:szCs w:val="24"/>
                <w:highlight w:val="none"/>
                <w:u w:val="none"/>
                <w:lang w:val="en-US" w:eastAsia="zh-CN" w:bidi="ar"/>
              </w:rPr>
              <w:t>1</w:t>
            </w:r>
          </w:p>
        </w:tc>
      </w:tr>
    </w:tbl>
    <w:p w14:paraId="5F1F2917">
      <w:pPr>
        <w:rPr>
          <w:rFonts w:hint="eastAsia"/>
          <w:lang w:val="en-US" w:eastAsia="zh-CN"/>
        </w:rPr>
      </w:pPr>
    </w:p>
    <w:p w14:paraId="70D8E118">
      <w:pPr>
        <w:pStyle w:val="6"/>
        <w:bidi w:val="0"/>
        <w:rPr>
          <w:rFonts w:hint="eastAsia"/>
          <w:lang w:val="en-US" w:eastAsia="zh-CN"/>
        </w:rPr>
      </w:pPr>
      <w:r>
        <w:rPr>
          <w:rFonts w:hint="eastAsia"/>
          <w:lang w:val="en-US" w:eastAsia="zh-CN"/>
        </w:rPr>
        <w:t>软件平台部署方式</w:t>
      </w:r>
    </w:p>
    <w:p w14:paraId="7757A42A">
      <w:pPr>
        <w:rPr>
          <w:rFonts w:hint="eastAsia"/>
          <w:lang w:val="en-US" w:eastAsia="zh-CN"/>
        </w:rPr>
      </w:pPr>
      <w:r>
        <w:rPr>
          <w:rFonts w:hint="eastAsia"/>
          <w:lang w:val="en-US" w:eastAsia="zh-CN"/>
        </w:rPr>
        <w:t>软件平台采用云部署方式，需支持私有化部署。</w:t>
      </w:r>
      <w:r>
        <w:rPr>
          <w:rFonts w:hint="eastAsia" w:ascii="宋体" w:hAnsi="宋体" w:eastAsia="宋体" w:cs="宋体"/>
          <w:b w:val="0"/>
          <w:bCs w:val="0"/>
          <w:sz w:val="24"/>
          <w:szCs w:val="24"/>
          <w:highlight w:val="none"/>
        </w:rPr>
        <w:t>部署环境支持信创服务器或者信创云部署</w:t>
      </w:r>
      <w:r>
        <w:rPr>
          <w:rFonts w:hint="eastAsia" w:ascii="宋体" w:hAnsi="宋体" w:cs="宋体"/>
          <w:b w:val="0"/>
          <w:bCs w:val="0"/>
          <w:sz w:val="24"/>
          <w:szCs w:val="24"/>
          <w:highlight w:val="none"/>
          <w:lang w:eastAsia="zh-CN"/>
        </w:rPr>
        <w:t>。</w:t>
      </w:r>
      <w:r>
        <w:rPr>
          <w:rFonts w:hint="eastAsia"/>
          <w:lang w:val="en-US" w:eastAsia="zh-CN"/>
        </w:rPr>
        <w:t>部署于采购人指定的云服务器环境（可由采购人自行选择云服务商），确保所有业务数据（含飞行影像、任务记录、分析结果等）存储于采购人可控的云账号内，数据所有权归采购人。</w:t>
      </w:r>
    </w:p>
    <w:p w14:paraId="7DADE1B9">
      <w:pPr>
        <w:rPr>
          <w:rFonts w:hint="eastAsia"/>
          <w:lang w:val="en-US" w:eastAsia="zh-CN"/>
        </w:rPr>
      </w:pPr>
      <w:r>
        <w:rPr>
          <w:rFonts w:hint="eastAsia"/>
          <w:lang w:val="en-US" w:eastAsia="zh-CN"/>
        </w:rPr>
        <w:t>数据所有权：无人机飞行及软件平台运行过程中采集的全部数据（包括但不限于视频、照片、热成像影像、飞行日志、AI分析结果等）的所有权归采购人所有。供应商不得以任何理由留存、复制或向第三方提供数据。相关权责应在合同中明确约定。</w:t>
      </w:r>
    </w:p>
    <w:p w14:paraId="4050DE9E">
      <w:pPr>
        <w:rPr>
          <w:rFonts w:hint="eastAsia" w:eastAsia="宋体"/>
          <w:lang w:val="en-US" w:eastAsia="zh-CN"/>
        </w:rPr>
      </w:pPr>
      <w:r>
        <w:rPr>
          <w:rFonts w:hint="eastAsia"/>
          <w:lang w:val="en-US" w:eastAsia="zh-CN"/>
        </w:rPr>
        <w:t>后续扩展性：软件平台应提供开放API接口，支持后续接入更多无人机机场和业务系统。</w:t>
      </w:r>
    </w:p>
    <w:p w14:paraId="34002706">
      <w:pPr>
        <w:pStyle w:val="2"/>
        <w:rPr>
          <w:rFonts w:hint="eastAsia"/>
          <w:lang w:val="en-US" w:eastAsia="zh-CN"/>
        </w:rPr>
      </w:pPr>
    </w:p>
    <w:p w14:paraId="5AC0269C">
      <w:pPr>
        <w:pStyle w:val="6"/>
        <w:bidi w:val="0"/>
        <w:rPr>
          <w:rFonts w:hint="eastAsia"/>
        </w:rPr>
      </w:pPr>
      <w:r>
        <w:rPr>
          <w:rFonts w:hint="eastAsia"/>
          <w:lang w:val="en-US" w:eastAsia="zh-CN"/>
        </w:rPr>
        <w:t>施工管理要求</w:t>
      </w:r>
    </w:p>
    <w:p w14:paraId="3F6419A0">
      <w:pPr>
        <w:rPr>
          <w:rFonts w:hint="eastAsia"/>
        </w:rPr>
      </w:pPr>
      <w:r>
        <w:rPr>
          <w:rFonts w:hint="eastAsia"/>
          <w:lang w:val="en-US" w:eastAsia="zh-CN"/>
        </w:rPr>
        <w:t>1、</w:t>
      </w:r>
      <w:r>
        <w:rPr>
          <w:rFonts w:hint="eastAsia"/>
        </w:rPr>
        <w:t>施工环境与安全要求</w:t>
      </w:r>
    </w:p>
    <w:p w14:paraId="49530FAC">
      <w:pPr>
        <w:rPr>
          <w:rFonts w:hint="eastAsia"/>
        </w:rPr>
      </w:pPr>
      <w:r>
        <w:rPr>
          <w:rFonts w:hint="eastAsia"/>
        </w:rPr>
        <w:t>供应商应充分了解医院医疗场所的特殊性，制定针对性的施工方案，包括但不限于：施工区域规划、作业时间安排（尽量避开就诊高峰期及夜间休息时段）、人员出入管理、噪声控制、粉尘控制等措施，最大限度减少对医疗秩序的影响。</w:t>
      </w:r>
    </w:p>
    <w:p w14:paraId="16CD79F9">
      <w:pPr>
        <w:rPr>
          <w:rFonts w:hint="eastAsia"/>
        </w:rPr>
      </w:pPr>
      <w:r>
        <w:rPr>
          <w:rFonts w:hint="eastAsia"/>
        </w:rPr>
        <w:t>施工现场应设置明显的安全警示标志和施工围挡，确保患者、家属及医护人员的安全通行。</w:t>
      </w:r>
    </w:p>
    <w:p w14:paraId="69DB5D4C">
      <w:pPr>
        <w:rPr>
          <w:rFonts w:hint="eastAsia"/>
        </w:rPr>
      </w:pPr>
      <w:r>
        <w:rPr>
          <w:rFonts w:hint="eastAsia"/>
        </w:rPr>
        <w:t>施工期间须严格遵守医院的消防安全管理规定，动火作业须提前办理审批手续，并配备消防器材。</w:t>
      </w:r>
    </w:p>
    <w:p w14:paraId="4A10E495">
      <w:pPr>
        <w:rPr>
          <w:rFonts w:hint="eastAsia" w:eastAsia="宋体"/>
          <w:lang w:eastAsia="zh-CN"/>
        </w:rPr>
      </w:pPr>
      <w:r>
        <w:rPr>
          <w:rFonts w:hint="eastAsia"/>
        </w:rPr>
        <w:t>施工过程应采取有效降噪措施，确保施工噪声符合医院环境要求</w:t>
      </w:r>
      <w:r>
        <w:rPr>
          <w:rFonts w:hint="eastAsia"/>
          <w:lang w:eastAsia="zh-CN"/>
        </w:rPr>
        <w:t>。</w:t>
      </w:r>
    </w:p>
    <w:p w14:paraId="3FCD9EC2">
      <w:pPr>
        <w:rPr>
          <w:rFonts w:hint="eastAsia"/>
        </w:rPr>
      </w:pPr>
      <w:r>
        <w:rPr>
          <w:rFonts w:hint="eastAsia"/>
          <w:lang w:val="en-US" w:eastAsia="zh-CN"/>
        </w:rPr>
        <w:t>2、</w:t>
      </w:r>
      <w:r>
        <w:rPr>
          <w:rFonts w:hint="eastAsia"/>
        </w:rPr>
        <w:t>施工质量与损坏修复</w:t>
      </w:r>
    </w:p>
    <w:p w14:paraId="3DC4A434">
      <w:pPr>
        <w:rPr>
          <w:rFonts w:hint="eastAsia"/>
        </w:rPr>
      </w:pPr>
      <w:r>
        <w:rPr>
          <w:rFonts w:hint="eastAsia"/>
        </w:rPr>
        <w:t>供应商应确保施工所用辅材（线缆、线管、支架、紧固件等）符合国家质量标准，并提供材料清单及合格证明。</w:t>
      </w:r>
    </w:p>
    <w:p w14:paraId="556611D4">
      <w:pPr>
        <w:rPr>
          <w:rFonts w:hint="eastAsia"/>
        </w:rPr>
      </w:pPr>
      <w:r>
        <w:rPr>
          <w:rFonts w:hint="eastAsia"/>
        </w:rPr>
        <w:t>因施工造成的各类设施损坏（包括但不限于路面、墙面、绿化、管线等），由供应商负责修复并承担全部费用。</w:t>
      </w:r>
    </w:p>
    <w:p w14:paraId="190CBEE1">
      <w:pPr>
        <w:rPr>
          <w:rFonts w:hint="eastAsia"/>
        </w:rPr>
      </w:pPr>
      <w:r>
        <w:rPr>
          <w:rFonts w:hint="eastAsia"/>
          <w:lang w:val="en-US" w:eastAsia="zh-CN"/>
        </w:rPr>
        <w:t>3、</w:t>
      </w:r>
      <w:r>
        <w:rPr>
          <w:rFonts w:hint="eastAsia"/>
        </w:rPr>
        <w:t>应急处置与特殊时期保障</w:t>
      </w:r>
    </w:p>
    <w:p w14:paraId="2338AF78">
      <w:pPr>
        <w:rPr>
          <w:rFonts w:hint="eastAsia"/>
        </w:rPr>
      </w:pPr>
      <w:r>
        <w:rPr>
          <w:rFonts w:hint="eastAsia"/>
        </w:rPr>
        <w:t>供应商应制定施工期间及系统运行期间的应急处置方案，包括供电中断、网络故障、设备异常等情况的快速恢复措施。</w:t>
      </w:r>
    </w:p>
    <w:p w14:paraId="5C9C991E">
      <w:pPr>
        <w:rPr>
          <w:rFonts w:hint="eastAsia"/>
        </w:rPr>
      </w:pPr>
      <w:r>
        <w:rPr>
          <w:rFonts w:hint="eastAsia"/>
          <w:lang w:val="en-US" w:eastAsia="zh-CN"/>
        </w:rPr>
        <w:t>4、</w:t>
      </w:r>
      <w:r>
        <w:rPr>
          <w:rFonts w:hint="eastAsia"/>
        </w:rPr>
        <w:t>人员配置</w:t>
      </w:r>
    </w:p>
    <w:p w14:paraId="350981DB">
      <w:pPr>
        <w:rPr>
          <w:rFonts w:hint="eastAsia"/>
        </w:rPr>
      </w:pPr>
      <w:r>
        <w:rPr>
          <w:rFonts w:hint="eastAsia"/>
        </w:rPr>
        <w:t>施工人员进入医院区域须遵守医院管理规定，接受院方安全培训并备案。</w:t>
      </w:r>
    </w:p>
    <w:p w14:paraId="0FBDC485">
      <w:pPr>
        <w:pStyle w:val="5"/>
        <w:bidi w:val="0"/>
        <w:rPr>
          <w:rFonts w:hint="default"/>
          <w:lang w:val="en-US" w:eastAsia="zh-CN"/>
        </w:rPr>
      </w:pPr>
      <w:r>
        <w:rPr>
          <w:rFonts w:hint="eastAsia"/>
          <w:lang w:val="en-US" w:eastAsia="zh-CN"/>
        </w:rPr>
        <w:t>商务要求</w:t>
      </w:r>
    </w:p>
    <w:p w14:paraId="73F98B0B">
      <w:pPr>
        <w:pStyle w:val="6"/>
        <w:bidi w:val="0"/>
        <w:rPr>
          <w:rFonts w:hint="eastAsia"/>
        </w:rPr>
      </w:pPr>
      <w:r>
        <w:rPr>
          <w:rFonts w:hint="eastAsia"/>
        </w:rPr>
        <w:t>供货方式及报价要求</w:t>
      </w:r>
    </w:p>
    <w:p w14:paraId="64265E94">
      <w:pPr>
        <w:bidi w:val="0"/>
        <w:rPr>
          <w:rFonts w:hint="eastAsia"/>
          <w:lang w:eastAsia="zh-CN"/>
        </w:rPr>
      </w:pPr>
      <w:r>
        <w:rPr>
          <w:rFonts w:hint="eastAsia"/>
        </w:rPr>
        <w:t>按招标项目的技术要求，投标方根据项目特点和企业条件确定投标报价。投标方所报的投标报价为本标项的总报价，</w:t>
      </w:r>
      <w:r>
        <w:rPr>
          <w:rFonts w:hint="eastAsia"/>
          <w:lang w:val="en-US" w:eastAsia="zh-CN"/>
        </w:rPr>
        <w:t>包括全部设备价款（含必备的附件备件）、运输装卸费、安装调试费、</w:t>
      </w:r>
      <w:r>
        <w:rPr>
          <w:rFonts w:hint="eastAsia"/>
        </w:rPr>
        <w:t>产品购置费</w:t>
      </w:r>
      <w:r>
        <w:rPr>
          <w:rFonts w:hint="eastAsia"/>
          <w:lang w:eastAsia="zh-CN"/>
        </w:rPr>
        <w:t>、包装、装卸、保险、利润、税金、培训、保修</w:t>
      </w:r>
      <w:r>
        <w:rPr>
          <w:rFonts w:hint="eastAsia"/>
        </w:rPr>
        <w:t>等一切费用。如有漏项，视同已包含在其它项目中，合同</w:t>
      </w:r>
      <w:r>
        <w:rPr>
          <w:rFonts w:hint="eastAsia"/>
          <w:lang w:val="en-US" w:eastAsia="zh-CN"/>
        </w:rPr>
        <w:t>单</w:t>
      </w:r>
      <w:r>
        <w:rPr>
          <w:rFonts w:hint="eastAsia"/>
        </w:rPr>
        <w:t>价不做调整</w:t>
      </w:r>
      <w:r>
        <w:rPr>
          <w:rFonts w:hint="eastAsia"/>
          <w:lang w:eastAsia="zh-CN"/>
        </w:rPr>
        <w:t>，</w:t>
      </w:r>
      <w:r>
        <w:rPr>
          <w:rFonts w:hint="eastAsia"/>
          <w:lang w:val="en-US" w:eastAsia="zh-CN"/>
        </w:rPr>
        <w:t>具体数量按实结算</w:t>
      </w:r>
      <w:r>
        <w:rPr>
          <w:rFonts w:hint="eastAsia"/>
          <w:lang w:eastAsia="zh-CN"/>
        </w:rPr>
        <w:t>。</w:t>
      </w:r>
    </w:p>
    <w:p w14:paraId="113A4238">
      <w:pPr>
        <w:bidi w:val="0"/>
        <w:rPr>
          <w:rFonts w:hint="eastAsia"/>
        </w:rPr>
      </w:pPr>
      <w:r>
        <w:rPr>
          <w:rFonts w:hint="eastAsia"/>
        </w:rPr>
        <w:t>按国家规定由中标人缴纳的各种税收已包含在投标</w:t>
      </w:r>
      <w:r>
        <w:rPr>
          <w:rFonts w:hint="eastAsia"/>
          <w:lang w:val="en-US" w:eastAsia="zh-CN"/>
        </w:rPr>
        <w:t>报</w:t>
      </w:r>
      <w:r>
        <w:rPr>
          <w:rFonts w:hint="eastAsia"/>
        </w:rPr>
        <w:t>价内，由中标人向税务机关缴纳。</w:t>
      </w:r>
    </w:p>
    <w:p w14:paraId="183AAC9C">
      <w:pPr>
        <w:pStyle w:val="6"/>
        <w:bidi w:val="0"/>
        <w:rPr>
          <w:rFonts w:hint="eastAsia"/>
        </w:rPr>
      </w:pPr>
      <w:r>
        <w:rPr>
          <w:rFonts w:hint="eastAsia"/>
        </w:rPr>
        <w:t>交货时间及地点：</w:t>
      </w:r>
    </w:p>
    <w:p w14:paraId="5003CACC">
      <w:pPr>
        <w:bidi w:val="0"/>
        <w:rPr>
          <w:rFonts w:hint="eastAsia"/>
          <w:lang w:val="en-US" w:eastAsia="zh-CN"/>
        </w:rPr>
      </w:pPr>
      <w:r>
        <w:rPr>
          <w:rFonts w:hint="eastAsia"/>
        </w:rPr>
        <w:t>交货时间：</w:t>
      </w:r>
      <w:r>
        <w:rPr>
          <w:rFonts w:hint="eastAsia"/>
          <w:lang w:val="en-US" w:eastAsia="zh-CN"/>
        </w:rPr>
        <w:t>无人机机场在合同签订后 1 个月内交货并完成安装调试，软件部分在合同签订后 3 个月内完成安装调试。</w:t>
      </w:r>
    </w:p>
    <w:p w14:paraId="4542ADC6">
      <w:pPr>
        <w:bidi w:val="0"/>
        <w:rPr>
          <w:rFonts w:hint="eastAsia"/>
        </w:rPr>
      </w:pPr>
      <w:r>
        <w:rPr>
          <w:rFonts w:hint="eastAsia"/>
        </w:rPr>
        <w:t>交货地点：按采购人指定地点。</w:t>
      </w:r>
    </w:p>
    <w:p w14:paraId="46BF0A4D">
      <w:pPr>
        <w:pStyle w:val="6"/>
        <w:bidi w:val="0"/>
        <w:rPr>
          <w:rFonts w:hint="eastAsia"/>
          <w:lang w:val="en-US" w:eastAsia="zh-CN"/>
        </w:rPr>
      </w:pPr>
      <w:bookmarkStart w:id="0" w:name="_GoBack"/>
      <w:bookmarkEnd w:id="0"/>
      <w:r>
        <w:rPr>
          <w:rFonts w:hint="eastAsia"/>
          <w:lang w:val="en-US" w:eastAsia="zh-CN"/>
        </w:rPr>
        <w:t>质保期与售后服务要求</w:t>
      </w:r>
    </w:p>
    <w:p w14:paraId="313F2528">
      <w:pPr>
        <w:bidi w:val="0"/>
        <w:rPr>
          <w:rFonts w:hint="eastAsia"/>
          <w:lang w:eastAsia="zh-CN"/>
        </w:rPr>
      </w:pPr>
      <w:r>
        <w:rPr>
          <w:rFonts w:hint="eastAsia"/>
        </w:rPr>
        <w:t xml:space="preserve">提供产品质保期 </w:t>
      </w:r>
      <w:r>
        <w:rPr>
          <w:rFonts w:hint="eastAsia"/>
          <w:lang w:val="en-US" w:eastAsia="zh-CN"/>
        </w:rPr>
        <w:t xml:space="preserve">3 </w:t>
      </w:r>
      <w:r>
        <w:rPr>
          <w:rFonts w:hint="eastAsia"/>
        </w:rPr>
        <w:t>年</w:t>
      </w:r>
      <w:r>
        <w:rPr>
          <w:rFonts w:hint="eastAsia"/>
          <w:lang w:eastAsia="zh-CN"/>
        </w:rPr>
        <w:t>，</w:t>
      </w:r>
      <w:r>
        <w:rPr>
          <w:rFonts w:hint="eastAsia"/>
        </w:rPr>
        <w:t>质保期从项目安装调试完毕，最终验收合格之日开始计算</w:t>
      </w:r>
      <w:r>
        <w:rPr>
          <w:rFonts w:hint="eastAsia"/>
          <w:lang w:eastAsia="zh-CN"/>
        </w:rPr>
        <w:t>。</w:t>
      </w:r>
      <w:r>
        <w:rPr>
          <w:rFonts w:hint="eastAsia"/>
          <w:lang w:val="en-US" w:eastAsia="zh-CN"/>
        </w:rPr>
        <w:t>质保期内因产品质量问题，中标人应免费更换同等产品。</w:t>
      </w:r>
    </w:p>
    <w:p w14:paraId="7BBCC6BF">
      <w:pPr>
        <w:bidi w:val="0"/>
        <w:rPr>
          <w:rFonts w:hint="default"/>
          <w:lang w:val="en-US"/>
        </w:rPr>
      </w:pPr>
      <w:r>
        <w:rPr>
          <w:rFonts w:hint="eastAsia"/>
          <w:lang w:val="en-US" w:eastAsia="zh-CN"/>
        </w:rPr>
        <w:t>质量保修期内，要求中标单位 7×8 小时热线电话、远程网络、现场等技术支持服务，中标单位须在接到招标人维修要求电话后 2 小时内做出明确响应和安排，4 小时内做出故障诊断报告，如需现场服务的，具有解决故障能力的工程师应在 6 小时内到达现场，重大问题或其他无法迅速解决的问题须在 24 小时内解决或提出明确解决方案。维修过程中所需材料中标单位在接到通知后应及时提供，最长不超过 48 小时必须送达招标人。若短期无法修复的，应及时提供相应备用货物并负责安装调试。</w:t>
      </w:r>
    </w:p>
    <w:p w14:paraId="7E89CFA3">
      <w:pPr>
        <w:pStyle w:val="6"/>
        <w:bidi w:val="0"/>
        <w:rPr>
          <w:rFonts w:hint="eastAsia"/>
          <w:lang w:val="en-US" w:eastAsia="zh-CN"/>
        </w:rPr>
      </w:pPr>
      <w:r>
        <w:rPr>
          <w:rFonts w:hint="eastAsia"/>
          <w:lang w:val="en-US" w:eastAsia="zh-CN"/>
        </w:rPr>
        <w:t>技术培训</w:t>
      </w:r>
    </w:p>
    <w:p w14:paraId="78A9CAFC">
      <w:pPr>
        <w:bidi w:val="0"/>
        <w:rPr>
          <w:rFonts w:hint="eastAsia"/>
          <w:lang w:val="en-US" w:eastAsia="zh-CN"/>
        </w:rPr>
      </w:pPr>
      <w:r>
        <w:rPr>
          <w:rFonts w:hint="eastAsia"/>
          <w:lang w:val="en-US" w:eastAsia="zh-CN"/>
        </w:rPr>
        <w:t>供方须对需方的操作人员、技术人员进行免费培训。培训内容包括对需方进行详尽的工作原理、操作使用、一般维护、常见故障排除等系列专业培训，并提供系统操作、维修手册及各类设备的说明书。</w:t>
      </w:r>
    </w:p>
    <w:p w14:paraId="76DB3552">
      <w:pPr>
        <w:bidi w:val="0"/>
        <w:rPr>
          <w:rFonts w:hint="eastAsia"/>
          <w:lang w:val="en-US" w:eastAsia="zh-CN"/>
        </w:rPr>
      </w:pPr>
      <w:r>
        <w:rPr>
          <w:rFonts w:hint="eastAsia"/>
          <w:lang w:val="en-US" w:eastAsia="zh-CN"/>
        </w:rPr>
        <w:t>培训费用应包含在投标报价中。</w:t>
      </w:r>
    </w:p>
    <w:p w14:paraId="11F0BEC4">
      <w:pPr>
        <w:pStyle w:val="6"/>
        <w:bidi w:val="0"/>
        <w:rPr>
          <w:rFonts w:hint="default"/>
          <w:lang w:val="en-US" w:eastAsia="zh-CN"/>
        </w:rPr>
      </w:pPr>
      <w:r>
        <w:rPr>
          <w:rFonts w:hint="eastAsia"/>
          <w:lang w:val="en-US" w:eastAsia="zh-CN"/>
        </w:rPr>
        <w:t>知识产权</w:t>
      </w:r>
    </w:p>
    <w:p w14:paraId="433D107D">
      <w:pPr>
        <w:rPr>
          <w:rFonts w:hint="default"/>
          <w:lang w:val="en-US" w:eastAsia="zh-CN"/>
        </w:rPr>
      </w:pPr>
      <w:r>
        <w:rPr>
          <w:rFonts w:hint="default"/>
          <w:lang w:val="en-US" w:eastAsia="zh-CN"/>
        </w:rPr>
        <w:t>中标人保证其产品及服务不侵犯任何第三方知识产权。软件平台的知识产权归中标人所有，采购人享有在本次采购范围内的永久使用权。定制开发部分的知识产权归属由双方在合同中另行约定。</w:t>
      </w:r>
    </w:p>
    <w:p w14:paraId="716B7C8E">
      <w:pPr>
        <w:pStyle w:val="6"/>
        <w:bidi w:val="0"/>
        <w:rPr>
          <w:rFonts w:hint="default"/>
          <w:lang w:val="en-US" w:eastAsia="zh-CN"/>
        </w:rPr>
      </w:pPr>
      <w:r>
        <w:rPr>
          <w:rFonts w:hint="default"/>
          <w:lang w:val="en-US" w:eastAsia="zh-CN"/>
        </w:rPr>
        <w:t>保密要求</w:t>
      </w:r>
    </w:p>
    <w:p w14:paraId="6F5AF0F5">
      <w:pPr>
        <w:rPr>
          <w:rFonts w:hint="default"/>
          <w:lang w:val="en-US" w:eastAsia="zh-CN"/>
        </w:rPr>
      </w:pPr>
      <w:r>
        <w:rPr>
          <w:rFonts w:hint="default"/>
          <w:lang w:val="en-US" w:eastAsia="zh-CN"/>
        </w:rPr>
        <w:t>中标人及其工作人员对项目实施过程中知悉的采购人所有信息负有保密义务，未经采购人书面同意不得向任何第三方泄露。中标人须与采购人签订保密协议，并对其员工进行保密教育。</w:t>
      </w:r>
    </w:p>
    <w:p w14:paraId="5E09A6FD">
      <w:pPr>
        <w:pStyle w:val="6"/>
        <w:bidi w:val="0"/>
        <w:rPr>
          <w:rFonts w:hint="default"/>
          <w:lang w:val="en-US" w:eastAsia="zh-CN"/>
        </w:rPr>
      </w:pPr>
      <w:r>
        <w:rPr>
          <w:rFonts w:hint="default"/>
          <w:lang w:val="en-US" w:eastAsia="zh-CN"/>
        </w:rPr>
        <w:t>违约责任</w:t>
      </w:r>
    </w:p>
    <w:p w14:paraId="0DA322E9">
      <w:pPr>
        <w:rPr>
          <w:rFonts w:hint="default"/>
          <w:lang w:val="en-US" w:eastAsia="zh-CN"/>
        </w:rPr>
      </w:pPr>
      <w:r>
        <w:rPr>
          <w:rFonts w:hint="default"/>
          <w:lang w:val="en-US" w:eastAsia="zh-CN"/>
        </w:rPr>
        <w:t>中标人逾期交付货物或完成安装调试的，每逾期一日，按合同总价的0.5‰支付违约金；逾期超过30日的，采购人有权解除合同。质保期内中标人不履行售后服务义务的，采购人有权委托第三方维修，费用由中标人承担。</w:t>
      </w:r>
    </w:p>
    <w:p w14:paraId="4ACCF5A5">
      <w:pPr>
        <w:pStyle w:val="6"/>
        <w:bidi w:val="0"/>
        <w:rPr>
          <w:rFonts w:hint="default"/>
          <w:lang w:val="en-US" w:eastAsia="zh-CN"/>
        </w:rPr>
      </w:pPr>
      <w:r>
        <w:rPr>
          <w:rFonts w:hint="default"/>
          <w:lang w:val="en-US" w:eastAsia="zh-CN"/>
        </w:rPr>
        <w:t>争议解决</w:t>
      </w:r>
    </w:p>
    <w:p w14:paraId="333BA027">
      <w:pPr>
        <w:rPr>
          <w:rFonts w:hint="default"/>
          <w:lang w:val="en-US" w:eastAsia="zh-CN"/>
        </w:rPr>
      </w:pPr>
      <w:r>
        <w:rPr>
          <w:rFonts w:hint="default"/>
          <w:lang w:val="en-US" w:eastAsia="zh-CN"/>
        </w:rPr>
        <w:t>因合同履行发生争议的，双方协商解决；协商不成的，提交采购人所在地有管辖权的人民法院诉讼解决。</w:t>
      </w:r>
    </w:p>
    <w:p w14:paraId="3B2CCFC8">
      <w:pPr>
        <w:rPr>
          <w:rFonts w:hint="default"/>
          <w:lang w:val="en-US" w:eastAsia="zh-CN"/>
        </w:rPr>
      </w:pPr>
    </w:p>
    <w:p w14:paraId="73DB38B8">
      <w:pPr>
        <w:pStyle w:val="5"/>
        <w:bidi w:val="0"/>
        <w:rPr>
          <w:rFonts w:hint="eastAsia"/>
        </w:rPr>
      </w:pPr>
      <w:r>
        <w:rPr>
          <w:rFonts w:hint="eastAsia"/>
        </w:rPr>
        <w:t>验收</w:t>
      </w:r>
    </w:p>
    <w:p w14:paraId="38551762">
      <w:pPr>
        <w:bidi w:val="0"/>
        <w:rPr>
          <w:rFonts w:hint="eastAsia"/>
          <w:lang w:val="en-US" w:eastAsia="zh-CN"/>
        </w:rPr>
      </w:pPr>
      <w:r>
        <w:rPr>
          <w:rFonts w:hint="eastAsia"/>
          <w:lang w:val="en-US" w:eastAsia="zh-CN"/>
        </w:rPr>
        <w:t>1、项目安装调试完成后，由采购人组织初步验收。初步验收合格后进入试运行期，试运行期不少于30天。试运行期满且系统稳定运行、完成合同约定的全部功能后，由采购人组织最终验收。</w:t>
      </w:r>
    </w:p>
    <w:p w14:paraId="3EB61BB5">
      <w:pPr>
        <w:bidi w:val="0"/>
        <w:rPr>
          <w:rFonts w:hint="eastAsia"/>
          <w:lang w:val="en-US" w:eastAsia="zh-CN"/>
        </w:rPr>
      </w:pPr>
      <w:r>
        <w:rPr>
          <w:rFonts w:hint="eastAsia"/>
          <w:lang w:val="en-US" w:eastAsia="zh-CN"/>
        </w:rPr>
        <w:t>2、验收按中华人民共和国现行技术标准、招标文件及合同规定的验收评定标准执行。验收费用由中标人承担。如发现与招标文件技术要求不符，中标人应在规定时间内用合格产品调换不合格产品；整改期间采购人有权使用全部设备。</w:t>
      </w:r>
    </w:p>
    <w:p w14:paraId="65ACB436">
      <w:pPr>
        <w:bidi w:val="0"/>
        <w:ind w:left="0" w:leftChars="0" w:firstLine="0" w:firstLineChars="0"/>
        <w:rPr>
          <w:rFonts w:hint="eastAsia"/>
          <w:lang w:val="en-US" w:eastAsia="zh-CN"/>
        </w:rPr>
      </w:pPr>
    </w:p>
    <w:p w14:paraId="10EF9C43">
      <w:pPr>
        <w:pStyle w:val="5"/>
        <w:bidi w:val="0"/>
        <w:rPr>
          <w:rFonts w:hint="eastAsia"/>
        </w:rPr>
      </w:pPr>
      <w:r>
        <w:rPr>
          <w:rFonts w:hint="eastAsia"/>
        </w:rPr>
        <w:t>合同的签订</w:t>
      </w:r>
    </w:p>
    <w:p w14:paraId="4AAACEEE">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4"/>
        </w:rPr>
        <w:t>中标单位在收到《中标通知书》后</w:t>
      </w:r>
      <w:r>
        <w:rPr>
          <w:rFonts w:hint="eastAsia" w:ascii="宋体" w:hAnsi="宋体" w:cs="宋体"/>
          <w:sz w:val="24"/>
          <w:szCs w:val="24"/>
          <w:lang w:val="en-US" w:eastAsia="zh-CN"/>
        </w:rPr>
        <w:t xml:space="preserve"> </w:t>
      </w:r>
      <w:r>
        <w:rPr>
          <w:rFonts w:hint="eastAsia" w:ascii="宋体" w:hAnsi="宋体" w:eastAsia="宋体" w:cs="宋体"/>
          <w:sz w:val="24"/>
          <w:szCs w:val="24"/>
        </w:rPr>
        <w:t>30日内与</w:t>
      </w:r>
      <w:r>
        <w:rPr>
          <w:rFonts w:hint="eastAsia" w:ascii="宋体" w:hAnsi="宋体" w:cs="宋体"/>
          <w:sz w:val="24"/>
          <w:szCs w:val="24"/>
          <w:highlight w:val="lightGray"/>
          <w:lang w:val="en-US" w:eastAsia="zh-CN"/>
        </w:rPr>
        <w:t>浙江省肿瘤医院</w:t>
      </w:r>
      <w:r>
        <w:rPr>
          <w:rFonts w:hint="eastAsia" w:ascii="宋体" w:hAnsi="宋体" w:eastAsia="宋体" w:cs="宋体"/>
          <w:sz w:val="24"/>
          <w:szCs w:val="24"/>
        </w:rPr>
        <w:t>签订合同。</w:t>
      </w:r>
    </w:p>
    <w:p w14:paraId="7E144FBF">
      <w:pPr>
        <w:rPr>
          <w:rFonts w:hint="default"/>
          <w:lang w:val="en-US" w:eastAsia="zh-CN"/>
        </w:rPr>
      </w:pPr>
    </w:p>
    <w:p w14:paraId="16EA064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altName w:val="Times New Roman"/>
    <w:panose1 w:val="02020503050405090304"/>
    <w:charset w:val="00"/>
    <w:family w:val="auto"/>
    <w:pitch w:val="default"/>
    <w:sig w:usb0="00000000" w:usb1="00000000" w:usb2="00000001" w:usb3="00000000" w:csb0="400001BF" w:csb1="DFF70000"/>
  </w:font>
  <w:font w:name="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CD113"/>
    <w:multiLevelType w:val="multilevel"/>
    <w:tmpl w:val="BB7CD113"/>
    <w:lvl w:ilvl="0" w:tentative="0">
      <w:start w:val="1"/>
      <w:numFmt w:val="chineseCountingThousand"/>
      <w:pStyle w:val="4"/>
      <w:suff w:val="nothing"/>
      <w:lvlText w:val="%1、"/>
      <w:lvlJc w:val="left"/>
      <w:pPr>
        <w:ind w:left="0" w:firstLine="0"/>
      </w:pPr>
      <w:rPr>
        <w:rFonts w:hint="eastAsia" w:ascii="宋体" w:eastAsia="宋体"/>
        <w:b/>
        <w:i w:val="0"/>
        <w:sz w:val="36"/>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2976"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lvlText w:val="%8、"/>
      <w:lvlJc w:val="left"/>
      <w:pPr>
        <w:ind w:left="0" w:firstLine="400"/>
      </w:pPr>
      <w:rPr>
        <w:rFonts w:hint="eastAsia" w:ascii="宋体" w:eastAsia="宋体"/>
        <w:b/>
        <w:i w:val="0"/>
        <w:sz w:val="24"/>
      </w:rPr>
    </w:lvl>
    <w:lvl w:ilvl="8" w:tentative="0">
      <w:start w:val="1"/>
      <w:numFmt w:val="decimal"/>
      <w:lvlText w:val="（%9）"/>
      <w:lvlJc w:val="left"/>
      <w:pPr>
        <w:ind w:left="0" w:firstLine="0"/>
      </w:pPr>
      <w:rPr>
        <w:rFonts w:hint="eastAsia" w:ascii="宋体" w:eastAsia="宋体"/>
        <w:b/>
        <w:i w:val="0"/>
        <w:sz w:val="24"/>
      </w:rPr>
    </w:lvl>
  </w:abstractNum>
  <w:abstractNum w:abstractNumId="1">
    <w:nsid w:val="61BB2F3C"/>
    <w:multiLevelType w:val="multilevel"/>
    <w:tmpl w:val="61BB2F3C"/>
    <w:lvl w:ilvl="0" w:tentative="0">
      <w:start w:val="1"/>
      <w:numFmt w:val="decimal"/>
      <w:suff w:val="nothing"/>
      <w:lvlText w:val="%1、"/>
      <w:lvlJc w:val="left"/>
      <w:pPr>
        <w:tabs>
          <w:tab w:val="left" w:pos="0"/>
        </w:tabs>
        <w:ind w:left="0" w:firstLine="0"/>
      </w:pPr>
      <w:rPr>
        <w:rFonts w:hint="default" w:ascii="宋体" w:eastAsia="宋体"/>
        <w:b/>
        <w:i w:val="0"/>
        <w:sz w:val="36"/>
      </w:rPr>
    </w:lvl>
    <w:lvl w:ilvl="1" w:tentative="0">
      <w:start w:val="1"/>
      <w:numFmt w:val="decimal"/>
      <w:pStyle w:val="5"/>
      <w:isLgl/>
      <w:suff w:val="space"/>
      <w:lvlText w:val="%1.%2"/>
      <w:lvlJc w:val="left"/>
      <w:pPr>
        <w:ind w:left="0" w:firstLine="0"/>
      </w:pPr>
      <w:rPr>
        <w:rFonts w:hint="eastAsia"/>
      </w:rPr>
    </w:lvl>
    <w:lvl w:ilvl="2" w:tentative="0">
      <w:start w:val="1"/>
      <w:numFmt w:val="decimal"/>
      <w:pStyle w:val="6"/>
      <w:isLgl/>
      <w:suff w:val="space"/>
      <w:lvlText w:val="%1.%2.%3"/>
      <w:lvlJc w:val="left"/>
      <w:pPr>
        <w:tabs>
          <w:tab w:val="left" w:pos="0"/>
        </w:tabs>
        <w:ind w:left="2976" w:firstLine="0"/>
      </w:pPr>
      <w:rPr>
        <w:rFonts w:hint="default" w:ascii="Times New Roman" w:hAnsi="Times New Roman" w:eastAsia="宋体" w:cs="宋体"/>
        <w:sz w:val="24"/>
      </w:rPr>
    </w:lvl>
    <w:lvl w:ilvl="3" w:tentative="0">
      <w:start w:val="1"/>
      <w:numFmt w:val="decimal"/>
      <w:isLgl/>
      <w:suff w:val="space"/>
      <w:lvlText w:val="%1.%2.%3.%4"/>
      <w:lvlJc w:val="left"/>
      <w:pPr>
        <w:ind w:left="0" w:firstLine="0"/>
      </w:pPr>
      <w:rPr>
        <w:rFonts w:hint="eastAsia"/>
      </w:rPr>
    </w:lvl>
    <w:lvl w:ilvl="4" w:tentative="0">
      <w:start w:val="1"/>
      <w:numFmt w:val="decimal"/>
      <w:pStyle w:val="8"/>
      <w:isLgl/>
      <w:suff w:val="space"/>
      <w:lvlText w:val="%1.%2.%3.%4.%5"/>
      <w:lvlJc w:val="left"/>
      <w:pPr>
        <w:ind w:left="0" w:firstLine="0"/>
      </w:pPr>
      <w:rPr>
        <w:rFonts w:hint="eastAsia"/>
      </w:rPr>
    </w:lvl>
    <w:lvl w:ilvl="5" w:tentative="0">
      <w:start w:val="1"/>
      <w:numFmt w:val="decimal"/>
      <w:pStyle w:val="9"/>
      <w:isLgl/>
      <w:suff w:val="space"/>
      <w:lvlText w:val="%1.%2.%3.%4.%5.%6"/>
      <w:lvlJc w:val="left"/>
      <w:pPr>
        <w:ind w:left="0" w:firstLine="0"/>
      </w:pPr>
      <w:rPr>
        <w:rFonts w:hint="eastAsia"/>
      </w:rPr>
    </w:lvl>
    <w:lvl w:ilvl="6" w:tentative="0">
      <w:start w:val="1"/>
      <w:numFmt w:val="decimal"/>
      <w:pStyle w:val="10"/>
      <w:isLgl/>
      <w:suff w:val="space"/>
      <w:lvlText w:val="%1.%2.%3.%4.%5.%6.%7"/>
      <w:lvlJc w:val="left"/>
      <w:pPr>
        <w:ind w:left="0" w:firstLine="0"/>
      </w:pPr>
      <w:rPr>
        <w:rFonts w:hint="eastAsia"/>
      </w:rPr>
    </w:lvl>
    <w:lvl w:ilvl="7" w:tentative="0">
      <w:start w:val="1"/>
      <w:numFmt w:val="decimal"/>
      <w:lvlText w:val="%8、"/>
      <w:lvlJc w:val="left"/>
      <w:pPr>
        <w:ind w:left="0" w:firstLine="400"/>
      </w:pPr>
      <w:rPr>
        <w:rFonts w:hint="eastAsia" w:ascii="宋体" w:eastAsia="宋体"/>
        <w:b/>
        <w:i w:val="0"/>
        <w:sz w:val="24"/>
      </w:rPr>
    </w:lvl>
    <w:lvl w:ilvl="8" w:tentative="0">
      <w:start w:val="1"/>
      <w:numFmt w:val="decimal"/>
      <w:lvlText w:val="（%9）"/>
      <w:lvlJc w:val="left"/>
      <w:pPr>
        <w:ind w:left="0" w:firstLine="0"/>
      </w:pPr>
      <w:rPr>
        <w:rFonts w:hint="eastAsia" w:ascii="宋体" w:eastAsia="宋体"/>
        <w:b/>
        <w:i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5F9D5F"/>
    <w:rsid w:val="12B25EA1"/>
    <w:rsid w:val="190D5998"/>
    <w:rsid w:val="1F7F3944"/>
    <w:rsid w:val="2B790233"/>
    <w:rsid w:val="36FD2500"/>
    <w:rsid w:val="3FC7A12B"/>
    <w:rsid w:val="3FDF95EA"/>
    <w:rsid w:val="53C4583C"/>
    <w:rsid w:val="5D7F4A16"/>
    <w:rsid w:val="5FAFB5B0"/>
    <w:rsid w:val="7AF38ABC"/>
    <w:rsid w:val="7D2E6289"/>
    <w:rsid w:val="7FFF3C52"/>
    <w:rsid w:val="BD6D3842"/>
    <w:rsid w:val="DDB7DE55"/>
    <w:rsid w:val="EDEB454D"/>
    <w:rsid w:val="F6FBA193"/>
    <w:rsid w:val="F9FF7498"/>
    <w:rsid w:val="FD5F9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440" w:firstLineChars="200"/>
      <w:jc w:val="both"/>
    </w:pPr>
    <w:rPr>
      <w:rFonts w:ascii="Times New Roman" w:hAnsi="Times New Roman" w:eastAsia="宋体" w:cs="Arial"/>
      <w:sz w:val="24"/>
      <w:szCs w:val="22"/>
      <w:lang w:val="en-US" w:eastAsia="en-US" w:bidi="en-US"/>
    </w:rPr>
  </w:style>
  <w:style w:type="paragraph" w:styleId="4">
    <w:name w:val="heading 1"/>
    <w:basedOn w:val="1"/>
    <w:next w:val="1"/>
    <w:qFormat/>
    <w:uiPriority w:val="0"/>
    <w:pPr>
      <w:keepNext/>
      <w:keepLines/>
      <w:numPr>
        <w:ilvl w:val="0"/>
        <w:numId w:val="1"/>
      </w:numPr>
      <w:spacing w:beforeLines="0" w:beforeAutospacing="0" w:afterLines="0" w:afterAutospacing="0" w:line="480" w:lineRule="auto"/>
      <w:ind w:firstLine="0" w:firstLineChars="0"/>
      <w:outlineLvl w:val="0"/>
    </w:pPr>
    <w:rPr>
      <w:b/>
      <w:kern w:val="44"/>
      <w:sz w:val="44"/>
    </w:rPr>
  </w:style>
  <w:style w:type="paragraph" w:styleId="5">
    <w:name w:val="heading 2"/>
    <w:basedOn w:val="1"/>
    <w:next w:val="1"/>
    <w:unhideWhenUsed/>
    <w:qFormat/>
    <w:uiPriority w:val="0"/>
    <w:pPr>
      <w:numPr>
        <w:ilvl w:val="1"/>
        <w:numId w:val="2"/>
      </w:numPr>
      <w:spacing w:before="100" w:beforeAutospacing="0" w:after="100" w:afterAutospacing="0"/>
      <w:ind w:firstLineChars="0"/>
      <w:jc w:val="both"/>
      <w:outlineLvl w:val="1"/>
    </w:pPr>
    <w:rPr>
      <w:rFonts w:hint="eastAsia" w:ascii="Times New Roman Bold" w:hAnsi="Times New Roman Bold" w:cs="宋体"/>
      <w:b/>
      <w:bCs/>
      <w:sz w:val="28"/>
      <w:szCs w:val="36"/>
      <w:lang w:bidi="ar"/>
    </w:rPr>
  </w:style>
  <w:style w:type="paragraph" w:styleId="6">
    <w:name w:val="heading 3"/>
    <w:basedOn w:val="1"/>
    <w:next w:val="1"/>
    <w:unhideWhenUsed/>
    <w:qFormat/>
    <w:uiPriority w:val="0"/>
    <w:pPr>
      <w:keepNext/>
      <w:keepLines/>
      <w:numPr>
        <w:ilvl w:val="2"/>
        <w:numId w:val="2"/>
      </w:numPr>
      <w:spacing w:before="100" w:beforeLines="0" w:beforeAutospacing="0" w:afterLines="0" w:afterAutospacing="0" w:line="360" w:lineRule="auto"/>
      <w:ind w:left="0"/>
      <w:outlineLvl w:val="2"/>
    </w:pPr>
    <w:rPr>
      <w:b/>
    </w:rPr>
  </w:style>
  <w:style w:type="paragraph" w:styleId="7">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5"/>
    <w:basedOn w:val="1"/>
    <w:next w:val="1"/>
    <w:unhideWhenUsed/>
    <w:qFormat/>
    <w:uiPriority w:val="0"/>
    <w:pPr>
      <w:keepNext/>
      <w:keepLines/>
      <w:numPr>
        <w:ilvl w:val="4"/>
        <w:numId w:val="2"/>
      </w:numPr>
      <w:spacing w:before="280" w:beforeLines="0" w:beforeAutospacing="0" w:after="290" w:afterLines="0" w:afterAutospacing="0" w:line="372" w:lineRule="auto"/>
      <w:ind w:firstLine="0" w:firstLineChars="0"/>
      <w:outlineLvl w:val="4"/>
    </w:pPr>
    <w:rPr>
      <w:b/>
      <w:sz w:val="28"/>
    </w:rPr>
  </w:style>
  <w:style w:type="paragraph" w:styleId="9">
    <w:name w:val="heading 6"/>
    <w:basedOn w:val="1"/>
    <w:next w:val="1"/>
    <w:unhideWhenUsed/>
    <w:qFormat/>
    <w:uiPriority w:val="0"/>
    <w:pPr>
      <w:keepNext/>
      <w:keepLines/>
      <w:numPr>
        <w:ilvl w:val="5"/>
        <w:numId w:val="2"/>
      </w:numPr>
      <w:spacing w:beforeLines="0" w:beforeAutospacing="0" w:afterLines="0" w:afterAutospacing="0" w:line="360" w:lineRule="auto"/>
      <w:ind w:firstLine="0" w:firstLineChars="0"/>
      <w:outlineLvl w:val="5"/>
    </w:pPr>
    <w:rPr>
      <w:rFonts w:ascii="Times New Roman Bold" w:hAnsi="Times New Roman Bold" w:eastAsia="宋体-"/>
      <w:b/>
      <w:sz w:val="24"/>
    </w:rPr>
  </w:style>
  <w:style w:type="paragraph" w:styleId="10">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firstLine="0" w:firstLineChars="0"/>
      <w:outlineLvl w:val="6"/>
    </w:pPr>
    <w:rPr>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Lines="0" w:afterAutospacing="0"/>
    </w:pPr>
    <w:rPr>
      <w:rFonts w:ascii="Times New Roman" w:hAnsi="Times New Roman" w:eastAsia="宋体" w:cs="Times New Roman"/>
    </w:rPr>
  </w:style>
  <w:style w:type="paragraph" w:styleId="11">
    <w:name w:val="Body Text Indent"/>
    <w:basedOn w:val="1"/>
    <w:next w:val="1"/>
    <w:qFormat/>
    <w:uiPriority w:val="0"/>
    <w:pPr>
      <w:spacing w:after="120" w:afterLines="0" w:afterAutospacing="0"/>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Emphasis"/>
    <w:qFormat/>
    <w:uiPriority w:val="0"/>
    <w:rPr>
      <w:i/>
      <w:sz w:val="21"/>
    </w:rPr>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8054</Words>
  <Characters>8519</Characters>
  <Lines>0</Lines>
  <Paragraphs>0</Paragraphs>
  <TotalTime>35</TotalTime>
  <ScaleCrop>false</ScaleCrop>
  <LinksUpToDate>false</LinksUpToDate>
  <CharactersWithSpaces>8540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2026-06-05T07:58:00Z</dcterms:created>
  <dc:creator>Aoin</dc:creator>
  <cp:lastModifiedBy>差不多先生</cp:lastModifiedBy>
  <dcterms:modified xsi:type="dcterms:W3CDTF">2026-06-08T08:16:26Z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521189320733DD6DFF2C216A7EF16734_43</vt:lpwstr>
  </property>
  <property fmtid="{D5CDD505-2E9C-101B-9397-08002B2CF9AE}" pid="4" name="KSOTemplateDocerSaveRecord">
    <vt:lpwstr>eyJoZGlkIjoiOTc2ZGM5YjM5NTAxNTVmYWQ0NWRjOWVlNTU4YjZlZjkiLCJ1c2VySWQiOiI2NDI2OTk4MTMifQ==</vt:lpwstr>
  </property>
</Properties>
</file>