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7E45">
      <w:pPr>
        <w:pStyle w:val="8"/>
        <w:rPr>
          <w:rFonts w:hint="eastAsia" w:ascii="宋体" w:hAnsi="宋体" w:cs="宋体"/>
        </w:rPr>
      </w:pPr>
    </w:p>
    <w:p w14:paraId="404374F1">
      <w:pPr>
        <w:pStyle w:val="2"/>
        <w:spacing w:before="0" w:after="0" w:line="240" w:lineRule="auto"/>
        <w:jc w:val="center"/>
        <w:rPr>
          <w:rFonts w:hint="eastAsia" w:ascii="宋体" w:hAnsi="宋体"/>
          <w:sz w:val="44"/>
          <w:szCs w:val="44"/>
        </w:rPr>
      </w:pPr>
      <w:bookmarkStart w:id="0" w:name="_Toc7657"/>
      <w:r>
        <w:rPr>
          <w:sz w:val="44"/>
          <w:szCs w:val="44"/>
        </w:rPr>
        <w:t>采购需求</w:t>
      </w:r>
      <w:bookmarkEnd w:id="0"/>
    </w:p>
    <w:p w14:paraId="3B339A59">
      <w:pPr>
        <w:pStyle w:val="7"/>
        <w:rPr>
          <w:rFonts w:hint="eastAsia"/>
        </w:rPr>
      </w:pPr>
    </w:p>
    <w:p w14:paraId="050DC6A9">
      <w:pPr>
        <w:pStyle w:val="11"/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项目内容</w:t>
      </w:r>
    </w:p>
    <w:p w14:paraId="77658A81">
      <w:pPr>
        <w:tabs>
          <w:tab w:val="left" w:pos="360"/>
        </w:tabs>
        <w:spacing w:before="48" w:beforeLines="20" w:after="48" w:afterLines="20" w:line="360" w:lineRule="auto"/>
        <w:ind w:firstLine="600" w:firstLineChars="200"/>
        <w:outlineLvl w:val="0"/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概况：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  <w:t>本次采购的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lang w:val="en-US" w:eastAsia="zh-CN"/>
        </w:rPr>
        <w:t>浙江省肿瘤医院绍兴院区行政办公普通家具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lang w:eastAsia="zh-CN"/>
        </w:rPr>
        <w:t>采购项目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</w:rPr>
        <w:t>的设计、制造、检验和验收（如产品标准/规范、工程标准/规范、验收标准/规范等）必须符合与其相关的现行中华人民共和国标准及规范（最新版本）。</w:t>
      </w:r>
    </w:p>
    <w:p w14:paraId="1CEF793E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2.预算：本项目预算总金额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1800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万元。报价包括完成所有产品供货及履行所有规定服务所产生的全部费用。</w:t>
      </w:r>
    </w:p>
    <w:p w14:paraId="038459C7">
      <w:p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3.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交货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期：具体以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院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方实际需求为准，分批次供货，接到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院方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供货通知后40天内将货物送到指定地点并安装完成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。</w:t>
      </w:r>
    </w:p>
    <w:p w14:paraId="795B55A0">
      <w:pPr>
        <w:spacing w:line="360" w:lineRule="auto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4.供货地点：浙江省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肿瘤医院绍兴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院区（指定地点）。</w:t>
      </w:r>
    </w:p>
    <w:p w14:paraId="6FDAEE3B">
      <w:pPr>
        <w:pStyle w:val="5"/>
        <w:spacing w:line="360" w:lineRule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二、采购内容</w:t>
      </w:r>
    </w:p>
    <w:p w14:paraId="6C964885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采购内容</w:t>
      </w:r>
      <w:r>
        <w:rPr>
          <w:rFonts w:hint="eastAsia" w:ascii="宋体" w:hAnsi="宋体" w:eastAsia="宋体" w:cs="宋体"/>
          <w:sz w:val="30"/>
          <w:szCs w:val="30"/>
        </w:rPr>
        <w:t>包括行政办公普通家具（包含但不限于：办公桌、椅、矮柜、文件柜、物品柜；休闲沙发、茶几；会议桌、椅；餐厅、包厢桌椅等）的设计、制造、运输、装卸、安装、调试、检验、验收、培训及质保期内的售后服务等工作。</w:t>
      </w:r>
    </w:p>
    <w:p w14:paraId="3713D265">
      <w:pPr>
        <w:pStyle w:val="5"/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具体产品清单详见《浙江省</w:t>
      </w:r>
      <w:r>
        <w:rPr>
          <w:rFonts w:hint="eastAsia" w:eastAsia="宋体" w:cs="宋体"/>
          <w:sz w:val="30"/>
          <w:szCs w:val="30"/>
          <w:lang w:val="en-US" w:eastAsia="zh-CN"/>
        </w:rPr>
        <w:t>肿瘤医院绍兴</w:t>
      </w:r>
      <w:r>
        <w:rPr>
          <w:rFonts w:hint="eastAsia" w:ascii="宋体" w:hAnsi="宋体" w:eastAsia="宋体" w:cs="宋体"/>
          <w:sz w:val="30"/>
          <w:szCs w:val="30"/>
        </w:rPr>
        <w:t>院区</w:t>
      </w:r>
      <w:r>
        <w:rPr>
          <w:rFonts w:hint="eastAsia" w:eastAsia="宋体" w:cs="宋体"/>
          <w:sz w:val="30"/>
          <w:szCs w:val="30"/>
          <w:lang w:val="en-US" w:eastAsia="zh-CN"/>
        </w:rPr>
        <w:t>行政办公</w:t>
      </w:r>
      <w:r>
        <w:rPr>
          <w:rFonts w:hint="eastAsia" w:ascii="宋体" w:hAnsi="宋体" w:eastAsia="宋体" w:cs="宋体"/>
          <w:sz w:val="30"/>
          <w:szCs w:val="30"/>
        </w:rPr>
        <w:t>家具采购清单</w:t>
      </w:r>
      <w:r>
        <w:rPr>
          <w:rFonts w:hint="eastAsia" w:eastAsia="宋体" w:cs="宋体"/>
          <w:sz w:val="30"/>
          <w:szCs w:val="30"/>
          <w:lang w:eastAsia="zh-CN"/>
        </w:rPr>
        <w:t>》。</w:t>
      </w:r>
    </w:p>
    <w:p w14:paraId="7B589451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三、服务标准、期限、效率等要求</w:t>
      </w:r>
    </w:p>
    <w:p w14:paraId="76B7465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1.供应商需要提供合理的项目整体实施方案，能按照项目分解节点并可跟踪实施。</w:t>
      </w:r>
    </w:p>
    <w:p w14:paraId="195A3534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2.供应商需要提供生产实施方案，包括原材料采购、加工制作等各个环节的实施方案，在规定的时间内有计划的完成项目需求产品的生产和装配。</w:t>
      </w:r>
    </w:p>
    <w:p w14:paraId="6A48675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3.供应商需要提供品控管理方案，对产品品质有管理管控过程，有独立品管部门和专门品管人员，确保产品生产过程中的质量控制完善。</w:t>
      </w:r>
    </w:p>
    <w:p w14:paraId="3F670A5E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4.供应商需要提供安装服务实施方案，根据货物交付时间节点，落实送货安装时间和人员安排，确保按期交付使用。</w:t>
      </w:r>
    </w:p>
    <w:p w14:paraId="6C5E7DF0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cs="宋体"/>
          <w:sz w:val="30"/>
          <w:szCs w:val="30"/>
          <w:lang w:val="en-US" w:eastAsia="zh-CN"/>
        </w:rPr>
        <w:t>四、</w:t>
      </w:r>
      <w:r>
        <w:rPr>
          <w:rFonts w:hint="eastAsia" w:ascii="宋体" w:hAnsi="宋体" w:eastAsia="宋体" w:cs="宋体"/>
          <w:sz w:val="30"/>
          <w:szCs w:val="30"/>
        </w:rPr>
        <w:t>主要材料参照品牌：</w:t>
      </w:r>
    </w:p>
    <w:p w14:paraId="53B4D7E6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本项目关键部件，采购人推荐参考以下品牌，投标人自选其一或自选同档次及以上品牌，并在投标文件中明确注明所选部件品牌。</w:t>
      </w:r>
    </w:p>
    <w:p w14:paraId="1F9C7894">
      <w:pPr>
        <w:numPr>
          <w:ilvl w:val="0"/>
          <w:numId w:val="0"/>
        </w:numPr>
        <w:spacing w:line="360" w:lineRule="auto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中标人安装或交货时，必须出具相关关键部件的购销合同。合同实施过程中招标人如查实提供的部件与投标品牌不符的，采购人有权上报相关部门处理，并保留追究中标人违约责任的权利，中标人赔偿相关一切损失。</w:t>
      </w:r>
    </w:p>
    <w:p w14:paraId="0BAD1C1F">
      <w:pPr>
        <w:snapToGrid w:val="0"/>
        <w:spacing w:line="360" w:lineRule="auto"/>
        <w:ind w:firstLine="2479" w:firstLineChars="1029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主要材料及配件</w:t>
      </w:r>
      <w:r>
        <w:rPr>
          <w:rFonts w:hint="eastAsia" w:ascii="宋体" w:hAnsi="宋体"/>
          <w:b/>
          <w:sz w:val="24"/>
        </w:rPr>
        <w:t>参照品</w:t>
      </w:r>
      <w:r>
        <w:rPr>
          <w:rFonts w:hint="eastAsia" w:ascii="宋体" w:hAnsi="宋体" w:cs="宋体"/>
          <w:b/>
          <w:sz w:val="24"/>
        </w:rPr>
        <w:t>牌表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2143"/>
        <w:gridCol w:w="4666"/>
      </w:tblGrid>
      <w:tr w14:paraId="597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118DBD8E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/>
                <w:kern w:val="0"/>
                <w:sz w:val="24"/>
                <w:lang w:val="zh-CN"/>
              </w:rPr>
              <w:t>序号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0FB7A1EE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家具材料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C7A80CC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</w:rPr>
              <w:t>参照或相当于</w:t>
            </w:r>
            <w:r>
              <w:rPr>
                <w:rFonts w:hint="eastAsia" w:ascii="宋体" w:hAnsi="宋体"/>
                <w:sz w:val="24"/>
                <w:lang w:val="zh-CN"/>
              </w:rPr>
              <w:t>品牌</w:t>
            </w:r>
          </w:p>
        </w:tc>
      </w:tr>
      <w:tr w14:paraId="6F1F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1C3FB2D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499022E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刨花板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973F8A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丽人、福人、大亚或同档次及以上品牌</w:t>
            </w:r>
          </w:p>
        </w:tc>
      </w:tr>
      <w:tr w14:paraId="760F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48B0EE5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78A60AC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中纤板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119ABF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福人、兔宝宝、</w:t>
            </w:r>
            <w:r>
              <w:rPr>
                <w:rFonts w:ascii="宋体" w:hAnsi="宋体"/>
                <w:sz w:val="24"/>
              </w:rPr>
              <w:t>中福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7465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1BE49B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28389D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三聚氰胺饰面板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7BCA65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威盛亚、富美家、</w:t>
            </w:r>
            <w:r>
              <w:rPr>
                <w:rFonts w:hint="eastAsia" w:ascii="宋体" w:hAnsi="宋体"/>
                <w:sz w:val="24"/>
              </w:rPr>
              <w:t>大亚或同档次及以上品牌</w:t>
            </w:r>
          </w:p>
        </w:tc>
      </w:tr>
      <w:tr w14:paraId="21CD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2E9870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1D6AD76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胶合板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3A5F5BC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千年舟、兔宝宝、冠华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3663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7DB2AC2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6438504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防火板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6A38DB6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富美家、威盛亚、普利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6D3B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5582EDD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54D82C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理化板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37265D7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富美家、威盛亚、优盛美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5F9A4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296EC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3B4866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人造石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0B6AA89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杜邦、LG、戈兰迪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7165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7EBE88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93318C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牛皮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61B2BF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卡森、奕铭、金公子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3DA1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421372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64C1904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阻尼三节轨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894AD6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BLUM、海福乐、海蒂诗或同档次及以上品牌</w:t>
            </w:r>
          </w:p>
        </w:tc>
      </w:tr>
      <w:tr w14:paraId="0432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67CEEA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63FB360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阻尼铰链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BFFD20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海福乐、海蒂诗、DTC或同档次及以上品牌</w:t>
            </w:r>
          </w:p>
        </w:tc>
      </w:tr>
      <w:tr w14:paraId="6E1C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92F459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45B0AC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静音导轨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1CC006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DTC、海蒂诗、海福乐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2C80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5D0218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4D78CE9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锁具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977EBB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BMB</w:t>
            </w:r>
            <w:r>
              <w:rPr>
                <w:rFonts w:hint="eastAsia" w:ascii="宋体" w:hAnsi="宋体"/>
                <w:sz w:val="24"/>
                <w:lang w:val="zh-CN"/>
              </w:rPr>
              <w:t>、乐斯特弗、</w:t>
            </w:r>
            <w:r>
              <w:rPr>
                <w:rFonts w:hint="eastAsia" w:ascii="宋体" w:hAnsi="宋体"/>
                <w:sz w:val="24"/>
              </w:rPr>
              <w:t>达利或同档次及以上品牌</w:t>
            </w:r>
          </w:p>
        </w:tc>
      </w:tr>
      <w:tr w14:paraId="091D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33A9E61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1064FC8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气压棒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CB6997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三弘、KGS、</w:t>
            </w:r>
            <w:r>
              <w:rPr>
                <w:rFonts w:hint="eastAsia" w:ascii="宋体" w:hAnsi="宋体" w:cs="宋体"/>
                <w:kern w:val="0"/>
                <w:sz w:val="24"/>
              </w:rPr>
              <w:t>协强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0A24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3215E8B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5318BD1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五星脚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11851EEF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东钰、DONATI、中泰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49C0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3D5D69C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2F5DAD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PVC封边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1A2375B0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硕泰、兄奕、华富立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78DBA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79DF93F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2F92DD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麻绒、网布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BEE53CE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福基、</w:t>
            </w:r>
            <w:r>
              <w:rPr>
                <w:rFonts w:hint="eastAsia" w:ascii="宋体" w:hAnsi="宋体"/>
                <w:sz w:val="24"/>
              </w:rPr>
              <w:t>海菲乐、</w:t>
            </w:r>
            <w:r>
              <w:rPr>
                <w:rFonts w:hint="eastAsia" w:ascii="宋体" w:hAnsi="宋体"/>
                <w:sz w:val="24"/>
                <w:lang w:val="zh-CN"/>
              </w:rPr>
              <w:t>颐达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3FB8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535A890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19E5106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钢化玻璃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84B31C8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福耀、耀华、新华、南玻、宝隆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2ED0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1C7F8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79677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铝合金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0AFED87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凤铝、新中亚、广铝、亚泰、</w:t>
            </w:r>
            <w:r>
              <w:rPr>
                <w:rFonts w:ascii="宋体" w:hAnsi="宋体"/>
                <w:sz w:val="24"/>
                <w:lang w:val="zh-CN"/>
              </w:rPr>
              <w:t>新合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2C9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4249106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24D065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冷轧钢板/管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98B5AE1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宝钢、首钢、武钢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59A6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97F38E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1BCD67C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电解钢板/管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2A474848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宝钢、首钢、武钢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1E10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4F9D254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644A6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不锈钢板/管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C950781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宝钢、首钢、武钢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695B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358988A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0E711A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泡绵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1E79971">
            <w:pPr>
              <w:spacing w:line="360" w:lineRule="auto"/>
              <w:jc w:val="center"/>
              <w:rPr>
                <w:rFonts w:ascii="宋体" w:hAnsi="宋体"/>
                <w:sz w:val="24"/>
                <w:lang w:val="zh-CN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东亚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/>
                <w:sz w:val="24"/>
                <w:lang w:val="zh-CN"/>
              </w:rPr>
              <w:t>圣诺盟、赛诺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5270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AB016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78EBDC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椅轮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4D676B5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zh-CN"/>
              </w:rPr>
              <w:t>台塑、</w:t>
            </w:r>
            <w:r>
              <w:rPr>
                <w:rFonts w:hint="eastAsia" w:ascii="宋体" w:hAnsi="宋体"/>
                <w:sz w:val="24"/>
              </w:rPr>
              <w:t>中威、卡屈西、</w:t>
            </w:r>
            <w:r>
              <w:rPr>
                <w:rFonts w:hint="eastAsia" w:ascii="宋体" w:hAnsi="宋体"/>
                <w:sz w:val="24"/>
                <w:lang w:val="zh-CN"/>
              </w:rPr>
              <w:t>永就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78A3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1411F45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44F4343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扶手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318F94E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恒业、瑞华、威捷、宏仪或同档次及以上品牌</w:t>
            </w:r>
          </w:p>
        </w:tc>
      </w:tr>
      <w:tr w14:paraId="130E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554D6FB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A9439C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海绵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0E26FF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东亚、圣诺盟、赛诺、有大或同档次及以上品牌</w:t>
            </w:r>
          </w:p>
        </w:tc>
      </w:tr>
      <w:tr w14:paraId="7123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19598E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40EFFC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胶水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603FF2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汉高、牛头、顶立或同档次及以上品牌</w:t>
            </w:r>
          </w:p>
        </w:tc>
      </w:tr>
      <w:tr w14:paraId="61A5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19022B4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344534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粉末涂料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19BEB7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阿克苏、老虎、艾仕得或同档次及以上品牌</w:t>
            </w:r>
          </w:p>
        </w:tc>
      </w:tr>
      <w:tr w14:paraId="00CB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C68CD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67E1DE1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木皮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666C91D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豪鼎、兔宝宝、</w:t>
            </w:r>
            <w:r>
              <w:rPr>
                <w:rFonts w:hint="eastAsia" w:ascii="宋体" w:hAnsi="宋体" w:cs="宋体"/>
                <w:kern w:val="0"/>
                <w:sz w:val="24"/>
              </w:rPr>
              <w:t>博琳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3D3C8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01FDAA1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00C8430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强电面板/模块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58AEC7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</w:t>
            </w:r>
            <w:r>
              <w:rPr>
                <w:rFonts w:ascii="宋体" w:hAnsi="宋体" w:cs="Arial"/>
                <w:kern w:val="0"/>
                <w:sz w:val="24"/>
              </w:rPr>
              <w:t>罗格朗</w:t>
            </w:r>
            <w:r>
              <w:rPr>
                <w:rFonts w:hint="eastAsia" w:ascii="宋体" w:hAnsi="宋体" w:cs="Arial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西门子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  <w:tr w14:paraId="133C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shd w:val="clear" w:color="auto" w:fill="FFFFFF"/>
            <w:vAlign w:val="center"/>
          </w:tcPr>
          <w:p w14:paraId="24EBFC3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2143" w:type="dxa"/>
            <w:shd w:val="clear" w:color="auto" w:fill="FFFFFF"/>
            <w:vAlign w:val="center"/>
          </w:tcPr>
          <w:p w14:paraId="2ADABB7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弱电面板/模块</w:t>
            </w:r>
          </w:p>
        </w:tc>
        <w:tc>
          <w:tcPr>
            <w:tcW w:w="4666" w:type="dxa"/>
            <w:shd w:val="clear" w:color="auto" w:fill="FFFFFF"/>
            <w:vAlign w:val="center"/>
          </w:tcPr>
          <w:p w14:paraId="7D3FE3B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西蒙、</w:t>
            </w:r>
            <w:r>
              <w:rPr>
                <w:rFonts w:ascii="宋体" w:hAnsi="宋体" w:cs="Arial"/>
                <w:kern w:val="0"/>
                <w:sz w:val="24"/>
              </w:rPr>
              <w:t>罗格朗</w:t>
            </w:r>
            <w:r>
              <w:rPr>
                <w:rFonts w:hint="eastAsia" w:ascii="宋体" w:hAnsi="宋体" w:cs="Arial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西门子</w:t>
            </w:r>
            <w:r>
              <w:rPr>
                <w:rFonts w:hint="eastAsia" w:ascii="宋体" w:hAnsi="宋体"/>
                <w:sz w:val="24"/>
              </w:rPr>
              <w:t>或同档次及以上品牌</w:t>
            </w:r>
          </w:p>
        </w:tc>
      </w:tr>
    </w:tbl>
    <w:p w14:paraId="6B1F3ADA">
      <w:pPr>
        <w:pStyle w:val="5"/>
        <w:rPr>
          <w:rFonts w:hint="default" w:ascii="宋体" w:hAnsi="宋体" w:cs="宋体"/>
          <w:sz w:val="24"/>
          <w:szCs w:val="24"/>
        </w:rPr>
      </w:pPr>
      <w:bookmarkStart w:id="1" w:name="_GoBack"/>
      <w:bookmarkEnd w:id="1"/>
    </w:p>
    <w:p w14:paraId="6DC98B47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6690D"/>
    <w:rsid w:val="05D4370F"/>
    <w:rsid w:val="4F86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widowControl/>
      <w:spacing w:line="240" w:lineRule="atLeast"/>
      <w:ind w:left="800" w:leftChars="800"/>
    </w:pPr>
    <w:rPr>
      <w:rFonts w:ascii="Arial" w:hAnsi="Arial"/>
      <w:kern w:val="0"/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hint="default" w:ascii="宋体" w:hAnsi="宋体"/>
      <w:color w:val="FF0000"/>
      <w:sz w:val="24"/>
    </w:rPr>
  </w:style>
  <w:style w:type="paragraph" w:styleId="6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footnote text"/>
    <w:basedOn w:val="1"/>
    <w:next w:val="4"/>
    <w:uiPriority w:val="0"/>
    <w:pPr>
      <w:adjustRightInd w:val="0"/>
      <w:spacing w:line="312" w:lineRule="atLeast"/>
      <w:jc w:val="left"/>
      <w:textAlignment w:val="baseline"/>
    </w:pPr>
    <w:rPr>
      <w:sz w:val="18"/>
    </w:rPr>
  </w:style>
  <w:style w:type="paragraph" w:styleId="8">
    <w:name w:val="Body Text First Indent 2"/>
    <w:basedOn w:val="6"/>
    <w:unhideWhenUsed/>
    <w:qFormat/>
    <w:uiPriority w:val="99"/>
    <w:pPr>
      <w:spacing w:after="120"/>
      <w:ind w:left="420" w:leftChars="200" w:firstLine="420"/>
    </w:pPr>
    <w:rPr>
      <w:sz w:val="24"/>
    </w:rPr>
  </w:style>
  <w:style w:type="paragraph" w:styleId="11">
    <w:name w:val="List Paragraph"/>
    <w:basedOn w:val="1"/>
    <w:autoRedefine/>
    <w:qFormat/>
    <w:uiPriority w:val="0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372</Words>
  <Characters>380</Characters>
  <Lines>0</Lines>
  <Paragraphs>0</Paragraphs>
  <TotalTime>0</TotalTime>
  <ScaleCrop>false</ScaleCrop>
  <LinksUpToDate>false</LinksUpToDate>
  <CharactersWithSpaces>380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2026-06-03T01:04:00Z</dcterms:created>
  <dc:creator>Poppy</dc:creator>
  <cp:lastModifiedBy>殛歪</cp:lastModifiedBy>
  <cp:lastPrinted>2026-06-03T05:52:00Z</cp:lastPrinted>
  <dcterms:modified xsi:type="dcterms:W3CDTF">2026-06-04T07:26:09Z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4C042A09317642F4B1657EAAC259D4EB_11</vt:lpwstr>
  </property>
  <property fmtid="{D5CDD505-2E9C-101B-9397-08002B2CF9AE}" pid="4" name="KSOTemplateDocerSaveRecord">
    <vt:lpwstr>eyJoZGlkIjoiNzE5ZWExZThmZWVkMTI5MTkyZTgzNjM3NDc0NmNmY2YiLCJ1c2VySWQiOiI1NjI3NDQ3MzEifQ==</vt:lpwstr>
  </property>
</Properties>
</file>