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D1EC9">
      <w:pPr>
        <w:autoSpaceDE w:val="0"/>
        <w:autoSpaceDN w:val="0"/>
        <w:spacing w:line="864" w:lineRule="exact"/>
        <w:ind w:left="144" w:right="144"/>
        <w:jc w:val="center"/>
        <w:rPr>
          <w:rFonts w:hint="eastAsia" w:ascii="nsJR0bAh+SimSun" w:hAnsi="nsJR0bAh+SimSun" w:eastAsia="nsJR0bAh+SimSun"/>
          <w:bCs/>
          <w:color w:val="000000"/>
          <w:spacing w:val="2"/>
          <w:sz w:val="48"/>
          <w:szCs w:val="20"/>
        </w:rPr>
      </w:pPr>
      <w:r>
        <w:rPr>
          <w:rFonts w:hint="eastAsia" w:ascii="nsJR0bAh+SimSun" w:hAnsi="nsJR0bAh+SimSun" w:eastAsia="nsJR0bAh+SimSun"/>
          <w:bCs/>
          <w:color w:val="000000"/>
          <w:spacing w:val="2"/>
          <w:sz w:val="48"/>
          <w:szCs w:val="20"/>
        </w:rPr>
        <w:t>信息安全服务</w:t>
      </w:r>
      <w:r>
        <w:rPr>
          <w:rFonts w:ascii="nsJR0bAh+SimSun" w:hAnsi="nsJR0bAh+SimSun" w:eastAsia="nsJR0bAh+SimSun"/>
          <w:bCs/>
          <w:color w:val="000000"/>
          <w:spacing w:val="2"/>
          <w:sz w:val="48"/>
          <w:szCs w:val="20"/>
        </w:rPr>
        <w:t>项目</w:t>
      </w:r>
      <w:r>
        <w:rPr>
          <w:rFonts w:hint="eastAsia" w:ascii="nsJR0bAh+SimSun" w:hAnsi="nsJR0bAh+SimSun" w:eastAsia="nsJR0bAh+SimSun"/>
          <w:bCs/>
          <w:color w:val="000000"/>
          <w:spacing w:val="2"/>
          <w:sz w:val="48"/>
          <w:szCs w:val="20"/>
        </w:rPr>
        <w:t>2026</w:t>
      </w:r>
    </w:p>
    <w:p w14:paraId="23A2DBF0">
      <w:pPr>
        <w:autoSpaceDE w:val="0"/>
        <w:autoSpaceDN w:val="0"/>
        <w:spacing w:line="864" w:lineRule="exact"/>
        <w:ind w:left="144" w:right="144"/>
        <w:jc w:val="center"/>
        <w:rPr>
          <w:rFonts w:hint="eastAsia" w:ascii="nsJR0bAh+SimSun" w:hAnsi="nsJR0bAh+SimSun" w:eastAsia="nsJR0bAh+SimSun"/>
          <w:bCs/>
          <w:color w:val="000000"/>
          <w:spacing w:val="2"/>
          <w:sz w:val="48"/>
          <w:szCs w:val="20"/>
        </w:rPr>
      </w:pPr>
      <w:r>
        <w:rPr>
          <w:rFonts w:ascii="nsJR0bAh+SimSun" w:hAnsi="nsJR0bAh+SimSun" w:eastAsia="nsJR0bAh+SimSun"/>
          <w:bCs/>
          <w:color w:val="000000"/>
          <w:spacing w:val="2"/>
          <w:sz w:val="48"/>
          <w:szCs w:val="20"/>
        </w:rPr>
        <w:t>用户</w:t>
      </w:r>
      <w:r>
        <w:rPr>
          <w:rFonts w:hint="eastAsia" w:ascii="nsJR0bAh+SimSun" w:hAnsi="nsJR0bAh+SimSun" w:eastAsia="nsJR0bAh+SimSun"/>
          <w:bCs/>
          <w:color w:val="000000"/>
          <w:spacing w:val="2"/>
          <w:sz w:val="48"/>
          <w:szCs w:val="20"/>
        </w:rPr>
        <w:t>初步</w:t>
      </w:r>
      <w:r>
        <w:rPr>
          <w:rFonts w:ascii="nsJR0bAh+SimSun" w:hAnsi="nsJR0bAh+SimSun" w:eastAsia="nsJR0bAh+SimSun"/>
          <w:bCs/>
          <w:color w:val="000000"/>
          <w:spacing w:val="2"/>
          <w:sz w:val="48"/>
          <w:szCs w:val="20"/>
        </w:rPr>
        <w:t>需求书</w:t>
      </w:r>
    </w:p>
    <w:p w14:paraId="4E5FD529">
      <w:pPr>
        <w:rPr>
          <w:rFonts w:hint="eastAsia"/>
        </w:rPr>
      </w:pPr>
      <w:r>
        <w:br w:type="page"/>
      </w:r>
    </w:p>
    <w:p w14:paraId="06EF9F8F">
      <w:pPr>
        <w:pStyle w:val="4"/>
        <w:numPr>
          <w:ilvl w:val="0"/>
          <w:numId w:val="1"/>
        </w:numPr>
      </w:pPr>
      <w:r>
        <w:t>项目概况</w:t>
      </w:r>
    </w:p>
    <w:p w14:paraId="31C8F7D5">
      <w:pPr>
        <w:spacing w:line="360" w:lineRule="auto"/>
        <w:ind w:firstLine="480" w:firstLineChars="200"/>
        <w:rPr>
          <w:rFonts w:hint="eastAsia"/>
          <w:szCs w:val="21"/>
        </w:rPr>
      </w:pPr>
      <w:r>
        <w:rPr>
          <w:rFonts w:hint="eastAsia"/>
          <w:szCs w:val="21"/>
        </w:rPr>
        <w:t>为继续深化并认真落实我院网络安全各项规划工作，结合我院现有信息化现状，本次项目主要以优化网络架构、补强网络安全防护能力、建立长效的安全服务机制为主要目标，通过此次项目建设进一步提升我院网络安全整体防护能力。</w:t>
      </w:r>
    </w:p>
    <w:p w14:paraId="05D879C7">
      <w:pPr>
        <w:rPr>
          <w:rFonts w:hint="eastAsia"/>
        </w:rPr>
      </w:pPr>
    </w:p>
    <w:tbl>
      <w:tblPr>
        <w:tblStyle w:val="8"/>
        <w:tblW w:w="6543" w:type="dxa"/>
        <w:jc w:val="center"/>
        <w:tblLayout w:type="fixed"/>
        <w:tblCellMar>
          <w:top w:w="0" w:type="dxa"/>
          <w:left w:w="108" w:type="dxa"/>
          <w:bottom w:w="0" w:type="dxa"/>
          <w:right w:w="108" w:type="dxa"/>
        </w:tblCellMar>
      </w:tblPr>
      <w:tblGrid>
        <w:gridCol w:w="2167"/>
        <w:gridCol w:w="4376"/>
      </w:tblGrid>
      <w:tr w14:paraId="2AA32AD6">
        <w:tblPrEx>
          <w:tblCellMar>
            <w:top w:w="0" w:type="dxa"/>
            <w:left w:w="108" w:type="dxa"/>
            <w:bottom w:w="0" w:type="dxa"/>
            <w:right w:w="108" w:type="dxa"/>
          </w:tblCellMar>
        </w:tblPrEx>
        <w:trPr>
          <w:trHeight w:val="484" w:hRule="exact"/>
          <w:jc w:val="center"/>
        </w:trPr>
        <w:tc>
          <w:tcPr>
            <w:tcW w:w="2167" w:type="dxa"/>
            <w:tcBorders>
              <w:top w:val="single" w:color="000000" w:sz="4" w:space="0"/>
              <w:left w:val="single" w:color="000000" w:sz="2" w:space="0"/>
              <w:bottom w:val="single" w:color="000000" w:sz="4" w:space="0"/>
              <w:right w:val="single" w:color="000000" w:sz="4" w:space="0"/>
            </w:tcBorders>
            <w:tcMar>
              <w:left w:w="0" w:type="dxa"/>
              <w:right w:w="0" w:type="dxa"/>
            </w:tcMar>
            <w:vAlign w:val="center"/>
          </w:tcPr>
          <w:p w14:paraId="5CC48123">
            <w:pPr>
              <w:jc w:val="center"/>
              <w:rPr>
                <w:rFonts w:hint="eastAsia"/>
              </w:rPr>
            </w:pPr>
            <w:r>
              <w:rPr>
                <w:rFonts w:hint="eastAsia"/>
                <w:b/>
                <w:bCs/>
              </w:rPr>
              <w:t>拟调研项目</w:t>
            </w:r>
          </w:p>
        </w:tc>
        <w:tc>
          <w:tcPr>
            <w:tcW w:w="4376" w:type="dxa"/>
            <w:tcBorders>
              <w:top w:val="single" w:color="000000" w:sz="4" w:space="0"/>
              <w:left w:val="single" w:color="000000" w:sz="4" w:space="0"/>
              <w:bottom w:val="single" w:color="000000" w:sz="4" w:space="0"/>
              <w:right w:val="single" w:color="000000" w:sz="2" w:space="0"/>
            </w:tcBorders>
            <w:tcMar>
              <w:left w:w="0" w:type="dxa"/>
              <w:right w:w="0" w:type="dxa"/>
            </w:tcMar>
            <w:vAlign w:val="center"/>
          </w:tcPr>
          <w:p w14:paraId="4A188B41">
            <w:pPr>
              <w:jc w:val="center"/>
              <w:rPr>
                <w:rFonts w:hint="eastAsia"/>
              </w:rPr>
            </w:pPr>
            <w:r>
              <w:rPr>
                <w:b/>
                <w:bCs/>
              </w:rPr>
              <w:t>交付时间</w:t>
            </w:r>
          </w:p>
        </w:tc>
      </w:tr>
      <w:tr w14:paraId="00E723C6">
        <w:tblPrEx>
          <w:tblCellMar>
            <w:top w:w="0" w:type="dxa"/>
            <w:left w:w="108" w:type="dxa"/>
            <w:bottom w:w="0" w:type="dxa"/>
            <w:right w:w="108" w:type="dxa"/>
          </w:tblCellMar>
        </w:tblPrEx>
        <w:trPr>
          <w:trHeight w:val="996" w:hRule="exact"/>
          <w:jc w:val="center"/>
        </w:trPr>
        <w:tc>
          <w:tcPr>
            <w:tcW w:w="2167" w:type="dxa"/>
            <w:tcBorders>
              <w:top w:val="single" w:color="000000" w:sz="4" w:space="0"/>
              <w:left w:val="single" w:color="000000" w:sz="2" w:space="0"/>
              <w:bottom w:val="single" w:color="000000" w:sz="2" w:space="0"/>
              <w:right w:val="single" w:color="000000" w:sz="4" w:space="0"/>
            </w:tcBorders>
            <w:tcMar>
              <w:left w:w="0" w:type="dxa"/>
              <w:right w:w="0" w:type="dxa"/>
            </w:tcMar>
            <w:vAlign w:val="center"/>
          </w:tcPr>
          <w:p w14:paraId="50AF0EA3">
            <w:pPr>
              <w:jc w:val="center"/>
              <w:rPr>
                <w:rFonts w:hint="eastAsia"/>
              </w:rPr>
            </w:pPr>
            <w:r>
              <w:rPr>
                <w:rFonts w:hint="eastAsia"/>
              </w:rPr>
              <w:t>信息安全服务2026</w:t>
            </w:r>
          </w:p>
        </w:tc>
        <w:tc>
          <w:tcPr>
            <w:tcW w:w="4376" w:type="dxa"/>
            <w:tcBorders>
              <w:top w:val="single" w:color="000000" w:sz="4" w:space="0"/>
              <w:left w:val="single" w:color="000000" w:sz="4" w:space="0"/>
              <w:bottom w:val="single" w:color="000000" w:sz="2" w:space="0"/>
              <w:right w:val="single" w:color="000000" w:sz="2" w:space="0"/>
            </w:tcBorders>
            <w:tcMar>
              <w:left w:w="0" w:type="dxa"/>
              <w:right w:w="0" w:type="dxa"/>
            </w:tcMar>
            <w:vAlign w:val="center"/>
          </w:tcPr>
          <w:p w14:paraId="07988306">
            <w:pPr>
              <w:jc w:val="both"/>
              <w:rPr>
                <w:rFonts w:hint="eastAsia"/>
              </w:rPr>
            </w:pPr>
            <w:r>
              <w:t>自合同签订之日起</w:t>
            </w:r>
            <w:r>
              <w:rPr>
                <w:rFonts w:hint="eastAsia"/>
              </w:rPr>
              <w:t>3个月内完成软硬件产品的部署实施交付，1年内</w:t>
            </w:r>
            <w:r>
              <w:t>完成</w:t>
            </w:r>
            <w:r>
              <w:rPr>
                <w:rFonts w:hint="eastAsia"/>
              </w:rPr>
              <w:t>相关安全服务</w:t>
            </w:r>
            <w:r>
              <w:t>。</w:t>
            </w:r>
          </w:p>
        </w:tc>
      </w:tr>
    </w:tbl>
    <w:p w14:paraId="1DCDE203">
      <w:pPr>
        <w:pStyle w:val="4"/>
        <w:numPr>
          <w:ilvl w:val="0"/>
          <w:numId w:val="1"/>
        </w:numPr>
      </w:pPr>
      <w:r>
        <w:rPr>
          <w:rFonts w:hint="eastAsia"/>
        </w:rPr>
        <w:t>项目清单</w:t>
      </w:r>
      <w:bookmarkStart w:id="2" w:name="_GoBack"/>
      <w:bookmarkEnd w:id="2"/>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4028"/>
        <w:gridCol w:w="924"/>
        <w:gridCol w:w="924"/>
        <w:gridCol w:w="1719"/>
      </w:tblGrid>
      <w:tr w14:paraId="3A1E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3ECC317B">
            <w:pPr>
              <w:widowControl w:val="0"/>
              <w:jc w:val="center"/>
              <w:rPr>
                <w:rFonts w:hint="eastAsia"/>
                <w:b/>
                <w:bCs/>
              </w:rPr>
            </w:pPr>
            <w:r>
              <w:rPr>
                <w:b/>
                <w:bCs/>
              </w:rPr>
              <w:t>序号</w:t>
            </w:r>
          </w:p>
        </w:tc>
        <w:tc>
          <w:tcPr>
            <w:tcW w:w="2362" w:type="pct"/>
            <w:shd w:val="clear" w:color="auto" w:fill="auto"/>
            <w:vAlign w:val="center"/>
          </w:tcPr>
          <w:p w14:paraId="7A289AD9">
            <w:pPr>
              <w:widowControl w:val="0"/>
              <w:jc w:val="center"/>
              <w:rPr>
                <w:rFonts w:hint="eastAsia"/>
                <w:b/>
                <w:bCs/>
              </w:rPr>
            </w:pPr>
            <w:r>
              <w:rPr>
                <w:b/>
                <w:bCs/>
              </w:rPr>
              <w:t>项目</w:t>
            </w:r>
          </w:p>
        </w:tc>
        <w:tc>
          <w:tcPr>
            <w:tcW w:w="542" w:type="pct"/>
            <w:shd w:val="clear" w:color="auto" w:fill="auto"/>
            <w:vAlign w:val="center"/>
          </w:tcPr>
          <w:p w14:paraId="031E11D4">
            <w:pPr>
              <w:widowControl w:val="0"/>
              <w:jc w:val="center"/>
              <w:rPr>
                <w:rFonts w:hint="eastAsia"/>
                <w:b/>
                <w:bCs/>
              </w:rPr>
            </w:pPr>
            <w:r>
              <w:rPr>
                <w:b/>
                <w:bCs/>
              </w:rPr>
              <w:t>数量</w:t>
            </w:r>
          </w:p>
        </w:tc>
        <w:tc>
          <w:tcPr>
            <w:tcW w:w="542" w:type="pct"/>
            <w:shd w:val="clear" w:color="auto" w:fill="auto"/>
            <w:vAlign w:val="center"/>
          </w:tcPr>
          <w:p w14:paraId="78D73634">
            <w:pPr>
              <w:widowControl w:val="0"/>
              <w:jc w:val="center"/>
              <w:rPr>
                <w:rFonts w:hint="eastAsia"/>
                <w:b/>
                <w:bCs/>
              </w:rPr>
            </w:pPr>
            <w:r>
              <w:rPr>
                <w:b/>
                <w:bCs/>
              </w:rPr>
              <w:t>单位</w:t>
            </w:r>
          </w:p>
        </w:tc>
        <w:tc>
          <w:tcPr>
            <w:tcW w:w="1008" w:type="pct"/>
            <w:shd w:val="clear" w:color="auto" w:fill="auto"/>
            <w:vAlign w:val="center"/>
          </w:tcPr>
          <w:p w14:paraId="7DB7040C">
            <w:pPr>
              <w:widowControl w:val="0"/>
              <w:jc w:val="center"/>
              <w:rPr>
                <w:rFonts w:hint="eastAsia"/>
                <w:b/>
                <w:bCs/>
              </w:rPr>
            </w:pPr>
            <w:r>
              <w:rPr>
                <w:rFonts w:hint="eastAsia"/>
                <w:b/>
                <w:bCs/>
              </w:rPr>
              <w:t>备注</w:t>
            </w:r>
          </w:p>
        </w:tc>
      </w:tr>
      <w:tr w14:paraId="3F39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55761FD1">
            <w:pPr>
              <w:widowControl w:val="0"/>
              <w:jc w:val="center"/>
              <w:rPr>
                <w:rFonts w:hint="eastAsia"/>
              </w:rPr>
            </w:pPr>
            <w:r>
              <w:rPr>
                <w:rFonts w:hint="eastAsia"/>
              </w:rPr>
              <w:t>1</w:t>
            </w:r>
          </w:p>
        </w:tc>
        <w:tc>
          <w:tcPr>
            <w:tcW w:w="2362" w:type="pct"/>
            <w:shd w:val="clear" w:color="auto" w:fill="auto"/>
            <w:vAlign w:val="center"/>
          </w:tcPr>
          <w:p w14:paraId="4CAA8828">
            <w:pPr>
              <w:widowControl w:val="0"/>
              <w:jc w:val="both"/>
              <w:rPr>
                <w:rFonts w:hint="eastAsia"/>
              </w:rPr>
            </w:pPr>
            <w:r>
              <w:rPr>
                <w:rFonts w:hint="eastAsia"/>
              </w:rPr>
              <w:t>安全服务1：渗透测试</w:t>
            </w:r>
          </w:p>
        </w:tc>
        <w:tc>
          <w:tcPr>
            <w:tcW w:w="542" w:type="pct"/>
            <w:shd w:val="clear" w:color="auto" w:fill="auto"/>
            <w:vAlign w:val="center"/>
          </w:tcPr>
          <w:p w14:paraId="39DEE485">
            <w:pPr>
              <w:widowControl w:val="0"/>
              <w:jc w:val="center"/>
              <w:rPr>
                <w:rFonts w:hint="eastAsia"/>
              </w:rPr>
            </w:pPr>
            <w:r>
              <w:t>1</w:t>
            </w:r>
          </w:p>
        </w:tc>
        <w:tc>
          <w:tcPr>
            <w:tcW w:w="542" w:type="pct"/>
            <w:shd w:val="clear" w:color="auto" w:fill="auto"/>
            <w:vAlign w:val="center"/>
          </w:tcPr>
          <w:p w14:paraId="1405A57C">
            <w:pPr>
              <w:widowControl w:val="0"/>
              <w:jc w:val="center"/>
              <w:rPr>
                <w:rFonts w:hint="eastAsia"/>
              </w:rPr>
            </w:pPr>
            <w:r>
              <w:t>项</w:t>
            </w:r>
          </w:p>
        </w:tc>
        <w:tc>
          <w:tcPr>
            <w:tcW w:w="1008" w:type="pct"/>
            <w:shd w:val="clear" w:color="auto" w:fill="auto"/>
            <w:vAlign w:val="center"/>
          </w:tcPr>
          <w:p w14:paraId="37E28AE6">
            <w:pPr>
              <w:widowControl w:val="0"/>
              <w:jc w:val="both"/>
              <w:rPr>
                <w:rFonts w:hint="eastAsia"/>
              </w:rPr>
            </w:pPr>
            <w:r>
              <w:rPr>
                <w:rFonts w:hint="eastAsia"/>
              </w:rPr>
              <w:t>1年，2次</w:t>
            </w:r>
          </w:p>
        </w:tc>
      </w:tr>
      <w:tr w14:paraId="1ED7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734524C8">
            <w:pPr>
              <w:widowControl w:val="0"/>
              <w:jc w:val="center"/>
              <w:rPr>
                <w:rFonts w:hint="eastAsia"/>
              </w:rPr>
            </w:pPr>
            <w:r>
              <w:rPr>
                <w:rFonts w:hint="eastAsia"/>
              </w:rPr>
              <w:t>2</w:t>
            </w:r>
          </w:p>
        </w:tc>
        <w:tc>
          <w:tcPr>
            <w:tcW w:w="2362" w:type="pct"/>
            <w:shd w:val="clear" w:color="auto" w:fill="auto"/>
            <w:vAlign w:val="center"/>
          </w:tcPr>
          <w:p w14:paraId="5C3EC468">
            <w:pPr>
              <w:widowControl w:val="0"/>
              <w:jc w:val="both"/>
              <w:rPr>
                <w:rFonts w:hint="eastAsia"/>
              </w:rPr>
            </w:pPr>
            <w:r>
              <w:rPr>
                <w:rFonts w:hint="eastAsia"/>
              </w:rPr>
              <w:t>安全服务2：漏洞扫描</w:t>
            </w:r>
          </w:p>
        </w:tc>
        <w:tc>
          <w:tcPr>
            <w:tcW w:w="542" w:type="pct"/>
            <w:shd w:val="clear" w:color="auto" w:fill="auto"/>
            <w:vAlign w:val="center"/>
          </w:tcPr>
          <w:p w14:paraId="6D5663B6">
            <w:pPr>
              <w:widowControl w:val="0"/>
              <w:jc w:val="center"/>
              <w:rPr>
                <w:rFonts w:hint="eastAsia"/>
              </w:rPr>
            </w:pPr>
            <w:r>
              <w:t>1</w:t>
            </w:r>
          </w:p>
        </w:tc>
        <w:tc>
          <w:tcPr>
            <w:tcW w:w="542" w:type="pct"/>
            <w:shd w:val="clear" w:color="auto" w:fill="auto"/>
            <w:vAlign w:val="center"/>
          </w:tcPr>
          <w:p w14:paraId="49F2CAAA">
            <w:pPr>
              <w:widowControl w:val="0"/>
              <w:jc w:val="center"/>
              <w:rPr>
                <w:rFonts w:hint="eastAsia"/>
              </w:rPr>
            </w:pPr>
            <w:r>
              <w:t>项</w:t>
            </w:r>
          </w:p>
        </w:tc>
        <w:tc>
          <w:tcPr>
            <w:tcW w:w="1008" w:type="pct"/>
            <w:shd w:val="clear" w:color="auto" w:fill="auto"/>
            <w:vAlign w:val="center"/>
          </w:tcPr>
          <w:p w14:paraId="439E9BAA">
            <w:pPr>
              <w:widowControl w:val="0"/>
              <w:jc w:val="center"/>
              <w:rPr>
                <w:rFonts w:hint="eastAsia"/>
              </w:rPr>
            </w:pPr>
            <w:r>
              <w:rPr>
                <w:rFonts w:hint="eastAsia"/>
              </w:rPr>
              <w:t>1年，2次</w:t>
            </w:r>
          </w:p>
        </w:tc>
      </w:tr>
      <w:tr w14:paraId="1C78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282501BB">
            <w:pPr>
              <w:widowControl w:val="0"/>
              <w:jc w:val="center"/>
              <w:rPr>
                <w:rFonts w:hint="eastAsia"/>
              </w:rPr>
            </w:pPr>
            <w:r>
              <w:rPr>
                <w:rFonts w:hint="eastAsia"/>
              </w:rPr>
              <w:t>3</w:t>
            </w:r>
          </w:p>
        </w:tc>
        <w:tc>
          <w:tcPr>
            <w:tcW w:w="2362" w:type="pct"/>
            <w:shd w:val="clear" w:color="auto" w:fill="auto"/>
            <w:vAlign w:val="center"/>
          </w:tcPr>
          <w:p w14:paraId="4A555EE3">
            <w:pPr>
              <w:widowControl w:val="0"/>
              <w:jc w:val="both"/>
              <w:rPr>
                <w:rFonts w:hint="eastAsia"/>
              </w:rPr>
            </w:pPr>
            <w:r>
              <w:rPr>
                <w:rFonts w:hint="eastAsia"/>
              </w:rPr>
              <w:t>安全服务3：日常安服</w:t>
            </w:r>
          </w:p>
        </w:tc>
        <w:tc>
          <w:tcPr>
            <w:tcW w:w="542" w:type="pct"/>
            <w:shd w:val="clear" w:color="auto" w:fill="auto"/>
            <w:vAlign w:val="center"/>
          </w:tcPr>
          <w:p w14:paraId="369E4D9A">
            <w:pPr>
              <w:widowControl w:val="0"/>
              <w:jc w:val="center"/>
              <w:rPr>
                <w:rFonts w:hint="eastAsia"/>
              </w:rPr>
            </w:pPr>
            <w:r>
              <w:t>1</w:t>
            </w:r>
          </w:p>
        </w:tc>
        <w:tc>
          <w:tcPr>
            <w:tcW w:w="542" w:type="pct"/>
            <w:shd w:val="clear" w:color="auto" w:fill="auto"/>
            <w:vAlign w:val="center"/>
          </w:tcPr>
          <w:p w14:paraId="35F2CE12">
            <w:pPr>
              <w:widowControl w:val="0"/>
              <w:jc w:val="center"/>
              <w:rPr>
                <w:rFonts w:hint="eastAsia"/>
              </w:rPr>
            </w:pPr>
            <w:r>
              <w:t>项</w:t>
            </w:r>
          </w:p>
        </w:tc>
        <w:tc>
          <w:tcPr>
            <w:tcW w:w="1008" w:type="pct"/>
            <w:shd w:val="clear" w:color="auto" w:fill="auto"/>
            <w:vAlign w:val="center"/>
          </w:tcPr>
          <w:p w14:paraId="767FC20B">
            <w:pPr>
              <w:widowControl w:val="0"/>
              <w:jc w:val="center"/>
              <w:rPr>
                <w:rFonts w:hint="eastAsia"/>
                <w:highlight w:val="green"/>
              </w:rPr>
            </w:pPr>
            <w:r>
              <w:rPr>
                <w:rFonts w:hint="eastAsia"/>
              </w:rPr>
              <w:t>1年</w:t>
            </w:r>
          </w:p>
        </w:tc>
      </w:tr>
      <w:tr w14:paraId="2A56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20766F72">
            <w:pPr>
              <w:widowControl w:val="0"/>
              <w:jc w:val="center"/>
              <w:rPr>
                <w:rFonts w:hint="eastAsia"/>
              </w:rPr>
            </w:pPr>
            <w:r>
              <w:rPr>
                <w:rFonts w:hint="eastAsia"/>
              </w:rPr>
              <w:t>4</w:t>
            </w:r>
          </w:p>
        </w:tc>
        <w:tc>
          <w:tcPr>
            <w:tcW w:w="2362" w:type="pct"/>
            <w:shd w:val="clear" w:color="auto" w:fill="auto"/>
            <w:vAlign w:val="center"/>
          </w:tcPr>
          <w:p w14:paraId="735DC36E">
            <w:pPr>
              <w:widowControl w:val="0"/>
              <w:jc w:val="both"/>
              <w:rPr>
                <w:rFonts w:hint="eastAsia"/>
              </w:rPr>
            </w:pPr>
            <w:r>
              <w:rPr>
                <w:rFonts w:hint="eastAsia"/>
              </w:rPr>
              <w:t>安全服务4：重保值守服务</w:t>
            </w:r>
          </w:p>
        </w:tc>
        <w:tc>
          <w:tcPr>
            <w:tcW w:w="542" w:type="pct"/>
            <w:shd w:val="clear" w:color="auto" w:fill="auto"/>
            <w:vAlign w:val="center"/>
          </w:tcPr>
          <w:p w14:paraId="588BD568">
            <w:pPr>
              <w:widowControl w:val="0"/>
              <w:jc w:val="center"/>
              <w:rPr>
                <w:rFonts w:hint="eastAsia"/>
              </w:rPr>
            </w:pPr>
            <w:r>
              <w:t>1</w:t>
            </w:r>
          </w:p>
        </w:tc>
        <w:tc>
          <w:tcPr>
            <w:tcW w:w="542" w:type="pct"/>
            <w:shd w:val="clear" w:color="auto" w:fill="auto"/>
            <w:vAlign w:val="center"/>
          </w:tcPr>
          <w:p w14:paraId="3B818FD6">
            <w:pPr>
              <w:widowControl w:val="0"/>
              <w:jc w:val="center"/>
              <w:rPr>
                <w:rFonts w:hint="eastAsia"/>
              </w:rPr>
            </w:pPr>
            <w:r>
              <w:t>项</w:t>
            </w:r>
          </w:p>
        </w:tc>
        <w:tc>
          <w:tcPr>
            <w:tcW w:w="1008" w:type="pct"/>
            <w:shd w:val="clear" w:color="auto" w:fill="auto"/>
            <w:vAlign w:val="center"/>
          </w:tcPr>
          <w:p w14:paraId="62D62EE8">
            <w:pPr>
              <w:widowControl w:val="0"/>
              <w:jc w:val="center"/>
              <w:rPr>
                <w:rFonts w:hint="eastAsia"/>
              </w:rPr>
            </w:pPr>
            <w:r>
              <w:rPr>
                <w:rFonts w:hint="eastAsia"/>
              </w:rPr>
              <w:t>1年</w:t>
            </w:r>
          </w:p>
        </w:tc>
      </w:tr>
      <w:tr w14:paraId="3985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1BFD4955">
            <w:pPr>
              <w:widowControl w:val="0"/>
              <w:jc w:val="center"/>
              <w:rPr>
                <w:rFonts w:hint="eastAsia"/>
              </w:rPr>
            </w:pPr>
            <w:r>
              <w:rPr>
                <w:rFonts w:hint="eastAsia"/>
              </w:rPr>
              <w:t>5</w:t>
            </w:r>
          </w:p>
        </w:tc>
        <w:tc>
          <w:tcPr>
            <w:tcW w:w="2362" w:type="pct"/>
            <w:shd w:val="clear" w:color="auto" w:fill="auto"/>
            <w:vAlign w:val="center"/>
          </w:tcPr>
          <w:p w14:paraId="6B05164B">
            <w:pPr>
              <w:widowControl w:val="0"/>
              <w:jc w:val="both"/>
              <w:rPr>
                <w:rFonts w:hint="eastAsia"/>
              </w:rPr>
            </w:pPr>
            <w:r>
              <w:rPr>
                <w:rFonts w:hint="eastAsia"/>
              </w:rPr>
              <w:t>XDR+MSS安服</w:t>
            </w:r>
          </w:p>
        </w:tc>
        <w:tc>
          <w:tcPr>
            <w:tcW w:w="542" w:type="pct"/>
            <w:shd w:val="clear" w:color="auto" w:fill="auto"/>
            <w:vAlign w:val="center"/>
          </w:tcPr>
          <w:p w14:paraId="7F0B8FD0">
            <w:pPr>
              <w:widowControl w:val="0"/>
              <w:jc w:val="center"/>
              <w:rPr>
                <w:rFonts w:hint="eastAsia"/>
              </w:rPr>
            </w:pPr>
            <w:r>
              <w:t>1</w:t>
            </w:r>
          </w:p>
        </w:tc>
        <w:tc>
          <w:tcPr>
            <w:tcW w:w="542" w:type="pct"/>
            <w:shd w:val="clear" w:color="auto" w:fill="auto"/>
            <w:vAlign w:val="center"/>
          </w:tcPr>
          <w:p w14:paraId="21963C28">
            <w:pPr>
              <w:widowControl w:val="0"/>
              <w:jc w:val="center"/>
              <w:rPr>
                <w:rFonts w:hint="eastAsia"/>
              </w:rPr>
            </w:pPr>
            <w:r>
              <w:t>项</w:t>
            </w:r>
          </w:p>
        </w:tc>
        <w:tc>
          <w:tcPr>
            <w:tcW w:w="1008" w:type="pct"/>
            <w:shd w:val="clear" w:color="auto" w:fill="auto"/>
            <w:vAlign w:val="center"/>
          </w:tcPr>
          <w:p w14:paraId="3C2F406D">
            <w:pPr>
              <w:widowControl w:val="0"/>
              <w:jc w:val="center"/>
              <w:rPr>
                <w:rFonts w:hint="eastAsia"/>
              </w:rPr>
            </w:pPr>
            <w:r>
              <w:rPr>
                <w:rFonts w:hint="eastAsia"/>
              </w:rPr>
              <w:t>1年</w:t>
            </w:r>
          </w:p>
        </w:tc>
      </w:tr>
      <w:tr w14:paraId="7D55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7C3162CF">
            <w:pPr>
              <w:widowControl w:val="0"/>
              <w:jc w:val="center"/>
              <w:rPr>
                <w:rFonts w:hint="eastAsia"/>
              </w:rPr>
            </w:pPr>
            <w:r>
              <w:rPr>
                <w:rFonts w:hint="eastAsia"/>
              </w:rPr>
              <w:t>6</w:t>
            </w:r>
          </w:p>
        </w:tc>
        <w:tc>
          <w:tcPr>
            <w:tcW w:w="2362" w:type="pct"/>
            <w:shd w:val="clear" w:color="auto" w:fill="auto"/>
            <w:vAlign w:val="center"/>
          </w:tcPr>
          <w:p w14:paraId="58BF2E4C">
            <w:pPr>
              <w:widowControl w:val="0"/>
              <w:jc w:val="both"/>
              <w:rPr>
                <w:rFonts w:hint="eastAsia"/>
              </w:rPr>
            </w:pPr>
            <w:r>
              <w:rPr>
                <w:rFonts w:hint="eastAsia"/>
              </w:rPr>
              <w:t>等保服务</w:t>
            </w:r>
          </w:p>
        </w:tc>
        <w:tc>
          <w:tcPr>
            <w:tcW w:w="542" w:type="pct"/>
            <w:shd w:val="clear" w:color="auto" w:fill="auto"/>
            <w:vAlign w:val="center"/>
          </w:tcPr>
          <w:p w14:paraId="06C46233">
            <w:pPr>
              <w:widowControl w:val="0"/>
              <w:jc w:val="center"/>
              <w:rPr>
                <w:rFonts w:hint="eastAsia"/>
              </w:rPr>
            </w:pPr>
            <w:r>
              <w:rPr>
                <w:rFonts w:hint="eastAsia"/>
              </w:rPr>
              <w:t>1</w:t>
            </w:r>
          </w:p>
        </w:tc>
        <w:tc>
          <w:tcPr>
            <w:tcW w:w="542" w:type="pct"/>
            <w:shd w:val="clear" w:color="auto" w:fill="auto"/>
            <w:vAlign w:val="center"/>
          </w:tcPr>
          <w:p w14:paraId="0C9642DF">
            <w:pPr>
              <w:widowControl w:val="0"/>
              <w:jc w:val="center"/>
              <w:rPr>
                <w:rFonts w:hint="eastAsia"/>
              </w:rPr>
            </w:pPr>
            <w:r>
              <w:t>项</w:t>
            </w:r>
          </w:p>
        </w:tc>
        <w:tc>
          <w:tcPr>
            <w:tcW w:w="1008" w:type="pct"/>
            <w:shd w:val="clear" w:color="auto" w:fill="auto"/>
            <w:vAlign w:val="center"/>
          </w:tcPr>
          <w:p w14:paraId="2B87D737">
            <w:pPr>
              <w:widowControl w:val="0"/>
              <w:jc w:val="center"/>
              <w:rPr>
                <w:rFonts w:hint="eastAsia"/>
              </w:rPr>
            </w:pPr>
          </w:p>
        </w:tc>
      </w:tr>
      <w:tr w14:paraId="5919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071B1FDF">
            <w:pPr>
              <w:widowControl w:val="0"/>
              <w:jc w:val="center"/>
              <w:rPr>
                <w:rFonts w:hint="eastAsia"/>
              </w:rPr>
            </w:pPr>
            <w:r>
              <w:rPr>
                <w:rFonts w:hint="eastAsia"/>
              </w:rPr>
              <w:t>7</w:t>
            </w:r>
          </w:p>
        </w:tc>
        <w:tc>
          <w:tcPr>
            <w:tcW w:w="2362" w:type="pct"/>
            <w:shd w:val="clear" w:color="auto" w:fill="auto"/>
            <w:vAlign w:val="center"/>
          </w:tcPr>
          <w:p w14:paraId="69DEE4F7">
            <w:pPr>
              <w:widowControl w:val="0"/>
              <w:jc w:val="both"/>
              <w:rPr>
                <w:rFonts w:hint="eastAsia"/>
              </w:rPr>
            </w:pPr>
            <w:r>
              <w:rPr>
                <w:rFonts w:hint="eastAsia"/>
              </w:rPr>
              <w:t>防火墙续保</w:t>
            </w:r>
          </w:p>
        </w:tc>
        <w:tc>
          <w:tcPr>
            <w:tcW w:w="542" w:type="pct"/>
            <w:shd w:val="clear" w:color="auto" w:fill="auto"/>
            <w:vAlign w:val="center"/>
          </w:tcPr>
          <w:p w14:paraId="6D646F41">
            <w:pPr>
              <w:widowControl w:val="0"/>
              <w:jc w:val="center"/>
              <w:rPr>
                <w:rFonts w:hint="eastAsia"/>
              </w:rPr>
            </w:pPr>
            <w:r>
              <w:rPr>
                <w:rFonts w:hint="eastAsia"/>
              </w:rPr>
              <w:t>1</w:t>
            </w:r>
          </w:p>
        </w:tc>
        <w:tc>
          <w:tcPr>
            <w:tcW w:w="542" w:type="pct"/>
            <w:shd w:val="clear" w:color="auto" w:fill="auto"/>
            <w:vAlign w:val="center"/>
          </w:tcPr>
          <w:p w14:paraId="41B67B57">
            <w:pPr>
              <w:widowControl w:val="0"/>
              <w:jc w:val="center"/>
              <w:rPr>
                <w:rFonts w:hint="eastAsia"/>
              </w:rPr>
            </w:pPr>
            <w:r>
              <w:rPr>
                <w:rFonts w:hint="eastAsia"/>
              </w:rPr>
              <w:t>项</w:t>
            </w:r>
          </w:p>
        </w:tc>
        <w:tc>
          <w:tcPr>
            <w:tcW w:w="1008" w:type="pct"/>
            <w:shd w:val="clear" w:color="auto" w:fill="auto"/>
            <w:vAlign w:val="center"/>
          </w:tcPr>
          <w:p w14:paraId="5CE90A49">
            <w:pPr>
              <w:widowControl w:val="0"/>
              <w:jc w:val="center"/>
              <w:rPr>
                <w:rFonts w:hint="eastAsia"/>
              </w:rPr>
            </w:pPr>
            <w:r>
              <w:rPr>
                <w:rFonts w:hint="eastAsia"/>
              </w:rPr>
              <w:t>3年</w:t>
            </w:r>
          </w:p>
        </w:tc>
      </w:tr>
      <w:tr w14:paraId="7873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61204A1D">
            <w:pPr>
              <w:widowControl w:val="0"/>
              <w:jc w:val="center"/>
              <w:rPr>
                <w:rFonts w:hint="eastAsia"/>
              </w:rPr>
            </w:pPr>
            <w:r>
              <w:rPr>
                <w:rFonts w:hint="eastAsia"/>
              </w:rPr>
              <w:t>8</w:t>
            </w:r>
          </w:p>
        </w:tc>
        <w:tc>
          <w:tcPr>
            <w:tcW w:w="2362" w:type="pct"/>
            <w:shd w:val="clear" w:color="auto" w:fill="auto"/>
            <w:vAlign w:val="center"/>
          </w:tcPr>
          <w:p w14:paraId="7F3A0A44">
            <w:pPr>
              <w:widowControl w:val="0"/>
              <w:jc w:val="both"/>
              <w:rPr>
                <w:rFonts w:hint="eastAsia"/>
              </w:rPr>
            </w:pPr>
            <w:r>
              <w:rPr>
                <w:rFonts w:hint="eastAsia"/>
              </w:rPr>
              <w:t>AD设备续保</w:t>
            </w:r>
          </w:p>
        </w:tc>
        <w:tc>
          <w:tcPr>
            <w:tcW w:w="542" w:type="pct"/>
            <w:shd w:val="clear" w:color="auto" w:fill="auto"/>
            <w:vAlign w:val="center"/>
          </w:tcPr>
          <w:p w14:paraId="719F588C">
            <w:pPr>
              <w:widowControl w:val="0"/>
              <w:jc w:val="center"/>
              <w:rPr>
                <w:rFonts w:hint="eastAsia"/>
              </w:rPr>
            </w:pPr>
            <w:r>
              <w:rPr>
                <w:rFonts w:hint="eastAsia"/>
              </w:rPr>
              <w:t>1</w:t>
            </w:r>
          </w:p>
        </w:tc>
        <w:tc>
          <w:tcPr>
            <w:tcW w:w="542" w:type="pct"/>
            <w:shd w:val="clear" w:color="auto" w:fill="auto"/>
            <w:vAlign w:val="center"/>
          </w:tcPr>
          <w:p w14:paraId="1D93F1ED">
            <w:pPr>
              <w:widowControl w:val="0"/>
              <w:jc w:val="center"/>
              <w:rPr>
                <w:rFonts w:hint="eastAsia"/>
              </w:rPr>
            </w:pPr>
            <w:r>
              <w:rPr>
                <w:rFonts w:hint="eastAsia"/>
              </w:rPr>
              <w:t>项</w:t>
            </w:r>
          </w:p>
        </w:tc>
        <w:tc>
          <w:tcPr>
            <w:tcW w:w="1008" w:type="pct"/>
            <w:shd w:val="clear" w:color="auto" w:fill="auto"/>
            <w:vAlign w:val="center"/>
          </w:tcPr>
          <w:p w14:paraId="711DDC4B">
            <w:pPr>
              <w:widowControl w:val="0"/>
              <w:jc w:val="center"/>
              <w:rPr>
                <w:rFonts w:hint="eastAsia"/>
              </w:rPr>
            </w:pPr>
            <w:r>
              <w:rPr>
                <w:rFonts w:hint="eastAsia"/>
              </w:rPr>
              <w:t>3年</w:t>
            </w:r>
          </w:p>
        </w:tc>
      </w:tr>
      <w:tr w14:paraId="50CD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0F64C58D">
            <w:pPr>
              <w:widowControl w:val="0"/>
              <w:jc w:val="center"/>
              <w:rPr>
                <w:rFonts w:hint="eastAsia"/>
              </w:rPr>
            </w:pPr>
            <w:r>
              <w:rPr>
                <w:rFonts w:hint="eastAsia"/>
              </w:rPr>
              <w:t>9</w:t>
            </w:r>
          </w:p>
        </w:tc>
        <w:tc>
          <w:tcPr>
            <w:tcW w:w="2362" w:type="pct"/>
            <w:shd w:val="clear" w:color="auto" w:fill="auto"/>
            <w:vAlign w:val="center"/>
          </w:tcPr>
          <w:p w14:paraId="7FE26968">
            <w:pPr>
              <w:widowControl w:val="0"/>
              <w:jc w:val="both"/>
              <w:rPr>
                <w:rFonts w:hint="eastAsia"/>
              </w:rPr>
            </w:pPr>
            <w:r>
              <w:rPr>
                <w:rFonts w:hint="eastAsia"/>
              </w:rPr>
              <w:t>aTrust续保</w:t>
            </w:r>
          </w:p>
        </w:tc>
        <w:tc>
          <w:tcPr>
            <w:tcW w:w="542" w:type="pct"/>
            <w:shd w:val="clear" w:color="auto" w:fill="auto"/>
            <w:vAlign w:val="center"/>
          </w:tcPr>
          <w:p w14:paraId="4DC3A58A">
            <w:pPr>
              <w:widowControl w:val="0"/>
              <w:jc w:val="center"/>
              <w:rPr>
                <w:rFonts w:hint="eastAsia"/>
              </w:rPr>
            </w:pPr>
            <w:r>
              <w:rPr>
                <w:rFonts w:hint="eastAsia"/>
              </w:rPr>
              <w:t>1</w:t>
            </w:r>
          </w:p>
        </w:tc>
        <w:tc>
          <w:tcPr>
            <w:tcW w:w="542" w:type="pct"/>
            <w:shd w:val="clear" w:color="auto" w:fill="auto"/>
            <w:vAlign w:val="center"/>
          </w:tcPr>
          <w:p w14:paraId="7D6F1232">
            <w:pPr>
              <w:widowControl w:val="0"/>
              <w:jc w:val="center"/>
              <w:rPr>
                <w:rFonts w:hint="eastAsia"/>
              </w:rPr>
            </w:pPr>
            <w:r>
              <w:rPr>
                <w:rFonts w:hint="eastAsia"/>
              </w:rPr>
              <w:t>项</w:t>
            </w:r>
          </w:p>
        </w:tc>
        <w:tc>
          <w:tcPr>
            <w:tcW w:w="1008" w:type="pct"/>
            <w:shd w:val="clear" w:color="auto" w:fill="auto"/>
            <w:vAlign w:val="center"/>
          </w:tcPr>
          <w:p w14:paraId="24B88D24">
            <w:pPr>
              <w:widowControl w:val="0"/>
              <w:jc w:val="center"/>
              <w:rPr>
                <w:rFonts w:hint="eastAsia"/>
              </w:rPr>
            </w:pPr>
            <w:r>
              <w:rPr>
                <w:rFonts w:hint="eastAsia"/>
              </w:rPr>
              <w:t>3年</w:t>
            </w:r>
          </w:p>
        </w:tc>
      </w:tr>
      <w:tr w14:paraId="46B9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6AA50527">
            <w:pPr>
              <w:widowControl w:val="0"/>
              <w:jc w:val="center"/>
              <w:rPr>
                <w:rFonts w:hint="eastAsia"/>
              </w:rPr>
            </w:pPr>
            <w:r>
              <w:rPr>
                <w:rFonts w:hint="eastAsia"/>
              </w:rPr>
              <w:t>10</w:t>
            </w:r>
          </w:p>
        </w:tc>
        <w:tc>
          <w:tcPr>
            <w:tcW w:w="2362" w:type="pct"/>
            <w:shd w:val="clear" w:color="auto" w:fill="auto"/>
            <w:vAlign w:val="center"/>
          </w:tcPr>
          <w:p w14:paraId="4859FCE3">
            <w:pPr>
              <w:widowControl w:val="0"/>
              <w:jc w:val="both"/>
              <w:rPr>
                <w:rFonts w:hint="eastAsia"/>
              </w:rPr>
            </w:pPr>
            <w:r>
              <w:rPr>
                <w:rFonts w:hint="eastAsia"/>
              </w:rPr>
              <w:t>AES</w:t>
            </w:r>
            <w:r>
              <w:t>服务器</w:t>
            </w:r>
            <w:r>
              <w:rPr>
                <w:rFonts w:hint="eastAsia"/>
              </w:rPr>
              <w:t>扩容</w:t>
            </w:r>
            <w:r>
              <w:t>授权</w:t>
            </w:r>
          </w:p>
        </w:tc>
        <w:tc>
          <w:tcPr>
            <w:tcW w:w="542" w:type="pct"/>
            <w:shd w:val="clear" w:color="auto" w:fill="auto"/>
            <w:vAlign w:val="center"/>
          </w:tcPr>
          <w:p w14:paraId="0876873D">
            <w:pPr>
              <w:widowControl w:val="0"/>
              <w:jc w:val="center"/>
              <w:rPr>
                <w:rFonts w:hint="eastAsia"/>
              </w:rPr>
            </w:pPr>
            <w:r>
              <w:rPr>
                <w:rFonts w:hint="eastAsia"/>
              </w:rPr>
              <w:t>1</w:t>
            </w:r>
          </w:p>
        </w:tc>
        <w:tc>
          <w:tcPr>
            <w:tcW w:w="542" w:type="pct"/>
            <w:shd w:val="clear" w:color="auto" w:fill="auto"/>
            <w:vAlign w:val="center"/>
          </w:tcPr>
          <w:p w14:paraId="5F7489F4">
            <w:pPr>
              <w:widowControl w:val="0"/>
              <w:jc w:val="center"/>
              <w:rPr>
                <w:rFonts w:hint="eastAsia"/>
              </w:rPr>
            </w:pPr>
            <w:r>
              <w:rPr>
                <w:rFonts w:hint="eastAsia"/>
              </w:rPr>
              <w:t>项</w:t>
            </w:r>
          </w:p>
        </w:tc>
        <w:tc>
          <w:tcPr>
            <w:tcW w:w="1008" w:type="pct"/>
            <w:shd w:val="clear" w:color="auto" w:fill="auto"/>
            <w:vAlign w:val="center"/>
          </w:tcPr>
          <w:p w14:paraId="28F617AA">
            <w:pPr>
              <w:widowControl w:val="0"/>
              <w:jc w:val="center"/>
              <w:rPr>
                <w:rFonts w:hint="eastAsia"/>
              </w:rPr>
            </w:pPr>
            <w:r>
              <w:rPr>
                <w:rFonts w:hint="eastAsia"/>
              </w:rPr>
              <w:t>3年</w:t>
            </w:r>
          </w:p>
        </w:tc>
      </w:tr>
      <w:tr w14:paraId="6723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72105AE1">
            <w:pPr>
              <w:widowControl w:val="0"/>
              <w:jc w:val="center"/>
              <w:rPr>
                <w:rFonts w:hint="eastAsia"/>
              </w:rPr>
            </w:pPr>
            <w:r>
              <w:rPr>
                <w:rFonts w:hint="eastAsia"/>
              </w:rPr>
              <w:t>11</w:t>
            </w:r>
          </w:p>
        </w:tc>
        <w:tc>
          <w:tcPr>
            <w:tcW w:w="2362" w:type="pct"/>
            <w:shd w:val="clear" w:color="auto" w:fill="auto"/>
            <w:vAlign w:val="center"/>
          </w:tcPr>
          <w:p w14:paraId="42A62F6A">
            <w:pPr>
              <w:widowControl w:val="0"/>
              <w:jc w:val="both"/>
              <w:rPr>
                <w:rFonts w:hint="eastAsia"/>
              </w:rPr>
            </w:pPr>
            <w:r>
              <w:rPr>
                <w:rFonts w:hint="eastAsia"/>
              </w:rPr>
              <w:t>天擎杀毒软件续期</w:t>
            </w:r>
          </w:p>
        </w:tc>
        <w:tc>
          <w:tcPr>
            <w:tcW w:w="542" w:type="pct"/>
            <w:shd w:val="clear" w:color="auto" w:fill="auto"/>
            <w:vAlign w:val="center"/>
          </w:tcPr>
          <w:p w14:paraId="1011C83F">
            <w:pPr>
              <w:widowControl w:val="0"/>
              <w:jc w:val="center"/>
              <w:rPr>
                <w:rFonts w:hint="eastAsia"/>
              </w:rPr>
            </w:pPr>
            <w:r>
              <w:rPr>
                <w:rFonts w:hint="eastAsia"/>
              </w:rPr>
              <w:t>1</w:t>
            </w:r>
          </w:p>
        </w:tc>
        <w:tc>
          <w:tcPr>
            <w:tcW w:w="542" w:type="pct"/>
            <w:shd w:val="clear" w:color="auto" w:fill="auto"/>
            <w:vAlign w:val="center"/>
          </w:tcPr>
          <w:p w14:paraId="6B1E494A">
            <w:pPr>
              <w:widowControl w:val="0"/>
              <w:jc w:val="center"/>
              <w:rPr>
                <w:rFonts w:hint="eastAsia"/>
              </w:rPr>
            </w:pPr>
            <w:r>
              <w:rPr>
                <w:rFonts w:hint="eastAsia"/>
              </w:rPr>
              <w:t>项</w:t>
            </w:r>
          </w:p>
        </w:tc>
        <w:tc>
          <w:tcPr>
            <w:tcW w:w="1008" w:type="pct"/>
            <w:shd w:val="clear" w:color="auto" w:fill="auto"/>
            <w:vAlign w:val="center"/>
          </w:tcPr>
          <w:p w14:paraId="4618A8B8">
            <w:pPr>
              <w:widowControl w:val="0"/>
              <w:jc w:val="center"/>
              <w:rPr>
                <w:rFonts w:hint="eastAsia"/>
              </w:rPr>
            </w:pPr>
            <w:r>
              <w:rPr>
                <w:rFonts w:hint="eastAsia"/>
              </w:rPr>
              <w:t>3年</w:t>
            </w:r>
          </w:p>
        </w:tc>
      </w:tr>
      <w:tr w14:paraId="5279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2A9ADC78">
            <w:pPr>
              <w:widowControl w:val="0"/>
              <w:jc w:val="center"/>
              <w:rPr>
                <w:rFonts w:hint="eastAsia"/>
              </w:rPr>
            </w:pPr>
            <w:r>
              <w:rPr>
                <w:rFonts w:hint="eastAsia"/>
              </w:rPr>
              <w:t>12</w:t>
            </w:r>
          </w:p>
        </w:tc>
        <w:tc>
          <w:tcPr>
            <w:tcW w:w="2362" w:type="pct"/>
            <w:shd w:val="clear" w:color="auto" w:fill="auto"/>
            <w:vAlign w:val="center"/>
          </w:tcPr>
          <w:p w14:paraId="485081F6">
            <w:pPr>
              <w:widowControl w:val="0"/>
              <w:jc w:val="both"/>
              <w:rPr>
                <w:rFonts w:hint="eastAsia"/>
              </w:rPr>
            </w:pPr>
            <w:r>
              <w:rPr>
                <w:rFonts w:hint="eastAsia"/>
              </w:rPr>
              <w:t>npatch续保</w:t>
            </w:r>
          </w:p>
        </w:tc>
        <w:tc>
          <w:tcPr>
            <w:tcW w:w="542" w:type="pct"/>
            <w:shd w:val="clear" w:color="auto" w:fill="auto"/>
            <w:vAlign w:val="center"/>
          </w:tcPr>
          <w:p w14:paraId="12C70823">
            <w:pPr>
              <w:widowControl w:val="0"/>
              <w:jc w:val="center"/>
              <w:rPr>
                <w:rFonts w:hint="eastAsia"/>
              </w:rPr>
            </w:pPr>
            <w:r>
              <w:rPr>
                <w:rFonts w:hint="eastAsia"/>
              </w:rPr>
              <w:t>1</w:t>
            </w:r>
          </w:p>
        </w:tc>
        <w:tc>
          <w:tcPr>
            <w:tcW w:w="542" w:type="pct"/>
            <w:shd w:val="clear" w:color="auto" w:fill="auto"/>
            <w:vAlign w:val="center"/>
          </w:tcPr>
          <w:p w14:paraId="3B157CF6">
            <w:pPr>
              <w:widowControl w:val="0"/>
              <w:jc w:val="center"/>
              <w:rPr>
                <w:rFonts w:hint="eastAsia"/>
              </w:rPr>
            </w:pPr>
            <w:r>
              <w:rPr>
                <w:rFonts w:hint="eastAsia"/>
              </w:rPr>
              <w:t>项</w:t>
            </w:r>
          </w:p>
        </w:tc>
        <w:tc>
          <w:tcPr>
            <w:tcW w:w="1008" w:type="pct"/>
            <w:shd w:val="clear" w:color="auto" w:fill="auto"/>
            <w:vAlign w:val="center"/>
          </w:tcPr>
          <w:p w14:paraId="535596E9">
            <w:pPr>
              <w:widowControl w:val="0"/>
              <w:jc w:val="center"/>
              <w:rPr>
                <w:rFonts w:hint="eastAsia"/>
              </w:rPr>
            </w:pPr>
            <w:r>
              <w:rPr>
                <w:rFonts w:hint="eastAsia"/>
              </w:rPr>
              <w:t>3年</w:t>
            </w:r>
          </w:p>
        </w:tc>
      </w:tr>
      <w:tr w14:paraId="78E8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219A99D2">
            <w:pPr>
              <w:widowControl w:val="0"/>
              <w:jc w:val="center"/>
              <w:rPr>
                <w:rFonts w:hint="eastAsia"/>
              </w:rPr>
            </w:pPr>
            <w:r>
              <w:rPr>
                <w:rFonts w:hint="eastAsia"/>
              </w:rPr>
              <w:t>13</w:t>
            </w:r>
          </w:p>
        </w:tc>
        <w:tc>
          <w:tcPr>
            <w:tcW w:w="2362" w:type="pct"/>
            <w:shd w:val="clear" w:color="auto" w:fill="auto"/>
            <w:vAlign w:val="center"/>
          </w:tcPr>
          <w:p w14:paraId="65649070">
            <w:pPr>
              <w:widowControl w:val="0"/>
              <w:jc w:val="both"/>
              <w:rPr>
                <w:rFonts w:hint="eastAsia"/>
              </w:rPr>
            </w:pPr>
            <w:r>
              <w:rPr>
                <w:rFonts w:hint="eastAsia"/>
              </w:rPr>
              <w:t>Waf设备续保</w:t>
            </w:r>
          </w:p>
        </w:tc>
        <w:tc>
          <w:tcPr>
            <w:tcW w:w="542" w:type="pct"/>
            <w:shd w:val="clear" w:color="auto" w:fill="auto"/>
            <w:vAlign w:val="center"/>
          </w:tcPr>
          <w:p w14:paraId="6D79FCBE">
            <w:pPr>
              <w:widowControl w:val="0"/>
              <w:jc w:val="center"/>
              <w:rPr>
                <w:rFonts w:hint="eastAsia"/>
              </w:rPr>
            </w:pPr>
            <w:r>
              <w:rPr>
                <w:rFonts w:hint="eastAsia"/>
              </w:rPr>
              <w:t>1</w:t>
            </w:r>
          </w:p>
        </w:tc>
        <w:tc>
          <w:tcPr>
            <w:tcW w:w="542" w:type="pct"/>
            <w:shd w:val="clear" w:color="auto" w:fill="auto"/>
            <w:vAlign w:val="center"/>
          </w:tcPr>
          <w:p w14:paraId="77B455D5">
            <w:pPr>
              <w:widowControl w:val="0"/>
              <w:jc w:val="center"/>
              <w:rPr>
                <w:rFonts w:hint="eastAsia"/>
              </w:rPr>
            </w:pPr>
            <w:r>
              <w:rPr>
                <w:rFonts w:hint="eastAsia"/>
              </w:rPr>
              <w:t>项</w:t>
            </w:r>
          </w:p>
        </w:tc>
        <w:tc>
          <w:tcPr>
            <w:tcW w:w="1008" w:type="pct"/>
            <w:shd w:val="clear" w:color="auto" w:fill="auto"/>
            <w:vAlign w:val="center"/>
          </w:tcPr>
          <w:p w14:paraId="1B1D783B">
            <w:pPr>
              <w:widowControl w:val="0"/>
              <w:jc w:val="center"/>
              <w:rPr>
                <w:rFonts w:hint="eastAsia"/>
              </w:rPr>
            </w:pPr>
            <w:r>
              <w:rPr>
                <w:rFonts w:hint="eastAsia"/>
              </w:rPr>
              <w:t>3年</w:t>
            </w:r>
          </w:p>
        </w:tc>
      </w:tr>
      <w:tr w14:paraId="6894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53F39035">
            <w:pPr>
              <w:widowControl w:val="0"/>
              <w:jc w:val="center"/>
              <w:rPr>
                <w:rFonts w:hint="eastAsia"/>
              </w:rPr>
            </w:pPr>
            <w:r>
              <w:rPr>
                <w:rFonts w:hint="eastAsia"/>
              </w:rPr>
              <w:t>14</w:t>
            </w:r>
          </w:p>
        </w:tc>
        <w:tc>
          <w:tcPr>
            <w:tcW w:w="2362" w:type="pct"/>
            <w:shd w:val="clear" w:color="auto" w:fill="auto"/>
            <w:vAlign w:val="center"/>
          </w:tcPr>
          <w:p w14:paraId="7AA148EA">
            <w:pPr>
              <w:widowControl w:val="0"/>
              <w:jc w:val="both"/>
              <w:rPr>
                <w:rFonts w:hint="eastAsia"/>
              </w:rPr>
            </w:pPr>
            <w:r>
              <w:rPr>
                <w:rFonts w:hint="eastAsia"/>
              </w:rPr>
              <w:t>日志审计设备续保</w:t>
            </w:r>
          </w:p>
        </w:tc>
        <w:tc>
          <w:tcPr>
            <w:tcW w:w="542" w:type="pct"/>
            <w:shd w:val="clear" w:color="auto" w:fill="auto"/>
            <w:vAlign w:val="center"/>
          </w:tcPr>
          <w:p w14:paraId="77C2BC74">
            <w:pPr>
              <w:widowControl w:val="0"/>
              <w:jc w:val="center"/>
              <w:rPr>
                <w:rFonts w:hint="eastAsia"/>
              </w:rPr>
            </w:pPr>
            <w:r>
              <w:rPr>
                <w:rFonts w:hint="eastAsia"/>
              </w:rPr>
              <w:t>1</w:t>
            </w:r>
          </w:p>
        </w:tc>
        <w:tc>
          <w:tcPr>
            <w:tcW w:w="542" w:type="pct"/>
            <w:shd w:val="clear" w:color="auto" w:fill="auto"/>
            <w:vAlign w:val="center"/>
          </w:tcPr>
          <w:p w14:paraId="726DBA10">
            <w:pPr>
              <w:widowControl w:val="0"/>
              <w:jc w:val="center"/>
              <w:rPr>
                <w:rFonts w:hint="eastAsia"/>
              </w:rPr>
            </w:pPr>
            <w:r>
              <w:rPr>
                <w:rFonts w:hint="eastAsia"/>
              </w:rPr>
              <w:t>项</w:t>
            </w:r>
          </w:p>
        </w:tc>
        <w:tc>
          <w:tcPr>
            <w:tcW w:w="1008" w:type="pct"/>
            <w:shd w:val="clear" w:color="auto" w:fill="auto"/>
            <w:vAlign w:val="center"/>
          </w:tcPr>
          <w:p w14:paraId="6AA11923">
            <w:pPr>
              <w:widowControl w:val="0"/>
              <w:jc w:val="center"/>
              <w:rPr>
                <w:rFonts w:hint="eastAsia"/>
              </w:rPr>
            </w:pPr>
            <w:r>
              <w:rPr>
                <w:rFonts w:hint="eastAsia"/>
              </w:rPr>
              <w:t>3年</w:t>
            </w:r>
          </w:p>
        </w:tc>
      </w:tr>
      <w:tr w14:paraId="3407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6FE6FC9B">
            <w:pPr>
              <w:widowControl w:val="0"/>
              <w:jc w:val="center"/>
              <w:rPr>
                <w:rFonts w:hint="eastAsia"/>
              </w:rPr>
            </w:pPr>
            <w:r>
              <w:rPr>
                <w:rFonts w:hint="eastAsia"/>
              </w:rPr>
              <w:t>15</w:t>
            </w:r>
          </w:p>
        </w:tc>
        <w:tc>
          <w:tcPr>
            <w:tcW w:w="2362" w:type="pct"/>
            <w:shd w:val="clear" w:color="auto" w:fill="auto"/>
            <w:vAlign w:val="center"/>
          </w:tcPr>
          <w:p w14:paraId="25F8E5DD">
            <w:pPr>
              <w:widowControl w:val="0"/>
              <w:jc w:val="both"/>
              <w:rPr>
                <w:rFonts w:hint="eastAsia"/>
              </w:rPr>
            </w:pPr>
            <w:r>
              <w:rPr>
                <w:rFonts w:hint="eastAsia"/>
              </w:rPr>
              <w:t>数据库审计设备续保</w:t>
            </w:r>
          </w:p>
        </w:tc>
        <w:tc>
          <w:tcPr>
            <w:tcW w:w="542" w:type="pct"/>
            <w:shd w:val="clear" w:color="auto" w:fill="auto"/>
            <w:vAlign w:val="center"/>
          </w:tcPr>
          <w:p w14:paraId="54453628">
            <w:pPr>
              <w:widowControl w:val="0"/>
              <w:jc w:val="center"/>
              <w:rPr>
                <w:rFonts w:hint="eastAsia"/>
              </w:rPr>
            </w:pPr>
            <w:r>
              <w:rPr>
                <w:rFonts w:hint="eastAsia"/>
              </w:rPr>
              <w:t>1</w:t>
            </w:r>
          </w:p>
        </w:tc>
        <w:tc>
          <w:tcPr>
            <w:tcW w:w="542" w:type="pct"/>
            <w:shd w:val="clear" w:color="auto" w:fill="auto"/>
            <w:vAlign w:val="center"/>
          </w:tcPr>
          <w:p w14:paraId="389B1368">
            <w:pPr>
              <w:widowControl w:val="0"/>
              <w:jc w:val="center"/>
              <w:rPr>
                <w:rFonts w:hint="eastAsia"/>
              </w:rPr>
            </w:pPr>
            <w:r>
              <w:rPr>
                <w:rFonts w:hint="eastAsia"/>
              </w:rPr>
              <w:t>项</w:t>
            </w:r>
          </w:p>
        </w:tc>
        <w:tc>
          <w:tcPr>
            <w:tcW w:w="1008" w:type="pct"/>
            <w:shd w:val="clear" w:color="auto" w:fill="auto"/>
            <w:vAlign w:val="center"/>
          </w:tcPr>
          <w:p w14:paraId="23F32577">
            <w:pPr>
              <w:widowControl w:val="0"/>
              <w:jc w:val="center"/>
              <w:rPr>
                <w:rFonts w:hint="eastAsia"/>
              </w:rPr>
            </w:pPr>
            <w:r>
              <w:rPr>
                <w:rFonts w:hint="eastAsia"/>
              </w:rPr>
              <w:t>3年</w:t>
            </w:r>
          </w:p>
        </w:tc>
      </w:tr>
      <w:tr w14:paraId="0577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0C2D7B2D">
            <w:pPr>
              <w:widowControl w:val="0"/>
              <w:jc w:val="center"/>
              <w:rPr>
                <w:rFonts w:hint="eastAsia"/>
              </w:rPr>
            </w:pPr>
            <w:r>
              <w:rPr>
                <w:rFonts w:hint="eastAsia"/>
              </w:rPr>
              <w:t>16</w:t>
            </w:r>
          </w:p>
        </w:tc>
        <w:tc>
          <w:tcPr>
            <w:tcW w:w="2362" w:type="pct"/>
            <w:shd w:val="clear" w:color="auto" w:fill="auto"/>
            <w:vAlign w:val="center"/>
          </w:tcPr>
          <w:p w14:paraId="35C61F04">
            <w:pPr>
              <w:widowControl w:val="0"/>
              <w:jc w:val="both"/>
              <w:rPr>
                <w:rFonts w:hint="eastAsia"/>
              </w:rPr>
            </w:pPr>
            <w:r>
              <w:rPr>
                <w:rFonts w:hint="eastAsia"/>
              </w:rPr>
              <w:t>防火墙续保</w:t>
            </w:r>
          </w:p>
        </w:tc>
        <w:tc>
          <w:tcPr>
            <w:tcW w:w="542" w:type="pct"/>
            <w:shd w:val="clear" w:color="auto" w:fill="auto"/>
            <w:vAlign w:val="center"/>
          </w:tcPr>
          <w:p w14:paraId="0F198A01">
            <w:pPr>
              <w:widowControl w:val="0"/>
              <w:jc w:val="center"/>
              <w:rPr>
                <w:rFonts w:hint="eastAsia"/>
              </w:rPr>
            </w:pPr>
            <w:r>
              <w:rPr>
                <w:rFonts w:hint="eastAsia"/>
              </w:rPr>
              <w:t>1</w:t>
            </w:r>
          </w:p>
        </w:tc>
        <w:tc>
          <w:tcPr>
            <w:tcW w:w="542" w:type="pct"/>
            <w:shd w:val="clear" w:color="auto" w:fill="auto"/>
            <w:vAlign w:val="center"/>
          </w:tcPr>
          <w:p w14:paraId="33B94265">
            <w:pPr>
              <w:widowControl w:val="0"/>
              <w:jc w:val="center"/>
              <w:rPr>
                <w:rFonts w:hint="eastAsia"/>
              </w:rPr>
            </w:pPr>
            <w:r>
              <w:rPr>
                <w:rFonts w:hint="eastAsia"/>
              </w:rPr>
              <w:t>项</w:t>
            </w:r>
          </w:p>
        </w:tc>
        <w:tc>
          <w:tcPr>
            <w:tcW w:w="1008" w:type="pct"/>
            <w:shd w:val="clear" w:color="auto" w:fill="auto"/>
            <w:vAlign w:val="center"/>
          </w:tcPr>
          <w:p w14:paraId="6934F410">
            <w:pPr>
              <w:widowControl w:val="0"/>
              <w:jc w:val="center"/>
              <w:rPr>
                <w:rFonts w:hint="eastAsia"/>
              </w:rPr>
            </w:pPr>
            <w:r>
              <w:rPr>
                <w:rFonts w:hint="eastAsia"/>
              </w:rPr>
              <w:t>3年</w:t>
            </w:r>
          </w:p>
        </w:tc>
      </w:tr>
      <w:tr w14:paraId="4932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70BD2B03">
            <w:pPr>
              <w:widowControl w:val="0"/>
              <w:jc w:val="center"/>
              <w:rPr>
                <w:rFonts w:hint="eastAsia"/>
              </w:rPr>
            </w:pPr>
            <w:r>
              <w:rPr>
                <w:rFonts w:hint="eastAsia"/>
              </w:rPr>
              <w:t>17</w:t>
            </w:r>
          </w:p>
        </w:tc>
        <w:tc>
          <w:tcPr>
            <w:tcW w:w="2362" w:type="pct"/>
            <w:shd w:val="clear" w:color="auto" w:fill="auto"/>
            <w:vAlign w:val="center"/>
          </w:tcPr>
          <w:p w14:paraId="56AE6A9A">
            <w:pPr>
              <w:widowControl w:val="0"/>
              <w:jc w:val="both"/>
              <w:rPr>
                <w:rFonts w:hint="eastAsia"/>
              </w:rPr>
            </w:pPr>
            <w:r>
              <w:rPr>
                <w:rFonts w:hint="eastAsia"/>
              </w:rPr>
              <w:t>天眼系统续保</w:t>
            </w:r>
          </w:p>
        </w:tc>
        <w:tc>
          <w:tcPr>
            <w:tcW w:w="542" w:type="pct"/>
            <w:shd w:val="clear" w:color="auto" w:fill="auto"/>
            <w:vAlign w:val="center"/>
          </w:tcPr>
          <w:p w14:paraId="399EDFE4">
            <w:pPr>
              <w:widowControl w:val="0"/>
              <w:jc w:val="center"/>
              <w:rPr>
                <w:rFonts w:hint="eastAsia"/>
              </w:rPr>
            </w:pPr>
            <w:r>
              <w:rPr>
                <w:rFonts w:hint="eastAsia"/>
              </w:rPr>
              <w:t>1</w:t>
            </w:r>
          </w:p>
        </w:tc>
        <w:tc>
          <w:tcPr>
            <w:tcW w:w="542" w:type="pct"/>
            <w:shd w:val="clear" w:color="auto" w:fill="auto"/>
            <w:vAlign w:val="center"/>
          </w:tcPr>
          <w:p w14:paraId="7649DE25">
            <w:pPr>
              <w:widowControl w:val="0"/>
              <w:jc w:val="center"/>
              <w:rPr>
                <w:rFonts w:hint="eastAsia"/>
              </w:rPr>
            </w:pPr>
            <w:r>
              <w:rPr>
                <w:rFonts w:hint="eastAsia"/>
              </w:rPr>
              <w:t>项</w:t>
            </w:r>
          </w:p>
        </w:tc>
        <w:tc>
          <w:tcPr>
            <w:tcW w:w="1008" w:type="pct"/>
            <w:shd w:val="clear" w:color="auto" w:fill="auto"/>
            <w:vAlign w:val="center"/>
          </w:tcPr>
          <w:p w14:paraId="101A1CD5">
            <w:pPr>
              <w:widowControl w:val="0"/>
              <w:jc w:val="center"/>
              <w:rPr>
                <w:rFonts w:hint="eastAsia"/>
              </w:rPr>
            </w:pPr>
            <w:r>
              <w:rPr>
                <w:rFonts w:hint="eastAsia"/>
              </w:rPr>
              <w:t>3年</w:t>
            </w:r>
          </w:p>
        </w:tc>
      </w:tr>
      <w:tr w14:paraId="1D44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7A003AA2">
            <w:pPr>
              <w:widowControl w:val="0"/>
              <w:jc w:val="center"/>
              <w:rPr>
                <w:rFonts w:hint="eastAsia"/>
              </w:rPr>
            </w:pPr>
            <w:r>
              <w:rPr>
                <w:rFonts w:hint="eastAsia"/>
              </w:rPr>
              <w:t>18</w:t>
            </w:r>
          </w:p>
        </w:tc>
        <w:tc>
          <w:tcPr>
            <w:tcW w:w="2362" w:type="pct"/>
            <w:shd w:val="clear" w:color="auto" w:fill="auto"/>
            <w:vAlign w:val="center"/>
          </w:tcPr>
          <w:p w14:paraId="259CABBB">
            <w:pPr>
              <w:widowControl w:val="0"/>
              <w:jc w:val="both"/>
              <w:rPr>
                <w:rFonts w:hint="eastAsia"/>
              </w:rPr>
            </w:pPr>
            <w:r>
              <w:rPr>
                <w:rFonts w:hint="eastAsia"/>
              </w:rPr>
              <w:t>外网火绒杀毒软件扩容</w:t>
            </w:r>
          </w:p>
        </w:tc>
        <w:tc>
          <w:tcPr>
            <w:tcW w:w="542" w:type="pct"/>
            <w:shd w:val="clear" w:color="auto" w:fill="auto"/>
            <w:vAlign w:val="center"/>
          </w:tcPr>
          <w:p w14:paraId="41885E5B">
            <w:pPr>
              <w:widowControl w:val="0"/>
              <w:jc w:val="center"/>
              <w:rPr>
                <w:rFonts w:hint="eastAsia"/>
              </w:rPr>
            </w:pPr>
            <w:r>
              <w:rPr>
                <w:rFonts w:hint="eastAsia"/>
              </w:rPr>
              <w:t>1</w:t>
            </w:r>
          </w:p>
        </w:tc>
        <w:tc>
          <w:tcPr>
            <w:tcW w:w="542" w:type="pct"/>
            <w:shd w:val="clear" w:color="auto" w:fill="auto"/>
            <w:vAlign w:val="center"/>
          </w:tcPr>
          <w:p w14:paraId="42093EA8">
            <w:pPr>
              <w:widowControl w:val="0"/>
              <w:jc w:val="center"/>
              <w:rPr>
                <w:rFonts w:hint="eastAsia"/>
              </w:rPr>
            </w:pPr>
            <w:r>
              <w:rPr>
                <w:rFonts w:hint="eastAsia"/>
              </w:rPr>
              <w:t>项</w:t>
            </w:r>
          </w:p>
        </w:tc>
        <w:tc>
          <w:tcPr>
            <w:tcW w:w="1008" w:type="pct"/>
            <w:shd w:val="clear" w:color="auto" w:fill="auto"/>
            <w:vAlign w:val="center"/>
          </w:tcPr>
          <w:p w14:paraId="0608C2B9">
            <w:pPr>
              <w:widowControl w:val="0"/>
              <w:jc w:val="both"/>
              <w:rPr>
                <w:rFonts w:hint="eastAsia"/>
              </w:rPr>
            </w:pPr>
          </w:p>
        </w:tc>
      </w:tr>
      <w:tr w14:paraId="5C9D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3BA4573D">
            <w:pPr>
              <w:widowControl w:val="0"/>
              <w:jc w:val="center"/>
              <w:rPr>
                <w:rFonts w:hint="eastAsia"/>
              </w:rPr>
            </w:pPr>
            <w:r>
              <w:rPr>
                <w:rFonts w:hint="eastAsia"/>
              </w:rPr>
              <w:t>19</w:t>
            </w:r>
          </w:p>
        </w:tc>
        <w:tc>
          <w:tcPr>
            <w:tcW w:w="2362" w:type="pct"/>
            <w:shd w:val="clear" w:color="auto" w:fill="auto"/>
            <w:vAlign w:val="center"/>
          </w:tcPr>
          <w:p w14:paraId="42B9C679">
            <w:pPr>
              <w:widowControl w:val="0"/>
              <w:jc w:val="both"/>
              <w:rPr>
                <w:rFonts w:hint="eastAsia"/>
              </w:rPr>
            </w:pPr>
            <w:r>
              <w:rPr>
                <w:rFonts w:hint="eastAsia"/>
                <w:highlight w:val="none"/>
              </w:rPr>
              <w:t>数据开放安全管理平台</w:t>
            </w:r>
          </w:p>
        </w:tc>
        <w:tc>
          <w:tcPr>
            <w:tcW w:w="542" w:type="pct"/>
            <w:shd w:val="clear" w:color="auto" w:fill="auto"/>
            <w:vAlign w:val="center"/>
          </w:tcPr>
          <w:p w14:paraId="19E66076">
            <w:pPr>
              <w:widowControl w:val="0"/>
              <w:jc w:val="center"/>
              <w:rPr>
                <w:rFonts w:hint="eastAsia"/>
              </w:rPr>
            </w:pPr>
            <w:r>
              <w:rPr>
                <w:rFonts w:hint="eastAsia"/>
              </w:rPr>
              <w:t>1</w:t>
            </w:r>
          </w:p>
        </w:tc>
        <w:tc>
          <w:tcPr>
            <w:tcW w:w="542" w:type="pct"/>
            <w:shd w:val="clear" w:color="auto" w:fill="auto"/>
            <w:vAlign w:val="center"/>
          </w:tcPr>
          <w:p w14:paraId="580CBCBF">
            <w:pPr>
              <w:widowControl w:val="0"/>
              <w:jc w:val="center"/>
              <w:rPr>
                <w:rFonts w:hint="eastAsia"/>
              </w:rPr>
            </w:pPr>
            <w:r>
              <w:rPr>
                <w:rFonts w:hint="eastAsia"/>
              </w:rPr>
              <w:t>套</w:t>
            </w:r>
          </w:p>
        </w:tc>
        <w:tc>
          <w:tcPr>
            <w:tcW w:w="1008" w:type="pct"/>
            <w:shd w:val="clear" w:color="auto" w:fill="auto"/>
            <w:vAlign w:val="center"/>
          </w:tcPr>
          <w:p w14:paraId="014202DC">
            <w:pPr>
              <w:widowControl w:val="0"/>
              <w:jc w:val="center"/>
              <w:rPr>
                <w:rFonts w:hint="eastAsia"/>
              </w:rPr>
            </w:pPr>
          </w:p>
        </w:tc>
      </w:tr>
      <w:tr w14:paraId="66AD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shd w:val="clear" w:color="auto" w:fill="auto"/>
            <w:vAlign w:val="center"/>
          </w:tcPr>
          <w:p w14:paraId="7AEE2604">
            <w:pPr>
              <w:widowControl w:val="0"/>
              <w:jc w:val="center"/>
              <w:rPr>
                <w:rFonts w:hint="eastAsia"/>
              </w:rPr>
            </w:pPr>
            <w:r>
              <w:rPr>
                <w:rFonts w:hint="eastAsia"/>
              </w:rPr>
              <w:t>20</w:t>
            </w:r>
          </w:p>
        </w:tc>
        <w:tc>
          <w:tcPr>
            <w:tcW w:w="2362" w:type="pct"/>
            <w:shd w:val="clear" w:color="auto" w:fill="auto"/>
            <w:vAlign w:val="center"/>
          </w:tcPr>
          <w:p w14:paraId="36B570F0">
            <w:pPr>
              <w:widowControl w:val="0"/>
              <w:jc w:val="both"/>
              <w:rPr>
                <w:rFonts w:hint="eastAsia"/>
              </w:rPr>
            </w:pPr>
            <w:r>
              <w:rPr>
                <w:rFonts w:hint="eastAsia"/>
              </w:rPr>
              <w:t>集成</w:t>
            </w:r>
            <w:r>
              <w:t>技术服务</w:t>
            </w:r>
          </w:p>
        </w:tc>
        <w:tc>
          <w:tcPr>
            <w:tcW w:w="542" w:type="pct"/>
            <w:shd w:val="clear" w:color="auto" w:fill="auto"/>
            <w:vAlign w:val="center"/>
          </w:tcPr>
          <w:p w14:paraId="33B99B8D">
            <w:pPr>
              <w:widowControl w:val="0"/>
              <w:jc w:val="center"/>
              <w:rPr>
                <w:rFonts w:hint="eastAsia"/>
              </w:rPr>
            </w:pPr>
            <w:r>
              <w:rPr>
                <w:rFonts w:hint="eastAsia"/>
              </w:rPr>
              <w:t>1</w:t>
            </w:r>
          </w:p>
        </w:tc>
        <w:tc>
          <w:tcPr>
            <w:tcW w:w="542" w:type="pct"/>
            <w:shd w:val="clear" w:color="auto" w:fill="auto"/>
            <w:vAlign w:val="center"/>
          </w:tcPr>
          <w:p w14:paraId="169834DB">
            <w:pPr>
              <w:widowControl w:val="0"/>
              <w:jc w:val="center"/>
              <w:rPr>
                <w:rFonts w:hint="eastAsia"/>
              </w:rPr>
            </w:pPr>
            <w:r>
              <w:rPr>
                <w:rFonts w:hint="eastAsia"/>
              </w:rPr>
              <w:t>套</w:t>
            </w:r>
          </w:p>
        </w:tc>
        <w:tc>
          <w:tcPr>
            <w:tcW w:w="1008" w:type="pct"/>
            <w:shd w:val="clear" w:color="auto" w:fill="auto"/>
            <w:vAlign w:val="center"/>
          </w:tcPr>
          <w:p w14:paraId="4BAE8960">
            <w:pPr>
              <w:widowControl w:val="0"/>
              <w:jc w:val="center"/>
              <w:rPr>
                <w:rFonts w:hint="eastAsia"/>
              </w:rPr>
            </w:pPr>
          </w:p>
        </w:tc>
      </w:tr>
    </w:tbl>
    <w:p w14:paraId="610448CB">
      <w:pPr>
        <w:rPr>
          <w:rFonts w:hint="eastAsia"/>
        </w:rPr>
      </w:pPr>
    </w:p>
    <w:p w14:paraId="324D55B9">
      <w:pPr>
        <w:pStyle w:val="4"/>
      </w:pPr>
      <w:r>
        <w:rPr>
          <w:rFonts w:hint="eastAsia"/>
        </w:rPr>
        <w:t>三、技术服务要求</w:t>
      </w:r>
    </w:p>
    <w:p w14:paraId="6CFE450B">
      <w:pPr>
        <w:pStyle w:val="5"/>
        <w:bidi w:val="0"/>
        <w:rPr>
          <w:rFonts w:hint="eastAsia"/>
          <w:sz w:val="21"/>
          <w:szCs w:val="21"/>
        </w:rPr>
      </w:pPr>
      <w:r>
        <w:rPr>
          <w:rFonts w:hint="eastAsia"/>
          <w:sz w:val="21"/>
          <w:szCs w:val="21"/>
        </w:rPr>
        <w:t>安全服务1：渗透测试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078"/>
        <w:gridCol w:w="6533"/>
      </w:tblGrid>
      <w:tr w14:paraId="0241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shd w:val="clear" w:color="auto" w:fill="auto"/>
            <w:vAlign w:val="top"/>
          </w:tcPr>
          <w:p w14:paraId="58745E7E">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
                <w:color w:val="auto"/>
                <w:kern w:val="0"/>
                <w:sz w:val="21"/>
                <w:szCs w:val="21"/>
                <w:lang w:val="en-US" w:eastAsia="zh-CN"/>
              </w:rPr>
              <w:t>序号</w:t>
            </w:r>
          </w:p>
        </w:tc>
        <w:tc>
          <w:tcPr>
            <w:tcW w:w="1730" w:type="dxa"/>
            <w:shd w:val="clear" w:color="auto" w:fill="auto"/>
            <w:vAlign w:val="top"/>
          </w:tcPr>
          <w:p w14:paraId="60680DBA">
            <w:pPr>
              <w:widowControl/>
              <w:jc w:val="center"/>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Hans"/>
              </w:rPr>
              <w:t>技术</w:t>
            </w:r>
            <w:r>
              <w:rPr>
                <w:rFonts w:hint="eastAsia" w:ascii="宋体" w:hAnsi="宋体" w:eastAsia="宋体" w:cs="宋体"/>
                <w:b/>
                <w:color w:val="auto"/>
                <w:kern w:val="0"/>
                <w:sz w:val="21"/>
                <w:szCs w:val="21"/>
                <w:lang w:val="en-US" w:eastAsia="zh-CN"/>
              </w:rPr>
              <w:t>指标</w:t>
            </w:r>
          </w:p>
        </w:tc>
        <w:tc>
          <w:tcPr>
            <w:tcW w:w="5395" w:type="dxa"/>
            <w:shd w:val="clear" w:color="auto" w:fill="auto"/>
            <w:vAlign w:val="top"/>
          </w:tcPr>
          <w:p w14:paraId="3678A0E2">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
                <w:color w:val="auto"/>
                <w:kern w:val="0"/>
                <w:sz w:val="21"/>
                <w:szCs w:val="21"/>
              </w:rPr>
              <w:t>指标要求</w:t>
            </w:r>
          </w:p>
        </w:tc>
      </w:tr>
      <w:tr w14:paraId="737E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shd w:val="clear" w:color="auto" w:fill="auto"/>
            <w:vAlign w:val="center"/>
          </w:tcPr>
          <w:p w14:paraId="78EEAA77">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1730" w:type="dxa"/>
            <w:shd w:val="clear" w:color="auto" w:fill="auto"/>
            <w:vAlign w:val="center"/>
          </w:tcPr>
          <w:p w14:paraId="2E60638C">
            <w:pPr>
              <w:widowControl/>
              <w:jc w:val="left"/>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Hans"/>
              </w:rPr>
              <w:t>服务要求</w:t>
            </w:r>
          </w:p>
        </w:tc>
        <w:tc>
          <w:tcPr>
            <w:tcW w:w="5395" w:type="dxa"/>
            <w:shd w:val="clear" w:color="auto" w:fill="auto"/>
            <w:vAlign w:val="center"/>
          </w:tcPr>
          <w:p w14:paraId="07FF11FD">
            <w:pPr>
              <w:pStyle w:val="13"/>
              <w:widowControl/>
              <w:numPr>
                <w:ilvl w:val="0"/>
                <w:numId w:val="2"/>
              </w:numPr>
              <w:adjustRightInd w:val="0"/>
              <w:snapToGrid w:val="0"/>
              <w:spacing w:line="360" w:lineRule="auto"/>
              <w:ind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Hans"/>
              </w:rPr>
              <w:t>每年不少于</w:t>
            </w:r>
            <w:r>
              <w:rPr>
                <w:rFonts w:hint="eastAsia" w:ascii="宋体" w:hAnsi="宋体" w:eastAsia="宋体" w:cs="宋体"/>
                <w:color w:val="auto"/>
                <w:kern w:val="0"/>
                <w:sz w:val="21"/>
                <w:szCs w:val="21"/>
              </w:rPr>
              <w:t>2次，不限制系统数量</w:t>
            </w:r>
            <w:r>
              <w:rPr>
                <w:rFonts w:hint="eastAsia" w:ascii="宋体" w:hAnsi="宋体" w:eastAsia="宋体" w:cs="宋体"/>
                <w:color w:val="auto"/>
                <w:kern w:val="0"/>
                <w:sz w:val="21"/>
                <w:szCs w:val="21"/>
                <w:lang w:eastAsia="zh-Hans"/>
              </w:rPr>
              <w:t>。</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医院现有对外映射web及api约155项</w:t>
            </w:r>
            <w:r>
              <w:rPr>
                <w:rFonts w:hint="eastAsia" w:ascii="宋体" w:hAnsi="宋体" w:eastAsia="宋体" w:cs="宋体"/>
                <w:color w:val="auto"/>
                <w:kern w:val="0"/>
                <w:sz w:val="21"/>
                <w:szCs w:val="21"/>
                <w:lang w:eastAsia="zh-CN"/>
              </w:rPr>
              <w:t>）</w:t>
            </w:r>
          </w:p>
          <w:p w14:paraId="644249B4">
            <w:pPr>
              <w:pStyle w:val="13"/>
              <w:widowControl/>
              <w:numPr>
                <w:ilvl w:val="0"/>
                <w:numId w:val="2"/>
              </w:numPr>
              <w:adjustRightInd w:val="0"/>
              <w:snapToGrid w:val="0"/>
              <w:spacing w:line="360" w:lineRule="auto"/>
              <w:ind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方应保证招标方信息系统正常运行前提下，模拟黑客攻击行为通过远程或本地方式对信息系统进行非破坏性的入侵测试，查找针对应用程序的各种漏洞，帮助招标方理解应用系统当前的安全状况，发现在系统复杂结构中的最脆弱链路并针对安全隐患提出解决办法，切实保证信息系统安全</w:t>
            </w:r>
            <w:r>
              <w:rPr>
                <w:rFonts w:hint="eastAsia" w:ascii="宋体" w:hAnsi="宋体" w:eastAsia="宋体" w:cs="宋体"/>
                <w:color w:val="auto"/>
                <w:kern w:val="0"/>
                <w:sz w:val="21"/>
                <w:szCs w:val="21"/>
                <w:lang w:eastAsia="zh-Hans"/>
              </w:rPr>
              <w:t>。</w:t>
            </w:r>
          </w:p>
          <w:p w14:paraId="7989A304">
            <w:pPr>
              <w:pStyle w:val="13"/>
              <w:widowControl/>
              <w:numPr>
                <w:ilvl w:val="0"/>
                <w:numId w:val="2"/>
              </w:numPr>
              <w:adjustRightInd w:val="0"/>
              <w:snapToGrid w:val="0"/>
              <w:spacing w:line="360" w:lineRule="auto"/>
              <w:ind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投标方应在得到招标方授权后方可开始实施渗透工作。</w:t>
            </w:r>
          </w:p>
          <w:p w14:paraId="6A759C24">
            <w:pPr>
              <w:pStyle w:val="13"/>
              <w:widowControl/>
              <w:numPr>
                <w:ilvl w:val="0"/>
                <w:numId w:val="2"/>
              </w:numPr>
              <w:adjustRightInd w:val="0"/>
              <w:snapToGrid w:val="0"/>
              <w:spacing w:line="360" w:lineRule="auto"/>
              <w:ind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投标方应确保实施渗透测试的服务人员的工作保密性，签署相关的保密协议，在未经招标方允许的情况下，不得将识别的漏洞外泄、传递</w:t>
            </w:r>
            <w:r>
              <w:rPr>
                <w:rFonts w:hint="eastAsia" w:ascii="宋体" w:hAnsi="宋体" w:eastAsia="宋体" w:cs="宋体"/>
                <w:color w:val="auto"/>
                <w:kern w:val="0"/>
                <w:sz w:val="21"/>
                <w:szCs w:val="21"/>
                <w:lang w:eastAsia="zh-Hans"/>
              </w:rPr>
              <w:t>。</w:t>
            </w:r>
          </w:p>
          <w:p w14:paraId="1D726CE8">
            <w:pPr>
              <w:widowControl/>
              <w:jc w:val="left"/>
              <w:rPr>
                <w:rFonts w:hint="eastAsia" w:ascii="宋体" w:hAnsi="宋体" w:eastAsia="宋体" w:cs="宋体"/>
                <w:color w:val="auto"/>
                <w:kern w:val="0"/>
                <w:sz w:val="21"/>
                <w:szCs w:val="21"/>
                <w:lang w:val="en-US" w:eastAsia="zh-Hans" w:bidi="ar-SA"/>
              </w:rPr>
            </w:pPr>
            <w:r>
              <w:rPr>
                <w:rFonts w:hint="eastAsia" w:cs="宋体"/>
                <w:color w:val="auto"/>
                <w:kern w:val="0"/>
                <w:sz w:val="21"/>
                <w:szCs w:val="21"/>
                <w:lang w:val="en-US" w:eastAsia="zh-CN"/>
              </w:rPr>
              <w:t>5</w:t>
            </w:r>
            <w:r>
              <w:rPr>
                <w:rFonts w:hint="eastAsia" w:ascii="宋体" w:hAnsi="宋体" w:eastAsia="宋体" w:cs="宋体"/>
                <w:color w:val="auto"/>
                <w:kern w:val="0"/>
                <w:sz w:val="21"/>
                <w:szCs w:val="21"/>
                <w:lang w:eastAsia="zh-Hans"/>
              </w:rPr>
              <w:t>、</w:t>
            </w:r>
            <w:r>
              <w:rPr>
                <w:rFonts w:hint="eastAsia" w:ascii="宋体" w:hAnsi="宋体" w:eastAsia="宋体" w:cs="宋体"/>
                <w:color w:val="auto"/>
                <w:kern w:val="0"/>
                <w:sz w:val="21"/>
                <w:szCs w:val="21"/>
              </w:rPr>
              <w:t>实施渗透测试服务后，未经招标方同意，禁止在系统留存后门</w:t>
            </w:r>
            <w:r>
              <w:rPr>
                <w:rFonts w:hint="eastAsia" w:ascii="宋体" w:hAnsi="宋体" w:eastAsia="宋体" w:cs="宋体"/>
                <w:color w:val="auto"/>
                <w:kern w:val="0"/>
                <w:sz w:val="21"/>
                <w:szCs w:val="21"/>
                <w:lang w:eastAsia="zh-Hans"/>
              </w:rPr>
              <w:t>。</w:t>
            </w:r>
          </w:p>
        </w:tc>
      </w:tr>
      <w:tr w14:paraId="78D1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9DDAB13">
            <w:pPr>
              <w:widowControl w:val="0"/>
              <w:jc w:val="center"/>
              <w:rPr>
                <w:rFonts w:hint="eastAsia" w:eastAsia="宋体"/>
                <w:sz w:val="21"/>
                <w:szCs w:val="21"/>
                <w:vertAlign w:val="baseline"/>
                <w:lang w:val="en-US" w:eastAsia="zh-CN"/>
              </w:rPr>
            </w:pPr>
            <w:r>
              <w:rPr>
                <w:rFonts w:hint="eastAsia"/>
                <w:sz w:val="21"/>
                <w:szCs w:val="21"/>
                <w:vertAlign w:val="baseline"/>
                <w:lang w:val="en-US" w:eastAsia="zh-CN"/>
              </w:rPr>
              <w:t>2</w:t>
            </w:r>
          </w:p>
        </w:tc>
        <w:tc>
          <w:tcPr>
            <w:tcW w:w="0" w:type="auto"/>
            <w:shd w:val="clear" w:color="auto" w:fill="auto"/>
            <w:vAlign w:val="center"/>
          </w:tcPr>
          <w:p w14:paraId="39F4310B">
            <w:pPr>
              <w:widowControl/>
              <w:jc w:val="left"/>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Hans"/>
              </w:rPr>
              <w:t>服务内容</w:t>
            </w:r>
          </w:p>
        </w:tc>
        <w:tc>
          <w:tcPr>
            <w:tcW w:w="0" w:type="auto"/>
            <w:shd w:val="clear" w:color="auto" w:fill="auto"/>
            <w:vAlign w:val="center"/>
          </w:tcPr>
          <w:p w14:paraId="720FC796">
            <w:pPr>
              <w:pStyle w:val="13"/>
              <w:widowControl/>
              <w:numPr>
                <w:ilvl w:val="0"/>
                <w:numId w:val="3"/>
              </w:numPr>
              <w:adjustRightInd w:val="0"/>
              <w:snapToGrid w:val="0"/>
              <w:spacing w:line="360" w:lineRule="auto"/>
              <w:ind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招标方授权后，投标方应通过模拟黑客攻击行为通过本地或远程方式对目标对象进行非破坏性的入侵测试</w:t>
            </w:r>
            <w:r>
              <w:rPr>
                <w:rFonts w:hint="eastAsia" w:ascii="宋体" w:hAnsi="宋体" w:eastAsia="宋体" w:cs="宋体"/>
                <w:color w:val="auto"/>
                <w:kern w:val="0"/>
                <w:sz w:val="21"/>
                <w:szCs w:val="21"/>
                <w:lang w:eastAsia="zh-CN"/>
              </w:rPr>
              <w:t>。</w:t>
            </w:r>
          </w:p>
          <w:p w14:paraId="79F156A7">
            <w:pPr>
              <w:pStyle w:val="13"/>
              <w:widowControl/>
              <w:numPr>
                <w:ilvl w:val="0"/>
                <w:numId w:val="3"/>
              </w:numPr>
              <w:adjustRightInd w:val="0"/>
              <w:snapToGrid w:val="0"/>
              <w:spacing w:line="360" w:lineRule="auto"/>
              <w:ind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渗透测试应至少包括但不限于以下范围的漏洞：</w:t>
            </w:r>
          </w:p>
          <w:p w14:paraId="0159BA3E">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WEB业务系统</w:t>
            </w:r>
          </w:p>
          <w:p w14:paraId="3EE0B3C0">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微信小程序、微信公众号</w:t>
            </w:r>
          </w:p>
          <w:p w14:paraId="55140B9C">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API</w:t>
            </w:r>
          </w:p>
          <w:p w14:paraId="28A06148">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C/S架构系统</w:t>
            </w:r>
          </w:p>
          <w:p w14:paraId="100AC408">
            <w:pPr>
              <w:pStyle w:val="13"/>
              <w:widowControl/>
              <w:numPr>
                <w:ilvl w:val="0"/>
                <w:numId w:val="3"/>
              </w:numPr>
              <w:adjustRightInd w:val="0"/>
              <w:snapToGrid w:val="0"/>
              <w:spacing w:line="360" w:lineRule="auto"/>
              <w:ind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渗透测试内容包括但不限于：</w:t>
            </w:r>
          </w:p>
          <w:p w14:paraId="638EF589">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信息泄露</w:t>
            </w:r>
          </w:p>
          <w:p w14:paraId="27404DD2">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信息猜解</w:t>
            </w:r>
          </w:p>
          <w:p w14:paraId="6C0DD5A7">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认证信息泄露</w:t>
            </w:r>
          </w:p>
          <w:p w14:paraId="1ADB8349">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认证信息猜解</w:t>
            </w:r>
          </w:p>
          <w:p w14:paraId="4D2180D7">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认证功能失效</w:t>
            </w:r>
          </w:p>
          <w:p w14:paraId="141E5277">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认证功能滥用</w:t>
            </w:r>
          </w:p>
          <w:p w14:paraId="41A1CD0D">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数据猜解</w:t>
            </w:r>
          </w:p>
          <w:p w14:paraId="36EE294A">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专项漏洞</w:t>
            </w:r>
          </w:p>
          <w:p w14:paraId="4F4880BA">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综合利用</w:t>
            </w:r>
          </w:p>
          <w:p w14:paraId="640CF5ED">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权限篡改</w:t>
            </w:r>
          </w:p>
          <w:p w14:paraId="5BE8B6F2">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权限缺失</w:t>
            </w:r>
          </w:p>
          <w:p w14:paraId="756631CF">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防护功能滥用</w:t>
            </w:r>
          </w:p>
          <w:p w14:paraId="64CB616B">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防护功能缺失</w:t>
            </w:r>
          </w:p>
          <w:p w14:paraId="77B8FCAA">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防护功能失效</w:t>
            </w:r>
          </w:p>
          <w:p w14:paraId="4BA31312">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业务逻辑篡改</w:t>
            </w:r>
          </w:p>
          <w:p w14:paraId="04DF470E">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业务功能滥用</w:t>
            </w:r>
          </w:p>
          <w:p w14:paraId="45A93E77">
            <w:pPr>
              <w:pStyle w:val="12"/>
              <w:widowControl/>
              <w:numPr>
                <w:ilvl w:val="-1"/>
                <w:numId w:val="0"/>
              </w:numPr>
              <w:adjustRightInd w:val="0"/>
              <w:snapToGrid w:val="0"/>
              <w:spacing w:line="360" w:lineRule="auto"/>
              <w:ind w:left="36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业务功能失效</w:t>
            </w:r>
          </w:p>
          <w:p w14:paraId="30AE170F">
            <w:pPr>
              <w:pStyle w:val="13"/>
              <w:widowControl/>
              <w:numPr>
                <w:ilvl w:val="0"/>
                <w:numId w:val="3"/>
              </w:numPr>
              <w:adjustRightInd w:val="0"/>
              <w:snapToGrid w:val="0"/>
              <w:spacing w:line="360" w:lineRule="auto"/>
              <w:ind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投标方渗透测试人员应使用不同技术手段发现不同纬度的漏洞，并进行验证，形成记录和报告</w:t>
            </w:r>
            <w:r>
              <w:rPr>
                <w:rFonts w:hint="eastAsia" w:ascii="宋体" w:hAnsi="宋体" w:eastAsia="宋体" w:cs="宋体"/>
                <w:color w:val="auto"/>
                <w:kern w:val="0"/>
                <w:sz w:val="21"/>
                <w:szCs w:val="21"/>
                <w:lang w:eastAsia="zh-Hans"/>
              </w:rPr>
              <w:t>。</w:t>
            </w:r>
          </w:p>
          <w:p w14:paraId="625350A7">
            <w:pPr>
              <w:widowControl/>
              <w:numPr>
                <w:ilvl w:val="0"/>
                <w:numId w:val="3"/>
              </w:numPr>
              <w:ind w:left="0" w:leftChars="0" w:firstLine="0" w:firstLineChars="0"/>
              <w:jc w:val="left"/>
              <w:rPr>
                <w:rFonts w:hint="eastAsia" w:ascii="宋体" w:hAnsi="宋体" w:eastAsia="宋体" w:cs="宋体"/>
                <w:sz w:val="21"/>
                <w:szCs w:val="21"/>
                <w:lang w:val="en-US" w:eastAsia="zh-Hans" w:bidi="ar-SA"/>
              </w:rPr>
            </w:pPr>
            <w:r>
              <w:rPr>
                <w:rFonts w:hint="eastAsia" w:ascii="宋体" w:hAnsi="宋体" w:eastAsia="宋体" w:cs="宋体"/>
                <w:color w:val="auto"/>
                <w:kern w:val="0"/>
                <w:sz w:val="21"/>
                <w:szCs w:val="21"/>
              </w:rPr>
              <w:t>投标方应编写渗透测试报告并提交给招标方，报告应该阐明招标方业务系统中存在的安全隐患以及专业的漏洞风险处置建议</w:t>
            </w:r>
            <w:r>
              <w:rPr>
                <w:rFonts w:hint="eastAsia" w:ascii="宋体" w:hAnsi="宋体" w:eastAsia="宋体" w:cs="宋体"/>
                <w:color w:val="auto"/>
                <w:kern w:val="0"/>
                <w:sz w:val="21"/>
                <w:szCs w:val="21"/>
                <w:lang w:eastAsia="zh-Hans"/>
              </w:rPr>
              <w:t>。</w:t>
            </w:r>
          </w:p>
        </w:tc>
      </w:tr>
    </w:tbl>
    <w:p w14:paraId="3615E2F7">
      <w:pPr>
        <w:rPr>
          <w:rFonts w:hint="eastAsia"/>
          <w:sz w:val="21"/>
          <w:szCs w:val="21"/>
        </w:rPr>
      </w:pPr>
    </w:p>
    <w:p w14:paraId="36ECBD8D">
      <w:pPr>
        <w:pStyle w:val="5"/>
        <w:bidi w:val="0"/>
        <w:rPr>
          <w:rFonts w:hint="eastAsia"/>
          <w:sz w:val="21"/>
          <w:szCs w:val="21"/>
        </w:rPr>
      </w:pPr>
      <w:r>
        <w:rPr>
          <w:rFonts w:hint="eastAsia"/>
          <w:sz w:val="21"/>
          <w:szCs w:val="21"/>
        </w:rPr>
        <w:t>安全服务2：漏洞扫描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060"/>
        <w:gridCol w:w="6564"/>
      </w:tblGrid>
      <w:tr w14:paraId="68F3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shd w:val="clear" w:color="auto" w:fill="auto"/>
            <w:vAlign w:val="top"/>
          </w:tcPr>
          <w:p w14:paraId="5C61AB53">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
                <w:color w:val="auto"/>
                <w:kern w:val="0"/>
                <w:sz w:val="21"/>
                <w:szCs w:val="21"/>
                <w:lang w:val="en-US" w:eastAsia="zh-CN"/>
              </w:rPr>
              <w:t>序号</w:t>
            </w:r>
          </w:p>
        </w:tc>
        <w:tc>
          <w:tcPr>
            <w:tcW w:w="1060" w:type="dxa"/>
            <w:shd w:val="clear" w:color="auto" w:fill="auto"/>
            <w:vAlign w:val="top"/>
          </w:tcPr>
          <w:p w14:paraId="17BC90C3">
            <w:pPr>
              <w:widowControl/>
              <w:jc w:val="center"/>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Hans"/>
              </w:rPr>
              <w:t>技术</w:t>
            </w:r>
            <w:r>
              <w:rPr>
                <w:rFonts w:hint="eastAsia" w:ascii="宋体" w:hAnsi="宋体" w:eastAsia="宋体" w:cs="宋体"/>
                <w:b/>
                <w:color w:val="auto"/>
                <w:kern w:val="0"/>
                <w:sz w:val="21"/>
                <w:szCs w:val="21"/>
                <w:lang w:val="en-US" w:eastAsia="zh-CN"/>
              </w:rPr>
              <w:t>指标</w:t>
            </w:r>
          </w:p>
        </w:tc>
        <w:tc>
          <w:tcPr>
            <w:tcW w:w="6564" w:type="dxa"/>
            <w:shd w:val="clear" w:color="auto" w:fill="auto"/>
            <w:vAlign w:val="top"/>
          </w:tcPr>
          <w:p w14:paraId="7AB824C7">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
                <w:color w:val="auto"/>
                <w:kern w:val="0"/>
                <w:sz w:val="21"/>
                <w:szCs w:val="21"/>
              </w:rPr>
              <w:t>指标要求</w:t>
            </w:r>
          </w:p>
        </w:tc>
      </w:tr>
      <w:tr w14:paraId="3ED0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shd w:val="clear" w:color="auto" w:fill="auto"/>
            <w:vAlign w:val="center"/>
          </w:tcPr>
          <w:p w14:paraId="5FA0899D">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1060" w:type="dxa"/>
            <w:shd w:val="clear" w:color="auto" w:fill="auto"/>
            <w:vAlign w:val="center"/>
          </w:tcPr>
          <w:p w14:paraId="151DBBC7">
            <w:pPr>
              <w:widowControl/>
              <w:jc w:val="left"/>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Hans"/>
              </w:rPr>
              <w:t>服务要求</w:t>
            </w:r>
          </w:p>
        </w:tc>
        <w:tc>
          <w:tcPr>
            <w:tcW w:w="6564" w:type="dxa"/>
            <w:shd w:val="clear" w:color="auto" w:fill="auto"/>
            <w:vAlign w:val="center"/>
          </w:tcPr>
          <w:p w14:paraId="3E0D062E">
            <w:pPr>
              <w:pStyle w:val="13"/>
              <w:widowControl/>
              <w:adjustRightInd w:val="0"/>
              <w:snapToGrid w:val="0"/>
              <w:spacing w:line="360" w:lineRule="auto"/>
              <w:ind w:firstLine="0" w:firstLineChars="0"/>
              <w:jc w:val="left"/>
              <w:rPr>
                <w:rFonts w:hint="eastAsia" w:ascii="宋体" w:hAnsi="宋体" w:eastAsia="宋体" w:cs="宋体"/>
                <w:bCs/>
                <w:color w:val="auto"/>
                <w:kern w:val="0"/>
                <w:sz w:val="21"/>
                <w:szCs w:val="21"/>
                <w:lang w:val="en-US" w:eastAsia="zh-Hans"/>
              </w:rPr>
            </w:pPr>
            <w:r>
              <w:rPr>
                <w:rFonts w:hint="eastAsia" w:ascii="宋体" w:hAnsi="宋体" w:eastAsia="宋体" w:cs="宋体"/>
                <w:bCs/>
                <w:color w:val="auto"/>
                <w:kern w:val="0"/>
                <w:sz w:val="21"/>
                <w:szCs w:val="21"/>
                <w:lang w:val="en-US" w:eastAsia="zh-Hans"/>
              </w:rPr>
              <w:t>1、每年不少于</w:t>
            </w:r>
            <w:r>
              <w:rPr>
                <w:rFonts w:hint="eastAsia" w:ascii="宋体" w:hAnsi="宋体" w:eastAsia="宋体" w:cs="宋体"/>
                <w:color w:val="auto"/>
                <w:kern w:val="0"/>
                <w:sz w:val="21"/>
                <w:szCs w:val="21"/>
              </w:rPr>
              <w:t>2次</w:t>
            </w:r>
            <w:r>
              <w:rPr>
                <w:rFonts w:hint="eastAsia" w:ascii="宋体" w:hAnsi="宋体" w:eastAsia="宋体" w:cs="宋体"/>
                <w:color w:val="auto"/>
                <w:kern w:val="0"/>
                <w:sz w:val="21"/>
                <w:szCs w:val="21"/>
                <w:lang w:eastAsia="zh-Hans"/>
              </w:rPr>
              <w:t>。</w:t>
            </w:r>
          </w:p>
          <w:p w14:paraId="33EFD915">
            <w:pPr>
              <w:pStyle w:val="13"/>
              <w:widowControl/>
              <w:adjustRightInd w:val="0"/>
              <w:snapToGrid w:val="0"/>
              <w:spacing w:line="360" w:lineRule="auto"/>
              <w:ind w:firstLine="0" w:firstLineChars="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r>
              <w:rPr>
                <w:rFonts w:hint="eastAsia" w:ascii="宋体" w:hAnsi="宋体" w:eastAsia="宋体" w:cs="宋体"/>
                <w:bCs/>
                <w:color w:val="auto"/>
                <w:kern w:val="0"/>
                <w:sz w:val="21"/>
                <w:szCs w:val="21"/>
                <w:lang w:eastAsia="zh-Hans"/>
              </w:rPr>
              <w:t>、</w:t>
            </w:r>
            <w:r>
              <w:rPr>
                <w:rFonts w:hint="eastAsia" w:ascii="宋体" w:hAnsi="宋体" w:eastAsia="宋体" w:cs="宋体"/>
                <w:bCs/>
                <w:color w:val="auto"/>
                <w:kern w:val="0"/>
                <w:sz w:val="21"/>
                <w:szCs w:val="21"/>
              </w:rPr>
              <w:t>漏洞扫描应按照以下要求实施：</w:t>
            </w:r>
          </w:p>
          <w:p w14:paraId="632098FC">
            <w:pPr>
              <w:pStyle w:val="13"/>
              <w:widowControl/>
              <w:numPr>
                <w:ilvl w:val="-1"/>
                <w:numId w:val="0"/>
              </w:numPr>
              <w:adjustRightInd w:val="0"/>
              <w:snapToGrid w:val="0"/>
              <w:spacing w:line="360" w:lineRule="auto"/>
              <w:ind w:left="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投标方应对漏洞扫描的目标对象进行全面梳理和识别，识别内容包含但不限于资产类型、IP地址、业务部门、责任人、用途、操作系统、数据库、中间件等</w:t>
            </w:r>
          </w:p>
          <w:p w14:paraId="54C86EF5">
            <w:pPr>
              <w:pStyle w:val="13"/>
              <w:widowControl/>
              <w:numPr>
                <w:ilvl w:val="-1"/>
                <w:numId w:val="0"/>
              </w:numPr>
              <w:adjustRightInd w:val="0"/>
              <w:snapToGrid w:val="0"/>
              <w:spacing w:line="360" w:lineRule="auto"/>
              <w:ind w:left="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方应提交漏洞扫描工具的情况（包括但不限于：设备厂商、设备型号、漏洞库、销售许可证等）、漏洞扫描工作方案（包括但不限于：目标对象、扫描时间、风险规避措施等）及漏洞扫描申请，招标方授权后，方可进行</w:t>
            </w:r>
          </w:p>
          <w:p w14:paraId="468F52F5">
            <w:pPr>
              <w:pStyle w:val="13"/>
              <w:widowControl/>
              <w:numPr>
                <w:ilvl w:val="-1"/>
                <w:numId w:val="0"/>
              </w:numPr>
              <w:adjustRightInd w:val="0"/>
              <w:snapToGrid w:val="0"/>
              <w:spacing w:line="360" w:lineRule="auto"/>
              <w:ind w:left="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投标方应对漏洞扫描结果进行人工验证，保证漏洞扫描结果的真实性</w:t>
            </w:r>
          </w:p>
          <w:p w14:paraId="70CBA2C3">
            <w:pPr>
              <w:pStyle w:val="13"/>
              <w:widowControl/>
              <w:numPr>
                <w:ilvl w:val="-1"/>
                <w:numId w:val="0"/>
              </w:numPr>
              <w:adjustRightInd w:val="0"/>
              <w:snapToGrid w:val="0"/>
              <w:spacing w:line="360" w:lineRule="auto"/>
              <w:ind w:left="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投标方应提交针对性的解决方案，保证漏洞修复可落地</w:t>
            </w:r>
          </w:p>
          <w:p w14:paraId="72258241">
            <w:pPr>
              <w:pStyle w:val="13"/>
              <w:widowControl/>
              <w:adjustRightInd w:val="0"/>
              <w:snapToGrid w:val="0"/>
              <w:spacing w:line="360" w:lineRule="auto"/>
              <w:ind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3、漏洞扫描对象范围包括但不限于：</w:t>
            </w:r>
          </w:p>
          <w:p w14:paraId="46D3B7F5">
            <w:pPr>
              <w:pStyle w:val="13"/>
              <w:widowControl/>
              <w:numPr>
                <w:ilvl w:val="-1"/>
                <w:numId w:val="0"/>
              </w:numPr>
              <w:adjustRightInd w:val="0"/>
              <w:snapToGrid w:val="0"/>
              <w:spacing w:line="360" w:lineRule="auto"/>
              <w:ind w:left="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网络设备：路由器、交换机等</w:t>
            </w:r>
          </w:p>
          <w:p w14:paraId="4B9DF383">
            <w:pPr>
              <w:pStyle w:val="13"/>
              <w:widowControl/>
              <w:numPr>
                <w:ilvl w:val="-1"/>
                <w:numId w:val="0"/>
              </w:numPr>
              <w:adjustRightInd w:val="0"/>
              <w:snapToGrid w:val="0"/>
              <w:spacing w:line="360" w:lineRule="auto"/>
              <w:ind w:left="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操作系统：windows、linux、UNIX等</w:t>
            </w:r>
          </w:p>
          <w:p w14:paraId="29C35DE0">
            <w:pPr>
              <w:pStyle w:val="13"/>
              <w:widowControl/>
              <w:numPr>
                <w:ilvl w:val="-1"/>
                <w:numId w:val="0"/>
              </w:numPr>
              <w:adjustRightInd w:val="0"/>
              <w:snapToGrid w:val="0"/>
              <w:spacing w:line="360" w:lineRule="auto"/>
              <w:ind w:left="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数据库：Oracle、MSSQL、Mysql等</w:t>
            </w:r>
          </w:p>
          <w:p w14:paraId="292BA9AF">
            <w:pPr>
              <w:pStyle w:val="13"/>
              <w:widowControl/>
              <w:numPr>
                <w:ilvl w:val="-1"/>
                <w:numId w:val="0"/>
              </w:numPr>
              <w:adjustRightInd w:val="0"/>
              <w:snapToGrid w:val="0"/>
              <w:spacing w:line="360" w:lineRule="auto"/>
              <w:ind w:left="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中间件：Apache、Tomcat、IIS、weblogic等</w:t>
            </w:r>
          </w:p>
          <w:p w14:paraId="14E132FE">
            <w:pPr>
              <w:pStyle w:val="13"/>
              <w:widowControl/>
              <w:adjustRightInd w:val="0"/>
              <w:snapToGrid w:val="0"/>
              <w:spacing w:line="360" w:lineRule="auto"/>
              <w:ind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4、可对WEB漏洞进行扫描检测，包括但不限于：</w:t>
            </w:r>
          </w:p>
          <w:p w14:paraId="50ED02AD">
            <w:pPr>
              <w:pStyle w:val="13"/>
              <w:widowControl/>
              <w:numPr>
                <w:ilvl w:val="-1"/>
                <w:numId w:val="0"/>
              </w:numPr>
              <w:adjustRightInd w:val="0"/>
              <w:snapToGrid w:val="0"/>
              <w:spacing w:line="360" w:lineRule="auto"/>
              <w:ind w:left="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信息泄露</w:t>
            </w:r>
          </w:p>
          <w:p w14:paraId="5DDA4661">
            <w:pPr>
              <w:pStyle w:val="13"/>
              <w:widowControl/>
              <w:numPr>
                <w:ilvl w:val="-1"/>
                <w:numId w:val="0"/>
              </w:numPr>
              <w:adjustRightInd w:val="0"/>
              <w:snapToGrid w:val="0"/>
              <w:spacing w:line="360" w:lineRule="auto"/>
              <w:ind w:left="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SQL注入漏洞</w:t>
            </w:r>
          </w:p>
          <w:p w14:paraId="38CAB765">
            <w:pPr>
              <w:pStyle w:val="13"/>
              <w:widowControl/>
              <w:numPr>
                <w:ilvl w:val="-1"/>
                <w:numId w:val="0"/>
              </w:numPr>
              <w:adjustRightInd w:val="0"/>
              <w:snapToGrid w:val="0"/>
              <w:spacing w:line="360" w:lineRule="auto"/>
              <w:ind w:left="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XSS注入漏洞</w:t>
            </w:r>
          </w:p>
          <w:p w14:paraId="4E2609B8">
            <w:pPr>
              <w:pStyle w:val="13"/>
              <w:widowControl/>
              <w:numPr>
                <w:ilvl w:val="-1"/>
                <w:numId w:val="0"/>
              </w:numPr>
              <w:adjustRightInd w:val="0"/>
              <w:snapToGrid w:val="0"/>
              <w:spacing w:line="360" w:lineRule="auto"/>
              <w:ind w:left="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目录遍历漏洞</w:t>
            </w:r>
          </w:p>
          <w:p w14:paraId="513E1C6E">
            <w:pPr>
              <w:pStyle w:val="13"/>
              <w:widowControl/>
              <w:numPr>
                <w:ilvl w:val="-1"/>
                <w:numId w:val="0"/>
              </w:numPr>
              <w:adjustRightInd w:val="0"/>
              <w:snapToGrid w:val="0"/>
              <w:spacing w:line="360" w:lineRule="auto"/>
              <w:ind w:left="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本地文件包含漏洞</w:t>
            </w:r>
          </w:p>
          <w:p w14:paraId="0BB62E63">
            <w:pPr>
              <w:pStyle w:val="13"/>
              <w:widowControl/>
              <w:adjustRightInd w:val="0"/>
              <w:snapToGrid w:val="0"/>
              <w:spacing w:line="360" w:lineRule="auto"/>
              <w:ind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5、可对系统漏洞进行扫描检测，包括但不限于：</w:t>
            </w:r>
          </w:p>
          <w:p w14:paraId="70BD4D31">
            <w:pPr>
              <w:pStyle w:val="13"/>
              <w:widowControl/>
              <w:numPr>
                <w:ilvl w:val="-1"/>
                <w:numId w:val="0"/>
              </w:numPr>
              <w:adjustRightInd w:val="0"/>
              <w:snapToGrid w:val="0"/>
              <w:spacing w:line="360" w:lineRule="auto"/>
              <w:ind w:left="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溢出漏洞</w:t>
            </w:r>
          </w:p>
          <w:p w14:paraId="3AB4D821">
            <w:pPr>
              <w:pStyle w:val="13"/>
              <w:widowControl/>
              <w:numPr>
                <w:ilvl w:val="-1"/>
                <w:numId w:val="0"/>
              </w:numPr>
              <w:adjustRightInd w:val="0"/>
              <w:snapToGrid w:val="0"/>
              <w:spacing w:line="360" w:lineRule="auto"/>
              <w:ind w:left="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拒绝服务攻击漏洞</w:t>
            </w:r>
          </w:p>
          <w:p w14:paraId="4E6AEEBF">
            <w:pPr>
              <w:pStyle w:val="13"/>
              <w:widowControl/>
              <w:numPr>
                <w:ilvl w:val="-1"/>
                <w:numId w:val="0"/>
              </w:numPr>
              <w:adjustRightInd w:val="0"/>
              <w:snapToGrid w:val="0"/>
              <w:spacing w:line="360" w:lineRule="auto"/>
              <w:ind w:left="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未授权访问漏洞</w:t>
            </w:r>
          </w:p>
          <w:p w14:paraId="31731931">
            <w:pPr>
              <w:pStyle w:val="13"/>
              <w:widowControl/>
              <w:numPr>
                <w:ilvl w:val="-1"/>
                <w:numId w:val="0"/>
              </w:numPr>
              <w:adjustRightInd w:val="0"/>
              <w:snapToGrid w:val="0"/>
              <w:spacing w:line="360" w:lineRule="auto"/>
              <w:ind w:left="0" w:leftChars="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代码执行漏洞</w:t>
            </w:r>
          </w:p>
        </w:tc>
      </w:tr>
    </w:tbl>
    <w:p w14:paraId="3C0A6F6D">
      <w:pPr>
        <w:rPr>
          <w:rFonts w:hint="eastAsia"/>
          <w:sz w:val="21"/>
          <w:szCs w:val="21"/>
        </w:rPr>
      </w:pPr>
    </w:p>
    <w:p w14:paraId="4ADC5E0F">
      <w:pPr>
        <w:pStyle w:val="5"/>
        <w:bidi w:val="0"/>
        <w:rPr>
          <w:rFonts w:hint="eastAsia"/>
          <w:sz w:val="21"/>
          <w:szCs w:val="21"/>
          <w:highlight w:val="none"/>
        </w:rPr>
      </w:pPr>
      <w:r>
        <w:rPr>
          <w:rFonts w:hint="eastAsia"/>
          <w:sz w:val="21"/>
          <w:szCs w:val="21"/>
          <w:highlight w:val="none"/>
        </w:rPr>
        <w:t>安全服务3：日常安服</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155"/>
        <w:gridCol w:w="6547"/>
      </w:tblGrid>
      <w:tr w14:paraId="2171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top"/>
          </w:tcPr>
          <w:p w14:paraId="5F09454D">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
                <w:color w:val="auto"/>
                <w:kern w:val="0"/>
                <w:sz w:val="21"/>
                <w:szCs w:val="21"/>
                <w:lang w:val="en-US" w:eastAsia="zh-CN"/>
              </w:rPr>
              <w:t>序号</w:t>
            </w:r>
          </w:p>
        </w:tc>
        <w:tc>
          <w:tcPr>
            <w:tcW w:w="1155" w:type="dxa"/>
            <w:shd w:val="clear" w:color="auto" w:fill="auto"/>
            <w:vAlign w:val="top"/>
          </w:tcPr>
          <w:p w14:paraId="31C1A97E">
            <w:pPr>
              <w:widowControl/>
              <w:jc w:val="center"/>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Hans"/>
              </w:rPr>
              <w:t>技术</w:t>
            </w:r>
            <w:r>
              <w:rPr>
                <w:rFonts w:hint="eastAsia" w:ascii="宋体" w:hAnsi="宋体" w:eastAsia="宋体" w:cs="宋体"/>
                <w:b/>
                <w:color w:val="auto"/>
                <w:kern w:val="0"/>
                <w:sz w:val="21"/>
                <w:szCs w:val="21"/>
                <w:lang w:val="en-US" w:eastAsia="zh-CN"/>
              </w:rPr>
              <w:t>指标</w:t>
            </w:r>
          </w:p>
        </w:tc>
        <w:tc>
          <w:tcPr>
            <w:tcW w:w="6547" w:type="dxa"/>
            <w:shd w:val="clear" w:color="auto" w:fill="auto"/>
            <w:vAlign w:val="top"/>
          </w:tcPr>
          <w:p w14:paraId="1AA5BF12">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
                <w:color w:val="auto"/>
                <w:kern w:val="0"/>
                <w:sz w:val="21"/>
                <w:szCs w:val="21"/>
              </w:rPr>
              <w:t>指标要求</w:t>
            </w:r>
          </w:p>
        </w:tc>
      </w:tr>
      <w:tr w14:paraId="0C29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14:paraId="7089F2F5">
            <w:pPr>
              <w:widowControl w:val="0"/>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1</w:t>
            </w:r>
          </w:p>
        </w:tc>
        <w:tc>
          <w:tcPr>
            <w:tcW w:w="1155" w:type="dxa"/>
            <w:shd w:val="clear" w:color="auto" w:fill="auto"/>
            <w:vAlign w:val="center"/>
          </w:tcPr>
          <w:p w14:paraId="29E2F46E">
            <w:pPr>
              <w:widowControl w:val="0"/>
              <w:jc w:val="center"/>
              <w:rPr>
                <w:rFonts w:hint="eastAsia" w:ascii="宋体" w:hAnsi="宋体" w:eastAsia="宋体" w:cs="宋体"/>
                <w:color w:val="auto"/>
                <w:sz w:val="21"/>
                <w:szCs w:val="21"/>
                <w:lang w:val="en-US" w:eastAsia="zh-Hans" w:bidi="ar-SA"/>
              </w:rPr>
            </w:pPr>
            <w:r>
              <w:rPr>
                <w:rFonts w:hint="eastAsia" w:ascii="宋体" w:hAnsi="宋体" w:eastAsia="宋体" w:cs="宋体"/>
                <w:color w:val="auto"/>
                <w:sz w:val="21"/>
                <w:szCs w:val="21"/>
              </w:rPr>
              <w:t>基本要求</w:t>
            </w:r>
          </w:p>
        </w:tc>
        <w:tc>
          <w:tcPr>
            <w:tcW w:w="6547" w:type="dxa"/>
            <w:shd w:val="clear" w:color="auto" w:fill="auto"/>
            <w:vAlign w:val="center"/>
          </w:tcPr>
          <w:p w14:paraId="40208B52">
            <w:pPr>
              <w:widowControl/>
              <w:adjustRightInd w:val="0"/>
              <w:snapToGrid w:val="0"/>
              <w:jc w:val="left"/>
              <w:rPr>
                <w:rFonts w:hint="eastAsia" w:ascii="宋体" w:hAnsi="宋体" w:eastAsia="宋体" w:cs="宋体"/>
                <w:b/>
                <w:bCs/>
                <w:color w:val="auto"/>
                <w:kern w:val="0"/>
                <w:sz w:val="21"/>
                <w:szCs w:val="21"/>
                <w:lang w:val="en-US" w:eastAsia="zh-CN" w:bidi="ar-SA"/>
              </w:rPr>
            </w:pP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rPr>
              <w:t>提供1人一年的人员驻场服务，按照医院要求展开工作。要求具有2年以上网络安全从业经验，要求具有红蓝队攻防经验</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熟悉国内网络安全厂商产品维护经验，熟悉网络安全攻击手段和防护措施；</w:t>
            </w:r>
          </w:p>
        </w:tc>
      </w:tr>
      <w:tr w14:paraId="5941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14:paraId="06292940">
            <w:pPr>
              <w:widowControl w:val="0"/>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2</w:t>
            </w:r>
          </w:p>
        </w:tc>
        <w:tc>
          <w:tcPr>
            <w:tcW w:w="1155" w:type="dxa"/>
            <w:shd w:val="clear" w:color="auto" w:fill="auto"/>
            <w:vAlign w:val="center"/>
          </w:tcPr>
          <w:p w14:paraId="35A49B34">
            <w:pPr>
              <w:widowControl w:val="0"/>
              <w:jc w:val="center"/>
              <w:rPr>
                <w:rFonts w:hint="eastAsia" w:ascii="宋体" w:hAnsi="宋体" w:eastAsia="宋体" w:cs="宋体"/>
                <w:color w:val="auto"/>
                <w:sz w:val="21"/>
                <w:szCs w:val="21"/>
                <w:lang w:val="en-US" w:eastAsia="zh-Hans" w:bidi="ar-SA"/>
              </w:rPr>
            </w:pPr>
            <w:r>
              <w:rPr>
                <w:rFonts w:hint="eastAsia" w:ascii="宋体" w:hAnsi="宋体" w:eastAsia="宋体" w:cs="宋体"/>
                <w:color w:val="auto"/>
                <w:sz w:val="21"/>
                <w:szCs w:val="21"/>
              </w:rPr>
              <w:t>服务要求</w:t>
            </w:r>
          </w:p>
        </w:tc>
        <w:tc>
          <w:tcPr>
            <w:tcW w:w="6547" w:type="dxa"/>
            <w:shd w:val="clear" w:color="auto" w:fill="auto"/>
            <w:vAlign w:val="center"/>
          </w:tcPr>
          <w:p w14:paraId="5473071F">
            <w:pPr>
              <w:widowControl w:val="0"/>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服务内容包括但不限于以下内容：</w:t>
            </w:r>
          </w:p>
          <w:p w14:paraId="3584F628">
            <w:pPr>
              <w:widowControl w:val="0"/>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1、日常防火墙策略、安全设备防护策略、规则库版本更新检查和梳理。</w:t>
            </w:r>
          </w:p>
          <w:p w14:paraId="175DD1B0">
            <w:pPr>
              <w:widowControl w:val="0"/>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结合实际业务安全需求，对现有安全策略进行差距分析，发现策略缺失、策略冗余、策略未废止等问题，并制定相应工作方案开展策略优化工作，内容包括：访问控制策略优化、安全防护策略优化、行为审计策略优化等，通过安全策略优化完善策略可用性，提升防护能力。针对所有需要安全策略优化的安全设备输出安全策略优化报告，该报告内容是记录了优化前和优化后的策略变化情况。</w:t>
            </w:r>
          </w:p>
          <w:p w14:paraId="59280BAD">
            <w:pPr>
              <w:widowControl w:val="0"/>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3、每月度、季度提供《安全运营总结报告》，旨在发现建设、运营过程中的问题，从威胁发现、分析验证、通报处置出发，推动提升安全运营能力的建设.</w:t>
            </w:r>
          </w:p>
          <w:p w14:paraId="1B07A204">
            <w:pPr>
              <w:widowControl w:val="0"/>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对于安全设备的日常巡检及技术分析，给出风险建议并提供解决方案。由中标方负责巡检，检查日志，出具检查报告和巡检记录。对于发现的问题及时指出并提供相应的解决方案。</w:t>
            </w:r>
          </w:p>
          <w:p w14:paraId="40C9E285">
            <w:pPr>
              <w:widowControl w:val="0"/>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4、安全巡检服务包含但不限于对服务器、应用系统、网络设备、网络安全设备的驻场巡检服务。对信息系统内的各类状态进行判断，每次巡查均要有记录，年末提供年度汇总报告。各类巡检服务要求如下：</w:t>
            </w:r>
          </w:p>
          <w:p w14:paraId="44642108">
            <w:pPr>
              <w:widowControl w:val="0"/>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a、服务器设备巡检服务：服务器运行维护通过日常驻场巡检关键活动可以减小或规避日常服务器故障对各类应用服务的影响。由于服务器使用过程中存在的设置漏洞，且需要应对大量用户的频繁访问和大量文件、数据的管理，同时还要应对日常使用过程中对服务需求变动的配置变更，因此，需定期对服务器配置的定期优化，按照等级保护要求对相关安全策略进行梳理。清除临时文件信息，减小或避免存在漏洞的设置，提高服务器对用户需求的响应。</w:t>
            </w:r>
          </w:p>
          <w:p w14:paraId="500E6575">
            <w:pPr>
              <w:widowControl w:val="0"/>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b、网络设备和安全设备巡检服务：对网络设备运行状态的定期检查和分析能够及时把握网络运行情况，发现网络运行中的隐患问题，减小或规避安全事件的发生，减小网络故障对日常使用的影响。</w:t>
            </w:r>
          </w:p>
          <w:p w14:paraId="12AC0618">
            <w:pPr>
              <w:widowControl w:val="0"/>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5、协助用户做好与网络安全相关的一切工作，包括信息安全制度执行、日常安全防护、信息安全检查等工作；</w:t>
            </w:r>
          </w:p>
          <w:p w14:paraId="5868F65A">
            <w:pPr>
              <w:widowControl w:val="0"/>
              <w:adjustRightInd w:val="0"/>
              <w:snapToGrid w:val="0"/>
              <w:spacing w:line="240" w:lineRule="auto"/>
              <w:ind w:firstLine="0" w:firstLineChars="0"/>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驻场人员对客户提出问题或安全事件的响应时间≤ 1小时</w:t>
            </w:r>
          </w:p>
          <w:p w14:paraId="6763246A">
            <w:pPr>
              <w:widowControl w:val="0"/>
              <w:adjustRightInd w:val="0"/>
              <w:snapToGrid w:val="0"/>
              <w:spacing w:line="240" w:lineRule="auto"/>
              <w:ind w:firstLine="0" w:firstLineChars="0"/>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驻场人员出勤率≥ 95%</w:t>
            </w:r>
          </w:p>
          <w:p w14:paraId="0415624B">
            <w:pPr>
              <w:widowControl w:val="0"/>
              <w:adjustRightInd w:val="0"/>
              <w:snapToGrid w:val="0"/>
              <w:spacing w:line="240" w:lineRule="auto"/>
              <w:ind w:firstLine="0" w:firstLineChars="0"/>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驻场人员提供的技术支持解决问题的成功率≥ 90%。</w:t>
            </w:r>
          </w:p>
          <w:p w14:paraId="4268BEAF">
            <w:pPr>
              <w:widowControl w:val="0"/>
              <w:adjustRightInd w:val="0"/>
              <w:snapToGrid w:val="0"/>
              <w:spacing w:line="240" w:lineRule="auto"/>
              <w:ind w:firstLine="0" w:firstLineChars="0"/>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院方对驻场人员服务质量的满意度评分≥ 90分。</w:t>
            </w:r>
          </w:p>
          <w:p w14:paraId="7417A231">
            <w:pPr>
              <w:widowControl w:val="0"/>
              <w:adjustRightInd w:val="0"/>
              <w:snapToGrid w:val="0"/>
              <w:spacing w:line="240" w:lineRule="auto"/>
              <w:ind w:firstLine="0" w:firstLineChars="0"/>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驻场人员处理重大安全事件的能力，评估应急响应的效果，重大安全事件响应时间 ≤ 1小时，事件解决时间 ≤ 4小时</w:t>
            </w:r>
          </w:p>
          <w:p w14:paraId="07F0E2B7">
            <w:pPr>
              <w:widowControl w:val="0"/>
              <w:adjustRightInd w:val="0"/>
              <w:snapToGrid w:val="0"/>
              <w:spacing w:line="240" w:lineRule="auto"/>
              <w:ind w:firstLine="0" w:firstLineChars="0"/>
              <w:jc w:val="left"/>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整体项目交付质量评分 ≥ 90%</w:t>
            </w:r>
          </w:p>
        </w:tc>
      </w:tr>
    </w:tbl>
    <w:p w14:paraId="59E3323C">
      <w:pPr>
        <w:rPr>
          <w:rFonts w:hint="eastAsia"/>
          <w:sz w:val="21"/>
          <w:szCs w:val="21"/>
        </w:rPr>
      </w:pPr>
    </w:p>
    <w:p w14:paraId="4ECB5C9D">
      <w:pPr>
        <w:pStyle w:val="5"/>
        <w:bidi w:val="0"/>
        <w:rPr>
          <w:rFonts w:hint="eastAsia"/>
          <w:sz w:val="21"/>
          <w:szCs w:val="21"/>
        </w:rPr>
      </w:pPr>
      <w:r>
        <w:rPr>
          <w:rFonts w:hint="eastAsia"/>
          <w:sz w:val="21"/>
          <w:szCs w:val="21"/>
        </w:rPr>
        <w:t>安全服务4：重保值守服务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55"/>
        <w:gridCol w:w="6520"/>
      </w:tblGrid>
      <w:tr w14:paraId="4D7E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top"/>
          </w:tcPr>
          <w:p w14:paraId="564E444A">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
                <w:color w:val="auto"/>
                <w:kern w:val="0"/>
                <w:sz w:val="21"/>
                <w:szCs w:val="21"/>
                <w:lang w:val="en-US" w:eastAsia="zh-CN"/>
              </w:rPr>
              <w:t>序号</w:t>
            </w:r>
          </w:p>
        </w:tc>
        <w:tc>
          <w:tcPr>
            <w:tcW w:w="1155" w:type="dxa"/>
            <w:shd w:val="clear" w:color="auto" w:fill="auto"/>
            <w:vAlign w:val="top"/>
          </w:tcPr>
          <w:p w14:paraId="61B36F47">
            <w:pPr>
              <w:widowControl/>
              <w:jc w:val="center"/>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Hans"/>
              </w:rPr>
              <w:t>技术</w:t>
            </w:r>
            <w:r>
              <w:rPr>
                <w:rFonts w:hint="eastAsia" w:ascii="宋体" w:hAnsi="宋体" w:eastAsia="宋体" w:cs="宋体"/>
                <w:b/>
                <w:color w:val="auto"/>
                <w:kern w:val="0"/>
                <w:sz w:val="21"/>
                <w:szCs w:val="21"/>
                <w:lang w:val="en-US" w:eastAsia="zh-CN"/>
              </w:rPr>
              <w:t>指标</w:t>
            </w:r>
          </w:p>
        </w:tc>
        <w:tc>
          <w:tcPr>
            <w:tcW w:w="6520" w:type="dxa"/>
            <w:shd w:val="clear" w:color="auto" w:fill="auto"/>
            <w:vAlign w:val="top"/>
          </w:tcPr>
          <w:p w14:paraId="55F5FCBE">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
                <w:color w:val="auto"/>
                <w:kern w:val="0"/>
                <w:sz w:val="21"/>
                <w:szCs w:val="21"/>
              </w:rPr>
              <w:t>指标要求</w:t>
            </w:r>
          </w:p>
        </w:tc>
      </w:tr>
      <w:tr w14:paraId="0FCF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vAlign w:val="center"/>
          </w:tcPr>
          <w:p w14:paraId="7504C8FA">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w:t>
            </w:r>
          </w:p>
        </w:tc>
        <w:tc>
          <w:tcPr>
            <w:tcW w:w="1155" w:type="dxa"/>
            <w:shd w:val="clear" w:color="auto" w:fill="auto"/>
            <w:vAlign w:val="center"/>
          </w:tcPr>
          <w:p w14:paraId="17529086">
            <w:pPr>
              <w:widowControl/>
              <w:spacing w:line="360" w:lineRule="auto"/>
              <w:jc w:val="center"/>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CN"/>
              </w:rPr>
              <w:t>服务要求</w:t>
            </w:r>
          </w:p>
        </w:tc>
        <w:tc>
          <w:tcPr>
            <w:tcW w:w="6520" w:type="dxa"/>
            <w:shd w:val="clear" w:color="auto" w:fill="auto"/>
            <w:vAlign w:val="center"/>
          </w:tcPr>
          <w:p w14:paraId="4A9FC8AE">
            <w:pPr>
              <w:widowControl/>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重保期间提供不少于</w:t>
            </w:r>
            <w:r>
              <w:rPr>
                <w:rFonts w:hint="eastAsia"/>
                <w:sz w:val="21"/>
                <w:szCs w:val="21"/>
                <w:highlight w:val="none"/>
              </w:rPr>
              <w:t>14人天高级安全服务专家</w:t>
            </w:r>
            <w:r>
              <w:rPr>
                <w:rFonts w:hint="eastAsia"/>
                <w:sz w:val="21"/>
                <w:szCs w:val="21"/>
                <w:highlight w:val="none"/>
                <w:lang w:eastAsia="zh-CN"/>
              </w:rPr>
              <w:t>，</w:t>
            </w:r>
            <w:r>
              <w:rPr>
                <w:rFonts w:hint="eastAsia"/>
                <w:sz w:val="21"/>
                <w:szCs w:val="21"/>
                <w:highlight w:val="none"/>
              </w:rPr>
              <w:t>在</w:t>
            </w:r>
            <w:r>
              <w:rPr>
                <w:rFonts w:hint="eastAsia"/>
                <w:sz w:val="21"/>
                <w:szCs w:val="21"/>
                <w:highlight w:val="none"/>
                <w:lang w:val="en-US" w:eastAsia="zh-CN"/>
              </w:rPr>
              <w:t>服务</w:t>
            </w:r>
            <w:r>
              <w:rPr>
                <w:rFonts w:hint="eastAsia"/>
                <w:sz w:val="21"/>
                <w:szCs w:val="21"/>
                <w:highlight w:val="none"/>
              </w:rPr>
              <w:t>期间，安服工程师提供每天8小时的值守服务，值守工作内容包括态势感知等安全流量设备日志分析与研判，每天输出值守报告</w:t>
            </w:r>
            <w:r>
              <w:rPr>
                <w:rFonts w:hint="eastAsia"/>
                <w:sz w:val="21"/>
                <w:szCs w:val="21"/>
                <w:highlight w:val="none"/>
                <w:lang w:eastAsia="zh-CN"/>
              </w:rPr>
              <w:t>。</w:t>
            </w:r>
          </w:p>
        </w:tc>
      </w:tr>
      <w:tr w14:paraId="594E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288A6CA">
            <w:pPr>
              <w:widowControl/>
              <w:jc w:val="center"/>
              <w:rPr>
                <w:rFonts w:hint="default" w:ascii="宋体" w:hAnsi="宋体" w:eastAsia="宋体" w:cs="宋体"/>
                <w:b/>
                <w:color w:val="auto"/>
                <w:kern w:val="0"/>
                <w:sz w:val="21"/>
                <w:szCs w:val="21"/>
                <w:lang w:val="en-US" w:eastAsia="zh-CN"/>
              </w:rPr>
            </w:pPr>
            <w:r>
              <w:rPr>
                <w:rFonts w:hint="eastAsia" w:cs="宋体"/>
                <w:b/>
                <w:color w:val="auto"/>
                <w:kern w:val="0"/>
                <w:sz w:val="21"/>
                <w:szCs w:val="21"/>
                <w:lang w:val="en-US" w:eastAsia="zh-CN"/>
              </w:rPr>
              <w:t>2</w:t>
            </w:r>
          </w:p>
        </w:tc>
        <w:tc>
          <w:tcPr>
            <w:tcW w:w="1155" w:type="dxa"/>
            <w:vMerge w:val="restart"/>
            <w:shd w:val="clear" w:color="auto" w:fill="auto"/>
            <w:vAlign w:val="center"/>
          </w:tcPr>
          <w:p w14:paraId="690F9573">
            <w:pPr>
              <w:widowControl/>
              <w:spacing w:line="360" w:lineRule="auto"/>
              <w:jc w:val="center"/>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rPr>
              <w:t>资产识别与梳理</w:t>
            </w:r>
          </w:p>
        </w:tc>
        <w:tc>
          <w:tcPr>
            <w:tcW w:w="6520" w:type="dxa"/>
            <w:shd w:val="clear" w:color="auto" w:fill="auto"/>
            <w:vAlign w:val="center"/>
          </w:tcPr>
          <w:p w14:paraId="07345135">
            <w:pPr>
              <w:widowControl/>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投标方需借助安全工具对</w:t>
            </w:r>
            <w:r>
              <w:rPr>
                <w:rFonts w:hint="default" w:ascii="宋体" w:hAnsi="宋体" w:eastAsia="宋体" w:cs="宋体"/>
                <w:color w:val="auto"/>
                <w:kern w:val="0"/>
                <w:sz w:val="21"/>
                <w:szCs w:val="21"/>
              </w:rPr>
              <w:t>IT</w:t>
            </w:r>
            <w:r>
              <w:rPr>
                <w:rFonts w:hint="eastAsia" w:ascii="宋体" w:hAnsi="宋体" w:eastAsia="宋体" w:cs="宋体"/>
                <w:color w:val="auto"/>
                <w:kern w:val="0"/>
                <w:sz w:val="21"/>
                <w:szCs w:val="21"/>
                <w:lang w:val="en-US" w:eastAsia="zh-Hans"/>
              </w:rPr>
              <w:t>资产</w:t>
            </w:r>
            <w:r>
              <w:rPr>
                <w:rFonts w:hint="eastAsia" w:ascii="宋体" w:hAnsi="宋体" w:eastAsia="宋体" w:cs="宋体"/>
                <w:color w:val="auto"/>
                <w:kern w:val="0"/>
                <w:sz w:val="21"/>
                <w:szCs w:val="21"/>
              </w:rPr>
              <w:t>进行全面发现和深度识别，确保资产信息的准确性和全面性</w:t>
            </w:r>
            <w:r>
              <w:rPr>
                <w:rFonts w:hint="default" w:ascii="宋体" w:hAnsi="宋体" w:eastAsia="宋体" w:cs="宋体"/>
                <w:color w:val="auto"/>
                <w:kern w:val="0"/>
                <w:sz w:val="21"/>
                <w:szCs w:val="21"/>
              </w:rPr>
              <w:t>，</w:t>
            </w:r>
            <w:r>
              <w:rPr>
                <w:rFonts w:hint="eastAsia" w:ascii="宋体" w:hAnsi="宋体" w:eastAsia="宋体" w:cs="宋体"/>
                <w:color w:val="auto"/>
                <w:kern w:val="0"/>
                <w:sz w:val="21"/>
                <w:szCs w:val="21"/>
                <w:lang w:val="en-US" w:eastAsia="zh-Hans"/>
              </w:rPr>
              <w:t>便于攻防演习期间快速定位安全风险和加固</w:t>
            </w:r>
            <w:r>
              <w:rPr>
                <w:rFonts w:hint="default" w:ascii="宋体" w:hAnsi="宋体" w:eastAsia="宋体" w:cs="宋体"/>
                <w:color w:val="auto"/>
                <w:kern w:val="0"/>
                <w:sz w:val="21"/>
                <w:szCs w:val="21"/>
                <w:lang w:eastAsia="zh-Hans"/>
              </w:rPr>
              <w:t>。</w:t>
            </w:r>
          </w:p>
        </w:tc>
      </w:tr>
      <w:tr w14:paraId="47C3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58B31666">
            <w:pPr>
              <w:widowControl/>
              <w:jc w:val="center"/>
              <w:rPr>
                <w:rFonts w:hint="default" w:ascii="宋体" w:hAnsi="宋体" w:eastAsia="宋体" w:cs="宋体"/>
                <w:b/>
                <w:color w:val="auto"/>
                <w:kern w:val="0"/>
                <w:sz w:val="21"/>
                <w:szCs w:val="21"/>
                <w:lang w:val="en-US" w:eastAsia="zh-CN"/>
              </w:rPr>
            </w:pPr>
            <w:r>
              <w:rPr>
                <w:rFonts w:hint="eastAsia" w:cs="宋体"/>
                <w:b/>
                <w:color w:val="auto"/>
                <w:kern w:val="0"/>
                <w:sz w:val="21"/>
                <w:szCs w:val="21"/>
                <w:lang w:val="en-US" w:eastAsia="zh-CN"/>
              </w:rPr>
              <w:t>3</w:t>
            </w:r>
          </w:p>
        </w:tc>
        <w:tc>
          <w:tcPr>
            <w:tcW w:w="1155" w:type="dxa"/>
            <w:vMerge w:val="continue"/>
          </w:tcPr>
          <w:p w14:paraId="084DF241">
            <w:pPr>
              <w:widowControl/>
              <w:jc w:val="center"/>
              <w:rPr>
                <w:rFonts w:hint="eastAsia" w:ascii="宋体" w:hAnsi="宋体" w:eastAsia="宋体" w:cs="宋体"/>
                <w:b/>
                <w:color w:val="auto"/>
                <w:kern w:val="0"/>
                <w:sz w:val="21"/>
                <w:szCs w:val="21"/>
                <w:lang w:val="en-US" w:eastAsia="zh-Hans"/>
              </w:rPr>
            </w:pPr>
          </w:p>
        </w:tc>
        <w:tc>
          <w:tcPr>
            <w:tcW w:w="6520" w:type="dxa"/>
            <w:shd w:val="clear" w:color="auto" w:fill="auto"/>
            <w:vAlign w:val="center"/>
          </w:tcPr>
          <w:p w14:paraId="471D0DC8">
            <w:pPr>
              <w:widowControl/>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资产指纹信息梳理：投标方需</w:t>
            </w:r>
            <w:r>
              <w:rPr>
                <w:rFonts w:hint="eastAsia" w:ascii="宋体" w:hAnsi="宋体" w:eastAsia="宋体" w:cs="宋体"/>
                <w:color w:val="auto"/>
                <w:kern w:val="0"/>
                <w:sz w:val="21"/>
                <w:szCs w:val="21"/>
                <w:lang w:val="en-US" w:eastAsia="zh-Hans"/>
              </w:rPr>
              <w:t>提供服务工具辅助</w:t>
            </w:r>
            <w:r>
              <w:rPr>
                <w:rFonts w:hint="eastAsia" w:ascii="宋体" w:hAnsi="宋体" w:eastAsia="宋体" w:cs="宋体"/>
                <w:color w:val="auto"/>
                <w:kern w:val="0"/>
                <w:sz w:val="21"/>
                <w:szCs w:val="21"/>
              </w:rPr>
              <w:t>梳理信息化资产详情（含操作系统、中间件、数据库、应用框架，开发语言等指纹信息）</w:t>
            </w:r>
            <w:r>
              <w:rPr>
                <w:rFonts w:hint="default" w:ascii="宋体" w:hAnsi="宋体" w:eastAsia="宋体" w:cs="宋体"/>
                <w:color w:val="auto"/>
                <w:kern w:val="0"/>
                <w:sz w:val="21"/>
                <w:szCs w:val="21"/>
              </w:rPr>
              <w:t>，</w:t>
            </w:r>
            <w:r>
              <w:rPr>
                <w:rFonts w:hint="eastAsia" w:ascii="宋体" w:hAnsi="宋体" w:eastAsia="宋体" w:cs="宋体"/>
                <w:color w:val="auto"/>
                <w:kern w:val="0"/>
                <w:sz w:val="21"/>
                <w:szCs w:val="21"/>
              </w:rPr>
              <w:t>并将梳理的信息录入安全运营平台</w:t>
            </w:r>
          </w:p>
        </w:tc>
      </w:tr>
      <w:tr w14:paraId="75A1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DD535A1">
            <w:pPr>
              <w:widowControl/>
              <w:jc w:val="center"/>
              <w:rPr>
                <w:rFonts w:hint="default" w:ascii="宋体" w:hAnsi="宋体" w:eastAsia="宋体" w:cs="宋体"/>
                <w:b/>
                <w:color w:val="auto"/>
                <w:kern w:val="0"/>
                <w:sz w:val="21"/>
                <w:szCs w:val="21"/>
                <w:lang w:val="en-US" w:eastAsia="zh-CN"/>
              </w:rPr>
            </w:pPr>
            <w:r>
              <w:rPr>
                <w:rFonts w:hint="eastAsia" w:cs="宋体"/>
                <w:b/>
                <w:color w:val="auto"/>
                <w:kern w:val="0"/>
                <w:sz w:val="21"/>
                <w:szCs w:val="21"/>
                <w:lang w:val="en-US" w:eastAsia="zh-CN"/>
              </w:rPr>
              <w:t>4</w:t>
            </w:r>
          </w:p>
        </w:tc>
        <w:tc>
          <w:tcPr>
            <w:tcW w:w="1155" w:type="dxa"/>
            <w:vMerge w:val="restart"/>
            <w:shd w:val="clear" w:color="auto" w:fill="auto"/>
            <w:vAlign w:val="center"/>
          </w:tcPr>
          <w:p w14:paraId="67F4B657">
            <w:pPr>
              <w:widowControl/>
              <w:spacing w:line="360" w:lineRule="auto"/>
              <w:jc w:val="center"/>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Hans"/>
              </w:rPr>
              <w:t>风险监测与管控</w:t>
            </w:r>
          </w:p>
        </w:tc>
        <w:tc>
          <w:tcPr>
            <w:tcW w:w="6520" w:type="dxa"/>
            <w:shd w:val="clear" w:color="auto" w:fill="auto"/>
            <w:vAlign w:val="center"/>
          </w:tcPr>
          <w:p w14:paraId="1CAE987E">
            <w:pPr>
              <w:widowControl/>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最新漏洞预警与排查：投标方</w:t>
            </w:r>
            <w:r>
              <w:rPr>
                <w:rFonts w:hint="eastAsia" w:ascii="宋体" w:hAnsi="宋体" w:eastAsia="宋体" w:cs="宋体"/>
                <w:color w:val="auto"/>
                <w:kern w:val="0"/>
                <w:sz w:val="21"/>
                <w:szCs w:val="21"/>
                <w:lang w:val="en-US" w:eastAsia="zh-Hans"/>
              </w:rPr>
              <w:t>在攻防演习期间提供专业的威胁情报服务</w:t>
            </w:r>
            <w:r>
              <w:rPr>
                <w:rFonts w:hint="default" w:ascii="宋体" w:hAnsi="宋体" w:eastAsia="宋体" w:cs="宋体"/>
                <w:color w:val="auto"/>
                <w:kern w:val="0"/>
                <w:sz w:val="21"/>
                <w:szCs w:val="21"/>
                <w:lang w:eastAsia="zh-Hans"/>
              </w:rPr>
              <w:t>，</w:t>
            </w:r>
            <w:r>
              <w:rPr>
                <w:rFonts w:hint="eastAsia" w:ascii="宋体" w:hAnsi="宋体" w:eastAsia="宋体" w:cs="宋体"/>
                <w:color w:val="auto"/>
                <w:kern w:val="0"/>
                <w:sz w:val="21"/>
                <w:szCs w:val="21"/>
              </w:rPr>
              <w:t>实时抓取互联网最新漏洞与详细资产信息进行匹配，对最新漏洞进行预警与排查。</w:t>
            </w:r>
            <w:r>
              <w:rPr>
                <w:rFonts w:hint="eastAsia" w:ascii="宋体" w:hAnsi="宋体" w:eastAsia="宋体" w:cs="宋体"/>
                <w:color w:val="auto"/>
                <w:kern w:val="0"/>
                <w:sz w:val="21"/>
                <w:szCs w:val="21"/>
                <w:lang w:val="en-US" w:eastAsia="zh-Hans"/>
              </w:rPr>
              <w:t>应能支持对资产影响范围的自动监测与排查</w:t>
            </w:r>
          </w:p>
        </w:tc>
      </w:tr>
      <w:tr w14:paraId="2ABF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290ED4D">
            <w:pPr>
              <w:widowControl/>
              <w:jc w:val="center"/>
              <w:rPr>
                <w:rFonts w:hint="default" w:ascii="宋体" w:hAnsi="宋体" w:eastAsia="宋体" w:cs="宋体"/>
                <w:b/>
                <w:color w:val="auto"/>
                <w:kern w:val="0"/>
                <w:sz w:val="21"/>
                <w:szCs w:val="21"/>
                <w:lang w:val="en-US" w:eastAsia="zh-CN"/>
              </w:rPr>
            </w:pPr>
            <w:r>
              <w:rPr>
                <w:rFonts w:hint="eastAsia" w:cs="宋体"/>
                <w:b/>
                <w:color w:val="auto"/>
                <w:kern w:val="0"/>
                <w:sz w:val="21"/>
                <w:szCs w:val="21"/>
                <w:lang w:val="en-US" w:eastAsia="zh-CN"/>
              </w:rPr>
              <w:t>5</w:t>
            </w:r>
          </w:p>
        </w:tc>
        <w:tc>
          <w:tcPr>
            <w:tcW w:w="1155" w:type="dxa"/>
            <w:vMerge w:val="continue"/>
          </w:tcPr>
          <w:p w14:paraId="3A6EC1E0">
            <w:pPr>
              <w:widowControl/>
              <w:jc w:val="center"/>
              <w:rPr>
                <w:rFonts w:hint="eastAsia" w:ascii="宋体" w:hAnsi="宋体" w:eastAsia="宋体" w:cs="宋体"/>
                <w:b/>
                <w:color w:val="auto"/>
                <w:kern w:val="0"/>
                <w:sz w:val="21"/>
                <w:szCs w:val="21"/>
                <w:lang w:val="en-US" w:eastAsia="zh-Hans"/>
              </w:rPr>
            </w:pPr>
          </w:p>
        </w:tc>
        <w:tc>
          <w:tcPr>
            <w:tcW w:w="6520" w:type="dxa"/>
            <w:shd w:val="clear" w:color="auto" w:fill="auto"/>
            <w:vAlign w:val="center"/>
          </w:tcPr>
          <w:p w14:paraId="59C6A019">
            <w:pPr>
              <w:widowControl/>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最新漏洞处置指导：</w:t>
            </w:r>
            <w:r>
              <w:rPr>
                <w:rFonts w:hint="eastAsia" w:ascii="宋体" w:hAnsi="宋体" w:eastAsia="宋体" w:cs="宋体"/>
                <w:color w:val="auto"/>
                <w:kern w:val="0"/>
                <w:sz w:val="21"/>
                <w:szCs w:val="21"/>
                <w:lang w:val="en-US" w:eastAsia="zh-Hans"/>
              </w:rPr>
              <w:t>服务提供方</w:t>
            </w:r>
            <w:r>
              <w:rPr>
                <w:rFonts w:hint="eastAsia" w:ascii="宋体" w:hAnsi="宋体" w:eastAsia="宋体" w:cs="宋体"/>
                <w:color w:val="auto"/>
                <w:kern w:val="0"/>
                <w:sz w:val="21"/>
                <w:szCs w:val="21"/>
              </w:rPr>
              <w:t>确认漏洞影响范围后，</w:t>
            </w:r>
            <w:r>
              <w:rPr>
                <w:rFonts w:hint="eastAsia" w:ascii="宋体" w:hAnsi="宋体" w:eastAsia="宋体" w:cs="宋体"/>
                <w:color w:val="auto"/>
                <w:kern w:val="0"/>
                <w:sz w:val="21"/>
                <w:szCs w:val="21"/>
                <w:lang w:val="en-US" w:eastAsia="zh-Hans"/>
              </w:rPr>
              <w:t>应</w:t>
            </w:r>
            <w:r>
              <w:rPr>
                <w:rFonts w:hint="eastAsia" w:ascii="宋体" w:hAnsi="宋体" w:eastAsia="宋体" w:cs="宋体"/>
                <w:color w:val="auto"/>
                <w:kern w:val="0"/>
                <w:sz w:val="21"/>
                <w:szCs w:val="21"/>
              </w:rPr>
              <w:t>安全专家提供专业的处置建议，处置建议包含两部分，补丁方案以及临时规避措施</w:t>
            </w:r>
          </w:p>
        </w:tc>
      </w:tr>
      <w:tr w14:paraId="0689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8AD6D81">
            <w:pPr>
              <w:widowControl/>
              <w:jc w:val="center"/>
              <w:rPr>
                <w:rFonts w:hint="default" w:ascii="宋体" w:hAnsi="宋体" w:eastAsia="宋体" w:cs="宋体"/>
                <w:b/>
                <w:color w:val="auto"/>
                <w:kern w:val="0"/>
                <w:sz w:val="21"/>
                <w:szCs w:val="21"/>
                <w:lang w:val="en-US" w:eastAsia="zh-CN"/>
              </w:rPr>
            </w:pPr>
            <w:r>
              <w:rPr>
                <w:rFonts w:hint="eastAsia" w:cs="宋体"/>
                <w:b/>
                <w:color w:val="auto"/>
                <w:kern w:val="0"/>
                <w:sz w:val="21"/>
                <w:szCs w:val="21"/>
                <w:lang w:val="en-US" w:eastAsia="zh-CN"/>
              </w:rPr>
              <w:t>6</w:t>
            </w:r>
          </w:p>
        </w:tc>
        <w:tc>
          <w:tcPr>
            <w:tcW w:w="1155" w:type="dxa"/>
            <w:vMerge w:val="continue"/>
          </w:tcPr>
          <w:p w14:paraId="335F6CC9">
            <w:pPr>
              <w:widowControl/>
              <w:jc w:val="center"/>
              <w:rPr>
                <w:rFonts w:hint="eastAsia" w:ascii="宋体" w:hAnsi="宋体" w:eastAsia="宋体" w:cs="宋体"/>
                <w:b/>
                <w:color w:val="auto"/>
                <w:kern w:val="0"/>
                <w:sz w:val="21"/>
                <w:szCs w:val="21"/>
                <w:lang w:val="en-US" w:eastAsia="zh-Hans"/>
              </w:rPr>
            </w:pPr>
          </w:p>
        </w:tc>
        <w:tc>
          <w:tcPr>
            <w:tcW w:w="6520" w:type="dxa"/>
            <w:shd w:val="clear" w:color="auto" w:fill="auto"/>
            <w:vAlign w:val="center"/>
          </w:tcPr>
          <w:p w14:paraId="1DD15B1A">
            <w:pPr>
              <w:widowControl/>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Hans"/>
              </w:rPr>
              <w:t>威胁情报跟踪</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Hans"/>
              </w:rPr>
              <w:t>服务提供方须提供对最新漏洞威胁情报跟踪进度的可视化界面展示最新漏洞的跟踪处置过程</w:t>
            </w:r>
          </w:p>
        </w:tc>
      </w:tr>
      <w:tr w14:paraId="7A7D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AADD35B">
            <w:pPr>
              <w:widowControl/>
              <w:jc w:val="center"/>
              <w:rPr>
                <w:rFonts w:hint="default" w:ascii="宋体" w:hAnsi="宋体" w:eastAsia="宋体" w:cs="宋体"/>
                <w:b/>
                <w:color w:val="auto"/>
                <w:kern w:val="0"/>
                <w:sz w:val="21"/>
                <w:szCs w:val="21"/>
                <w:lang w:val="en-US" w:eastAsia="zh-CN"/>
              </w:rPr>
            </w:pPr>
            <w:r>
              <w:rPr>
                <w:rFonts w:hint="eastAsia" w:cs="宋体"/>
                <w:b/>
                <w:color w:val="auto"/>
                <w:kern w:val="0"/>
                <w:sz w:val="21"/>
                <w:szCs w:val="21"/>
                <w:lang w:val="en-US" w:eastAsia="zh-CN"/>
              </w:rPr>
              <w:t>7</w:t>
            </w:r>
          </w:p>
        </w:tc>
        <w:tc>
          <w:tcPr>
            <w:tcW w:w="1155" w:type="dxa"/>
            <w:vMerge w:val="restart"/>
            <w:shd w:val="clear" w:color="auto" w:fill="auto"/>
            <w:vAlign w:val="center"/>
          </w:tcPr>
          <w:p w14:paraId="4934DED1">
            <w:pPr>
              <w:widowControl/>
              <w:spacing w:line="360" w:lineRule="auto"/>
              <w:jc w:val="center"/>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Hans"/>
              </w:rPr>
              <w:t>攻防对抗</w:t>
            </w:r>
          </w:p>
        </w:tc>
        <w:tc>
          <w:tcPr>
            <w:tcW w:w="6520" w:type="dxa"/>
            <w:shd w:val="clear" w:color="auto" w:fill="auto"/>
            <w:vAlign w:val="center"/>
          </w:tcPr>
          <w:p w14:paraId="2B989A6A">
            <w:pPr>
              <w:widowControl/>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实时监测网络安全状态，</w:t>
            </w:r>
            <w:r>
              <w:rPr>
                <w:rFonts w:hint="eastAsia" w:ascii="宋体" w:hAnsi="宋体" w:eastAsia="宋体" w:cs="宋体"/>
                <w:color w:val="auto"/>
                <w:kern w:val="0"/>
                <w:sz w:val="21"/>
                <w:szCs w:val="21"/>
                <w:lang w:val="en-US" w:eastAsia="zh-Hans"/>
              </w:rPr>
              <w:t>攻防演习期间</w:t>
            </w:r>
            <w:r>
              <w:rPr>
                <w:rFonts w:hint="default" w:ascii="宋体" w:hAnsi="宋体" w:eastAsia="宋体" w:cs="宋体"/>
                <w:color w:val="auto"/>
                <w:kern w:val="0"/>
                <w:sz w:val="21"/>
                <w:szCs w:val="21"/>
                <w:lang w:eastAsia="zh-Hans"/>
              </w:rPr>
              <w:t>，</w:t>
            </w:r>
            <w:r>
              <w:rPr>
                <w:rFonts w:hint="eastAsia" w:ascii="宋体" w:hAnsi="宋体" w:eastAsia="宋体" w:cs="宋体"/>
                <w:color w:val="auto"/>
                <w:kern w:val="0"/>
                <w:sz w:val="21"/>
                <w:szCs w:val="21"/>
                <w:lang w:val="en-US" w:eastAsia="zh-Hans"/>
              </w:rPr>
              <w:t>提供安全大数据分析平台和安全运营服务平台</w:t>
            </w:r>
            <w:r>
              <w:rPr>
                <w:rFonts w:hint="default" w:ascii="宋体" w:hAnsi="宋体" w:eastAsia="宋体" w:cs="宋体"/>
                <w:color w:val="auto"/>
                <w:kern w:val="0"/>
                <w:sz w:val="21"/>
                <w:szCs w:val="21"/>
                <w:lang w:eastAsia="zh-Hans"/>
              </w:rPr>
              <w:t>，</w:t>
            </w:r>
            <w:r>
              <w:rPr>
                <w:rFonts w:hint="eastAsia" w:ascii="宋体" w:hAnsi="宋体" w:eastAsia="宋体" w:cs="宋体"/>
                <w:color w:val="auto"/>
                <w:kern w:val="0"/>
                <w:sz w:val="21"/>
                <w:szCs w:val="21"/>
              </w:rPr>
              <w:t>对攻击事件自动化生成工单，及时进行分析与预警。攻击事件包含境外黑客攻击事件、暴力破解攻击事件、持续攻击事件</w:t>
            </w:r>
            <w:r>
              <w:rPr>
                <w:rFonts w:hint="default" w:ascii="宋体" w:hAnsi="宋体" w:eastAsia="宋体" w:cs="宋体"/>
                <w:color w:val="auto"/>
                <w:kern w:val="0"/>
                <w:sz w:val="21"/>
                <w:szCs w:val="21"/>
              </w:rPr>
              <w:t>、</w:t>
            </w:r>
            <w:r>
              <w:rPr>
                <w:rFonts w:hint="eastAsia" w:ascii="宋体" w:hAnsi="宋体" w:eastAsia="宋体" w:cs="宋体"/>
                <w:color w:val="auto"/>
                <w:kern w:val="0"/>
                <w:sz w:val="21"/>
                <w:szCs w:val="21"/>
                <w:lang w:val="en-US" w:eastAsia="zh-Hans"/>
              </w:rPr>
              <w:t>高级威胁事件等</w:t>
            </w:r>
          </w:p>
        </w:tc>
      </w:tr>
      <w:tr w14:paraId="04E2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6DC8ABA">
            <w:pPr>
              <w:widowControl/>
              <w:jc w:val="center"/>
              <w:rPr>
                <w:rFonts w:hint="default" w:ascii="宋体" w:hAnsi="宋体" w:eastAsia="宋体" w:cs="宋体"/>
                <w:b/>
                <w:color w:val="auto"/>
                <w:kern w:val="0"/>
                <w:sz w:val="21"/>
                <w:szCs w:val="21"/>
                <w:lang w:val="en-US" w:eastAsia="zh-CN"/>
              </w:rPr>
            </w:pPr>
            <w:r>
              <w:rPr>
                <w:rFonts w:hint="eastAsia" w:cs="宋体"/>
                <w:b/>
                <w:color w:val="auto"/>
                <w:kern w:val="0"/>
                <w:sz w:val="21"/>
                <w:szCs w:val="21"/>
                <w:lang w:val="en-US" w:eastAsia="zh-CN"/>
              </w:rPr>
              <w:t>8</w:t>
            </w:r>
          </w:p>
        </w:tc>
        <w:tc>
          <w:tcPr>
            <w:tcW w:w="1155" w:type="dxa"/>
            <w:vMerge w:val="continue"/>
          </w:tcPr>
          <w:p w14:paraId="22B5EC1B">
            <w:pPr>
              <w:widowControl/>
              <w:jc w:val="center"/>
              <w:rPr>
                <w:rFonts w:hint="eastAsia" w:ascii="宋体" w:hAnsi="宋体" w:eastAsia="宋体" w:cs="宋体"/>
                <w:b/>
                <w:color w:val="auto"/>
                <w:kern w:val="0"/>
                <w:sz w:val="21"/>
                <w:szCs w:val="21"/>
                <w:lang w:val="en-US" w:eastAsia="zh-Hans"/>
              </w:rPr>
            </w:pPr>
          </w:p>
        </w:tc>
        <w:tc>
          <w:tcPr>
            <w:tcW w:w="6520" w:type="dxa"/>
            <w:shd w:val="clear" w:color="auto" w:fill="auto"/>
            <w:vAlign w:val="center"/>
          </w:tcPr>
          <w:p w14:paraId="3CD7A255">
            <w:pPr>
              <w:widowControl/>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Hans"/>
              </w:rPr>
              <w:t>高级安全专家威胁狩猎</w:t>
            </w:r>
            <w:r>
              <w:rPr>
                <w:rFonts w:hint="default" w:ascii="宋体" w:hAnsi="宋体" w:eastAsia="宋体" w:cs="宋体"/>
                <w:color w:val="auto"/>
                <w:kern w:val="0"/>
                <w:sz w:val="21"/>
                <w:szCs w:val="21"/>
                <w:lang w:eastAsia="zh-Hans"/>
              </w:rPr>
              <w:t>，</w:t>
            </w:r>
            <w:r>
              <w:rPr>
                <w:rFonts w:hint="eastAsia" w:ascii="宋体" w:hAnsi="宋体" w:eastAsia="宋体" w:cs="宋体"/>
                <w:color w:val="auto"/>
                <w:kern w:val="0"/>
                <w:sz w:val="21"/>
                <w:szCs w:val="21"/>
                <w:lang w:val="en-US" w:eastAsia="zh-Hans"/>
              </w:rPr>
              <w:t>提供高级安全攻防专家在线值守服务</w:t>
            </w:r>
            <w:r>
              <w:rPr>
                <w:rFonts w:hint="default" w:ascii="宋体" w:hAnsi="宋体" w:eastAsia="宋体" w:cs="宋体"/>
                <w:color w:val="auto"/>
                <w:kern w:val="0"/>
                <w:sz w:val="21"/>
                <w:szCs w:val="21"/>
                <w:lang w:eastAsia="zh-Hans"/>
              </w:rPr>
              <w:t>，</w:t>
            </w:r>
            <w:r>
              <w:rPr>
                <w:rFonts w:hint="eastAsia" w:ascii="宋体" w:hAnsi="宋体" w:eastAsia="宋体" w:cs="宋体"/>
                <w:color w:val="auto"/>
                <w:kern w:val="0"/>
                <w:sz w:val="21"/>
                <w:szCs w:val="21"/>
                <w:lang w:val="en-US" w:eastAsia="zh-Hans"/>
              </w:rPr>
              <w:t>在安全运营服务平台自动生成安全威胁工单的基础上每两个小时进行一次人工威胁狩猎</w:t>
            </w:r>
            <w:r>
              <w:rPr>
                <w:rFonts w:hint="default" w:ascii="宋体" w:hAnsi="宋体" w:eastAsia="宋体" w:cs="宋体"/>
                <w:color w:val="auto"/>
                <w:kern w:val="0"/>
                <w:sz w:val="21"/>
                <w:szCs w:val="21"/>
                <w:lang w:eastAsia="zh-Hans"/>
              </w:rPr>
              <w:t>，</w:t>
            </w:r>
            <w:r>
              <w:rPr>
                <w:rFonts w:hint="eastAsia" w:ascii="宋体" w:hAnsi="宋体" w:eastAsia="宋体" w:cs="宋体"/>
                <w:color w:val="auto"/>
                <w:kern w:val="0"/>
                <w:sz w:val="21"/>
                <w:szCs w:val="21"/>
                <w:lang w:val="en-US" w:eastAsia="zh-Hans"/>
              </w:rPr>
              <w:t>主动全面的分析全网安全日志信息</w:t>
            </w:r>
            <w:r>
              <w:rPr>
                <w:rFonts w:hint="default" w:ascii="宋体" w:hAnsi="宋体" w:eastAsia="宋体" w:cs="宋体"/>
                <w:color w:val="auto"/>
                <w:kern w:val="0"/>
                <w:sz w:val="21"/>
                <w:szCs w:val="21"/>
                <w:lang w:eastAsia="zh-Hans"/>
              </w:rPr>
              <w:t>，</w:t>
            </w:r>
            <w:r>
              <w:rPr>
                <w:rFonts w:hint="eastAsia" w:ascii="宋体" w:hAnsi="宋体" w:eastAsia="宋体" w:cs="宋体"/>
                <w:color w:val="auto"/>
                <w:kern w:val="0"/>
                <w:sz w:val="21"/>
                <w:szCs w:val="21"/>
                <w:lang w:val="en-US" w:eastAsia="zh-Hans"/>
              </w:rPr>
              <w:t>提高有效攻击事件的检出率</w:t>
            </w:r>
            <w:r>
              <w:rPr>
                <w:rFonts w:hint="default" w:ascii="宋体" w:hAnsi="宋体" w:eastAsia="宋体" w:cs="宋体"/>
                <w:color w:val="auto"/>
                <w:kern w:val="0"/>
                <w:sz w:val="21"/>
                <w:szCs w:val="21"/>
                <w:lang w:eastAsia="zh-Hans"/>
              </w:rPr>
              <w:t>，</w:t>
            </w:r>
            <w:r>
              <w:rPr>
                <w:rFonts w:hint="eastAsia" w:ascii="宋体" w:hAnsi="宋体" w:eastAsia="宋体" w:cs="宋体"/>
                <w:color w:val="auto"/>
                <w:kern w:val="0"/>
                <w:sz w:val="21"/>
                <w:szCs w:val="21"/>
                <w:lang w:val="en-US" w:eastAsia="zh-Hans"/>
              </w:rPr>
              <w:t>服务方须承诺安全攻击事件产生到发现时间</w:t>
            </w:r>
            <w:r>
              <w:rPr>
                <w:rFonts w:hint="default" w:ascii="宋体" w:hAnsi="宋体" w:eastAsia="宋体" w:cs="宋体"/>
                <w:color w:val="auto"/>
                <w:kern w:val="0"/>
                <w:sz w:val="21"/>
                <w:szCs w:val="21"/>
                <w:lang w:eastAsia="zh-Hans"/>
              </w:rPr>
              <w:t>&lt;=30</w:t>
            </w:r>
            <w:r>
              <w:rPr>
                <w:rFonts w:hint="eastAsia" w:ascii="宋体" w:hAnsi="宋体" w:eastAsia="宋体" w:cs="宋体"/>
                <w:color w:val="auto"/>
                <w:kern w:val="0"/>
                <w:sz w:val="21"/>
                <w:szCs w:val="21"/>
                <w:lang w:val="en-US" w:eastAsia="zh-Hans"/>
              </w:rPr>
              <w:t>分钟</w:t>
            </w:r>
          </w:p>
        </w:tc>
      </w:tr>
      <w:tr w14:paraId="059C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B7A9CE3">
            <w:pPr>
              <w:widowControl/>
              <w:jc w:val="center"/>
              <w:rPr>
                <w:rFonts w:hint="default" w:ascii="宋体" w:hAnsi="宋体" w:eastAsia="宋体" w:cs="宋体"/>
                <w:b/>
                <w:color w:val="auto"/>
                <w:kern w:val="0"/>
                <w:sz w:val="21"/>
                <w:szCs w:val="21"/>
                <w:lang w:val="en-US" w:eastAsia="zh-CN"/>
              </w:rPr>
            </w:pPr>
            <w:r>
              <w:rPr>
                <w:rFonts w:hint="eastAsia" w:cs="宋体"/>
                <w:b/>
                <w:color w:val="auto"/>
                <w:kern w:val="0"/>
                <w:sz w:val="21"/>
                <w:szCs w:val="21"/>
                <w:lang w:val="en-US" w:eastAsia="zh-CN"/>
              </w:rPr>
              <w:t>9</w:t>
            </w:r>
          </w:p>
        </w:tc>
        <w:tc>
          <w:tcPr>
            <w:tcW w:w="1155" w:type="dxa"/>
            <w:vMerge w:val="continue"/>
          </w:tcPr>
          <w:p w14:paraId="4038878C">
            <w:pPr>
              <w:widowControl/>
              <w:jc w:val="center"/>
              <w:rPr>
                <w:rFonts w:hint="eastAsia" w:ascii="宋体" w:hAnsi="宋体" w:eastAsia="宋体" w:cs="宋体"/>
                <w:b/>
                <w:color w:val="auto"/>
                <w:kern w:val="0"/>
                <w:sz w:val="21"/>
                <w:szCs w:val="21"/>
                <w:lang w:val="en-US" w:eastAsia="zh-Hans"/>
              </w:rPr>
            </w:pPr>
          </w:p>
        </w:tc>
        <w:tc>
          <w:tcPr>
            <w:tcW w:w="6520" w:type="dxa"/>
            <w:shd w:val="clear" w:color="auto" w:fill="auto"/>
            <w:vAlign w:val="center"/>
          </w:tcPr>
          <w:p w14:paraId="09950C26">
            <w:pPr>
              <w:widowControl/>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Hans"/>
              </w:rPr>
              <w:t>防守对抗</w:t>
            </w:r>
            <w:r>
              <w:rPr>
                <w:rFonts w:hint="default" w:ascii="宋体" w:hAnsi="宋体" w:eastAsia="宋体" w:cs="宋体"/>
                <w:color w:val="auto"/>
                <w:kern w:val="0"/>
                <w:sz w:val="21"/>
                <w:szCs w:val="21"/>
                <w:lang w:eastAsia="zh-Hans"/>
              </w:rPr>
              <w:t>：</w:t>
            </w:r>
            <w:r>
              <w:rPr>
                <w:rFonts w:hint="eastAsia" w:ascii="宋体" w:hAnsi="宋体" w:eastAsia="宋体" w:cs="宋体"/>
                <w:color w:val="auto"/>
                <w:kern w:val="0"/>
                <w:sz w:val="21"/>
                <w:szCs w:val="21"/>
                <w:lang w:val="en-US" w:eastAsia="zh-Hans"/>
              </w:rPr>
              <w:t>服务提供方须提供高级安全专家</w:t>
            </w:r>
            <w:r>
              <w:rPr>
                <w:rFonts w:hint="eastAsia" w:ascii="宋体" w:hAnsi="宋体" w:eastAsia="宋体" w:cs="宋体"/>
                <w:color w:val="auto"/>
                <w:kern w:val="0"/>
                <w:sz w:val="21"/>
                <w:szCs w:val="21"/>
              </w:rPr>
              <w:t>对</w:t>
            </w:r>
            <w:r>
              <w:rPr>
                <w:rFonts w:hint="eastAsia" w:ascii="宋体" w:hAnsi="宋体" w:eastAsia="宋体" w:cs="宋体"/>
                <w:color w:val="auto"/>
                <w:kern w:val="0"/>
                <w:sz w:val="21"/>
                <w:szCs w:val="21"/>
                <w:lang w:val="en-US" w:eastAsia="zh-Hans"/>
              </w:rPr>
              <w:t>发现的安全攻击行为进行快速的源</w:t>
            </w:r>
            <w:r>
              <w:rPr>
                <w:rFonts w:hint="default" w:ascii="宋体" w:hAnsi="宋体" w:eastAsia="宋体" w:cs="宋体"/>
                <w:color w:val="auto"/>
                <w:kern w:val="0"/>
                <w:sz w:val="21"/>
                <w:szCs w:val="21"/>
                <w:lang w:eastAsia="zh-Hans"/>
              </w:rPr>
              <w:t>IP</w:t>
            </w:r>
            <w:r>
              <w:rPr>
                <w:rFonts w:hint="eastAsia" w:ascii="宋体" w:hAnsi="宋体" w:eastAsia="宋体" w:cs="宋体"/>
                <w:color w:val="auto"/>
                <w:kern w:val="0"/>
                <w:sz w:val="21"/>
                <w:szCs w:val="21"/>
                <w:lang w:val="en-US" w:eastAsia="zh-Hans"/>
              </w:rPr>
              <w:t>封锁或行为规则封锁</w:t>
            </w:r>
            <w:r>
              <w:rPr>
                <w:rFonts w:hint="default" w:ascii="宋体" w:hAnsi="宋体" w:eastAsia="宋体" w:cs="宋体"/>
                <w:color w:val="auto"/>
                <w:kern w:val="0"/>
                <w:sz w:val="21"/>
                <w:szCs w:val="21"/>
                <w:lang w:eastAsia="zh-Hans"/>
              </w:rPr>
              <w:t>，</w:t>
            </w:r>
            <w:r>
              <w:rPr>
                <w:rFonts w:hint="eastAsia" w:ascii="宋体" w:hAnsi="宋体" w:eastAsia="宋体" w:cs="宋体"/>
                <w:color w:val="auto"/>
                <w:kern w:val="0"/>
                <w:sz w:val="21"/>
                <w:szCs w:val="21"/>
                <w:lang w:val="en-US" w:eastAsia="zh-Hans"/>
              </w:rPr>
              <w:t>同时对</w:t>
            </w:r>
            <w:r>
              <w:rPr>
                <w:rFonts w:hint="eastAsia" w:ascii="宋体" w:hAnsi="宋体" w:eastAsia="宋体" w:cs="宋体"/>
                <w:color w:val="auto"/>
                <w:kern w:val="0"/>
                <w:sz w:val="21"/>
                <w:szCs w:val="21"/>
              </w:rPr>
              <w:t>安全组件上的安全策略进行</w:t>
            </w:r>
            <w:r>
              <w:rPr>
                <w:rFonts w:hint="eastAsia" w:ascii="宋体" w:hAnsi="宋体" w:eastAsia="宋体" w:cs="宋体"/>
                <w:color w:val="auto"/>
                <w:kern w:val="0"/>
                <w:sz w:val="21"/>
                <w:szCs w:val="21"/>
                <w:lang w:val="en-US" w:eastAsia="zh-Hans"/>
              </w:rPr>
              <w:t>动态调优工作</w:t>
            </w:r>
            <w:r>
              <w:rPr>
                <w:rFonts w:hint="eastAsia" w:ascii="宋体" w:hAnsi="宋体" w:eastAsia="宋体" w:cs="宋体"/>
                <w:color w:val="auto"/>
                <w:kern w:val="0"/>
                <w:sz w:val="21"/>
                <w:szCs w:val="21"/>
              </w:rPr>
              <w:t>，确保安全组件上的安全策略始终处于最优水平，</w:t>
            </w:r>
            <w:r>
              <w:rPr>
                <w:rFonts w:hint="eastAsia" w:ascii="宋体" w:hAnsi="宋体" w:eastAsia="宋体" w:cs="宋体"/>
                <w:color w:val="auto"/>
                <w:kern w:val="0"/>
                <w:sz w:val="21"/>
                <w:szCs w:val="21"/>
                <w:lang w:val="en-US" w:eastAsia="zh-Hans"/>
              </w:rPr>
              <w:t>实时动态的抵御攻击方的攻击行为</w:t>
            </w:r>
          </w:p>
        </w:tc>
      </w:tr>
      <w:tr w14:paraId="3620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70CB409">
            <w:pPr>
              <w:widowControl/>
              <w:jc w:val="center"/>
              <w:rPr>
                <w:rFonts w:hint="default" w:ascii="宋体" w:hAnsi="宋体" w:eastAsia="宋体" w:cs="宋体"/>
                <w:b/>
                <w:color w:val="auto"/>
                <w:kern w:val="0"/>
                <w:sz w:val="21"/>
                <w:szCs w:val="21"/>
                <w:lang w:val="en-US" w:eastAsia="zh-CN"/>
              </w:rPr>
            </w:pPr>
            <w:r>
              <w:rPr>
                <w:rFonts w:hint="eastAsia" w:cs="宋体"/>
                <w:b/>
                <w:color w:val="auto"/>
                <w:kern w:val="0"/>
                <w:sz w:val="21"/>
                <w:szCs w:val="21"/>
                <w:lang w:val="en-US" w:eastAsia="zh-CN"/>
              </w:rPr>
              <w:t>10</w:t>
            </w:r>
          </w:p>
        </w:tc>
        <w:tc>
          <w:tcPr>
            <w:tcW w:w="1155" w:type="dxa"/>
            <w:vMerge w:val="restart"/>
            <w:shd w:val="clear" w:color="auto" w:fill="auto"/>
            <w:vAlign w:val="center"/>
          </w:tcPr>
          <w:p w14:paraId="68AAEDAA">
            <w:pPr>
              <w:widowControl/>
              <w:spacing w:line="360" w:lineRule="auto"/>
              <w:jc w:val="center"/>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rPr>
              <w:t>事件</w:t>
            </w:r>
            <w:r>
              <w:rPr>
                <w:rFonts w:hint="eastAsia" w:ascii="宋体" w:hAnsi="宋体" w:eastAsia="宋体" w:cs="宋体"/>
                <w:color w:val="auto"/>
                <w:kern w:val="0"/>
                <w:sz w:val="21"/>
                <w:szCs w:val="21"/>
                <w:lang w:val="en-US" w:eastAsia="zh-Hans"/>
              </w:rPr>
              <w:t>监测与响应</w:t>
            </w:r>
          </w:p>
        </w:tc>
        <w:tc>
          <w:tcPr>
            <w:tcW w:w="6520" w:type="dxa"/>
            <w:shd w:val="clear" w:color="auto" w:fill="auto"/>
            <w:vAlign w:val="center"/>
          </w:tcPr>
          <w:p w14:paraId="3F5A16C5">
            <w:pPr>
              <w:widowControl/>
              <w:spacing w:line="360" w:lineRule="auto"/>
              <w:jc w:val="left"/>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rPr>
              <w:t>基于主动响应和被动响应流程，对页面篡改、通报、断网、webshell、黑链等各类严重安全事件进行紧急响应和处置的解决方案</w:t>
            </w:r>
          </w:p>
        </w:tc>
      </w:tr>
      <w:tr w14:paraId="199D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3D3887D">
            <w:pPr>
              <w:widowControl/>
              <w:jc w:val="center"/>
              <w:rPr>
                <w:rFonts w:hint="default" w:ascii="宋体" w:hAnsi="宋体" w:eastAsia="宋体" w:cs="宋体"/>
                <w:b/>
                <w:color w:val="auto"/>
                <w:kern w:val="0"/>
                <w:sz w:val="21"/>
                <w:szCs w:val="21"/>
                <w:lang w:val="en-US" w:eastAsia="zh-CN"/>
              </w:rPr>
            </w:pPr>
            <w:r>
              <w:rPr>
                <w:rFonts w:hint="eastAsia" w:cs="宋体"/>
                <w:b/>
                <w:color w:val="auto"/>
                <w:kern w:val="0"/>
                <w:sz w:val="21"/>
                <w:szCs w:val="21"/>
                <w:lang w:val="en-US" w:eastAsia="zh-CN"/>
              </w:rPr>
              <w:t>11</w:t>
            </w:r>
          </w:p>
        </w:tc>
        <w:tc>
          <w:tcPr>
            <w:tcW w:w="1155" w:type="dxa"/>
            <w:vMerge w:val="continue"/>
          </w:tcPr>
          <w:p w14:paraId="1371FF22">
            <w:pPr>
              <w:widowControl/>
              <w:jc w:val="center"/>
              <w:rPr>
                <w:rFonts w:hint="eastAsia" w:ascii="宋体" w:hAnsi="宋体" w:eastAsia="宋体" w:cs="宋体"/>
                <w:b/>
                <w:color w:val="auto"/>
                <w:kern w:val="0"/>
                <w:sz w:val="21"/>
                <w:szCs w:val="21"/>
                <w:lang w:val="en-US" w:eastAsia="zh-Hans"/>
              </w:rPr>
            </w:pPr>
          </w:p>
        </w:tc>
        <w:tc>
          <w:tcPr>
            <w:tcW w:w="6520" w:type="dxa"/>
            <w:shd w:val="clear" w:color="auto" w:fill="auto"/>
            <w:vAlign w:val="center"/>
          </w:tcPr>
          <w:p w14:paraId="5DDB4A05">
            <w:pPr>
              <w:widowControl/>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实时针对异常流量分析、攻击日志和病毒日志分析，经过海量数据脱敏、聚合发现安全事件</w:t>
            </w:r>
          </w:p>
        </w:tc>
      </w:tr>
      <w:tr w14:paraId="6D77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38E78D1">
            <w:pPr>
              <w:widowControl/>
              <w:jc w:val="center"/>
              <w:rPr>
                <w:rFonts w:hint="default" w:ascii="宋体" w:hAnsi="宋体" w:eastAsia="宋体" w:cs="宋体"/>
                <w:b/>
                <w:color w:val="auto"/>
                <w:kern w:val="0"/>
                <w:sz w:val="21"/>
                <w:szCs w:val="21"/>
                <w:lang w:val="en-US" w:eastAsia="zh-CN"/>
              </w:rPr>
            </w:pPr>
            <w:r>
              <w:rPr>
                <w:rFonts w:hint="eastAsia" w:cs="宋体"/>
                <w:b/>
                <w:color w:val="auto"/>
                <w:kern w:val="0"/>
                <w:sz w:val="21"/>
                <w:szCs w:val="21"/>
                <w:lang w:val="en-US" w:eastAsia="zh-CN"/>
              </w:rPr>
              <w:t>12</w:t>
            </w:r>
          </w:p>
        </w:tc>
        <w:tc>
          <w:tcPr>
            <w:tcW w:w="1155" w:type="dxa"/>
            <w:vMerge w:val="continue"/>
          </w:tcPr>
          <w:p w14:paraId="0DF6970B">
            <w:pPr>
              <w:widowControl/>
              <w:jc w:val="center"/>
              <w:rPr>
                <w:rFonts w:hint="eastAsia" w:ascii="宋体" w:hAnsi="宋体" w:eastAsia="宋体" w:cs="宋体"/>
                <w:b/>
                <w:color w:val="auto"/>
                <w:kern w:val="0"/>
                <w:sz w:val="21"/>
                <w:szCs w:val="21"/>
                <w:lang w:val="en-US" w:eastAsia="zh-Hans"/>
              </w:rPr>
            </w:pPr>
          </w:p>
        </w:tc>
        <w:tc>
          <w:tcPr>
            <w:tcW w:w="6520" w:type="dxa"/>
            <w:shd w:val="clear" w:color="auto" w:fill="auto"/>
            <w:vAlign w:val="center"/>
          </w:tcPr>
          <w:p w14:paraId="7F4901AC">
            <w:pPr>
              <w:widowControl/>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针对分析</w:t>
            </w:r>
            <w:r>
              <w:rPr>
                <w:rFonts w:hint="eastAsia" w:ascii="宋体" w:hAnsi="宋体" w:eastAsia="宋体" w:cs="宋体"/>
                <w:color w:val="auto"/>
                <w:kern w:val="0"/>
                <w:sz w:val="21"/>
                <w:szCs w:val="21"/>
                <w:lang w:val="en-US" w:eastAsia="zh-Hans"/>
              </w:rPr>
              <w:t>发现的入侵成功的</w:t>
            </w:r>
            <w:r>
              <w:rPr>
                <w:rFonts w:hint="eastAsia" w:ascii="宋体" w:hAnsi="宋体" w:eastAsia="宋体" w:cs="宋体"/>
                <w:color w:val="auto"/>
                <w:kern w:val="0"/>
                <w:sz w:val="21"/>
                <w:szCs w:val="21"/>
              </w:rPr>
              <w:t>安全事件，通过工具和方法对恶意文件、代码进行根除，帮助</w:t>
            </w:r>
            <w:r>
              <w:rPr>
                <w:rFonts w:hint="eastAsia" w:ascii="宋体" w:hAnsi="宋体" w:eastAsia="宋体" w:cs="宋体"/>
                <w:color w:val="auto"/>
                <w:kern w:val="0"/>
                <w:sz w:val="21"/>
                <w:szCs w:val="21"/>
                <w:lang w:val="en-US" w:eastAsia="zh-Hans"/>
              </w:rPr>
              <w:t>用户</w:t>
            </w:r>
            <w:r>
              <w:rPr>
                <w:rFonts w:hint="eastAsia" w:ascii="宋体" w:hAnsi="宋体" w:eastAsia="宋体" w:cs="宋体"/>
                <w:color w:val="auto"/>
                <w:kern w:val="0"/>
                <w:sz w:val="21"/>
                <w:szCs w:val="21"/>
              </w:rPr>
              <w:t>快速恢复业务，消除或减轻影响</w:t>
            </w:r>
          </w:p>
        </w:tc>
      </w:tr>
      <w:tr w14:paraId="0645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04B7E35">
            <w:pPr>
              <w:widowControl/>
              <w:jc w:val="center"/>
              <w:rPr>
                <w:rFonts w:hint="default" w:ascii="宋体" w:hAnsi="宋体" w:eastAsia="宋体" w:cs="宋体"/>
                <w:b/>
                <w:color w:val="auto"/>
                <w:kern w:val="0"/>
                <w:sz w:val="21"/>
                <w:szCs w:val="21"/>
                <w:lang w:val="en-US" w:eastAsia="zh-CN"/>
              </w:rPr>
            </w:pPr>
            <w:r>
              <w:rPr>
                <w:rFonts w:hint="eastAsia" w:cs="宋体"/>
                <w:b/>
                <w:color w:val="auto"/>
                <w:kern w:val="0"/>
                <w:sz w:val="21"/>
                <w:szCs w:val="21"/>
                <w:lang w:val="en-US" w:eastAsia="zh-CN"/>
              </w:rPr>
              <w:t>13</w:t>
            </w:r>
          </w:p>
        </w:tc>
        <w:tc>
          <w:tcPr>
            <w:tcW w:w="1155" w:type="dxa"/>
            <w:vMerge w:val="continue"/>
          </w:tcPr>
          <w:p w14:paraId="247D782A">
            <w:pPr>
              <w:widowControl/>
              <w:jc w:val="center"/>
              <w:rPr>
                <w:rFonts w:hint="eastAsia" w:ascii="宋体" w:hAnsi="宋体" w:eastAsia="宋体" w:cs="宋体"/>
                <w:b/>
                <w:color w:val="auto"/>
                <w:kern w:val="0"/>
                <w:sz w:val="21"/>
                <w:szCs w:val="21"/>
                <w:lang w:val="en-US" w:eastAsia="zh-Hans"/>
              </w:rPr>
            </w:pPr>
          </w:p>
        </w:tc>
        <w:tc>
          <w:tcPr>
            <w:tcW w:w="6520" w:type="dxa"/>
            <w:shd w:val="clear" w:color="auto" w:fill="auto"/>
            <w:vAlign w:val="center"/>
          </w:tcPr>
          <w:p w14:paraId="4BE6572C">
            <w:pPr>
              <w:widowControl/>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入侵影响抑制：通过事件检测分析，提供抑制手段，降低入侵影响，协助快速恢复业务</w:t>
            </w:r>
          </w:p>
        </w:tc>
      </w:tr>
      <w:tr w14:paraId="36D2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F041609">
            <w:pPr>
              <w:widowControl/>
              <w:jc w:val="center"/>
              <w:rPr>
                <w:rFonts w:hint="default" w:ascii="宋体" w:hAnsi="宋体" w:eastAsia="宋体" w:cs="宋体"/>
                <w:b/>
                <w:color w:val="auto"/>
                <w:kern w:val="0"/>
                <w:sz w:val="21"/>
                <w:szCs w:val="21"/>
                <w:lang w:val="en-US" w:eastAsia="zh-CN"/>
              </w:rPr>
            </w:pPr>
            <w:r>
              <w:rPr>
                <w:rFonts w:hint="eastAsia" w:cs="宋体"/>
                <w:b/>
                <w:color w:val="auto"/>
                <w:kern w:val="0"/>
                <w:sz w:val="21"/>
                <w:szCs w:val="21"/>
                <w:lang w:val="en-US" w:eastAsia="zh-CN"/>
              </w:rPr>
              <w:t>14</w:t>
            </w:r>
          </w:p>
        </w:tc>
        <w:tc>
          <w:tcPr>
            <w:tcW w:w="1155" w:type="dxa"/>
            <w:vMerge w:val="continue"/>
          </w:tcPr>
          <w:p w14:paraId="013C3A27">
            <w:pPr>
              <w:widowControl/>
              <w:jc w:val="center"/>
              <w:rPr>
                <w:rFonts w:hint="eastAsia" w:ascii="宋体" w:hAnsi="宋体" w:eastAsia="宋体" w:cs="宋体"/>
                <w:b/>
                <w:color w:val="auto"/>
                <w:kern w:val="0"/>
                <w:sz w:val="21"/>
                <w:szCs w:val="21"/>
                <w:lang w:val="en-US" w:eastAsia="zh-Hans"/>
              </w:rPr>
            </w:pPr>
          </w:p>
        </w:tc>
        <w:tc>
          <w:tcPr>
            <w:tcW w:w="6520" w:type="dxa"/>
            <w:shd w:val="clear" w:color="auto" w:fill="auto"/>
            <w:vAlign w:val="center"/>
          </w:tcPr>
          <w:p w14:paraId="6089DE4B">
            <w:pPr>
              <w:widowControl/>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加固建议指导：结合现有安全防御体系，指导用户进行安全加固、提供整改建议、防止再次入侵</w:t>
            </w:r>
          </w:p>
        </w:tc>
      </w:tr>
    </w:tbl>
    <w:p w14:paraId="55C4D352">
      <w:pPr>
        <w:rPr>
          <w:rFonts w:hint="eastAsia"/>
          <w:sz w:val="21"/>
          <w:szCs w:val="21"/>
        </w:rPr>
      </w:pPr>
    </w:p>
    <w:p w14:paraId="06FAD22D">
      <w:pPr>
        <w:pStyle w:val="5"/>
        <w:bidi w:val="0"/>
        <w:rPr>
          <w:rFonts w:hint="eastAsia"/>
          <w:sz w:val="21"/>
          <w:szCs w:val="21"/>
        </w:rPr>
      </w:pPr>
      <w:r>
        <w:rPr>
          <w:rFonts w:hint="eastAsia"/>
          <w:sz w:val="21"/>
          <w:szCs w:val="21"/>
        </w:rPr>
        <w:t>XDR+MSS安服</w:t>
      </w:r>
    </w:p>
    <w:p w14:paraId="48B02553">
      <w:pPr>
        <w:pStyle w:val="6"/>
        <w:bidi w:val="0"/>
        <w:rPr>
          <w:rFonts w:hint="eastAsia"/>
          <w:sz w:val="21"/>
          <w:szCs w:val="21"/>
        </w:rPr>
      </w:pPr>
      <w:r>
        <w:rPr>
          <w:rFonts w:hint="eastAsia"/>
          <w:sz w:val="21"/>
          <w:szCs w:val="21"/>
          <w:lang w:val="en-US" w:eastAsia="zh-CN"/>
        </w:rPr>
        <w:t>分布式XDR运营平台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237"/>
        <w:gridCol w:w="6229"/>
      </w:tblGrid>
      <w:tr w14:paraId="690D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top"/>
          </w:tcPr>
          <w:p w14:paraId="2026C47F">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
                <w:color w:val="auto"/>
                <w:kern w:val="0"/>
                <w:sz w:val="21"/>
                <w:szCs w:val="21"/>
                <w:lang w:val="en-US" w:eastAsia="zh-CN"/>
              </w:rPr>
              <w:t>序号</w:t>
            </w:r>
          </w:p>
        </w:tc>
        <w:tc>
          <w:tcPr>
            <w:tcW w:w="1237" w:type="dxa"/>
            <w:shd w:val="clear" w:color="auto" w:fill="auto"/>
            <w:vAlign w:val="top"/>
          </w:tcPr>
          <w:p w14:paraId="3AD4BE9D">
            <w:pPr>
              <w:widowControl/>
              <w:jc w:val="center"/>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Hans"/>
              </w:rPr>
              <w:t>技术</w:t>
            </w:r>
            <w:r>
              <w:rPr>
                <w:rFonts w:hint="eastAsia" w:ascii="宋体" w:hAnsi="宋体" w:eastAsia="宋体" w:cs="宋体"/>
                <w:b/>
                <w:color w:val="auto"/>
                <w:kern w:val="0"/>
                <w:sz w:val="21"/>
                <w:szCs w:val="21"/>
                <w:lang w:val="en-US" w:eastAsia="zh-CN"/>
              </w:rPr>
              <w:t>指标</w:t>
            </w:r>
          </w:p>
        </w:tc>
        <w:tc>
          <w:tcPr>
            <w:tcW w:w="6229" w:type="dxa"/>
            <w:shd w:val="clear" w:color="auto" w:fill="auto"/>
            <w:vAlign w:val="top"/>
          </w:tcPr>
          <w:p w14:paraId="4F7E4AFC">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
                <w:color w:val="auto"/>
                <w:kern w:val="0"/>
                <w:sz w:val="21"/>
                <w:szCs w:val="21"/>
              </w:rPr>
              <w:t>指标要求</w:t>
            </w:r>
          </w:p>
        </w:tc>
      </w:tr>
      <w:tr w14:paraId="1B60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0CF4CB00">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237" w:type="dxa"/>
            <w:vMerge w:val="restart"/>
            <w:shd w:val="clear" w:color="auto" w:fill="auto"/>
            <w:vAlign w:val="center"/>
          </w:tcPr>
          <w:p w14:paraId="0CF55E2E">
            <w:pPr>
              <w:widowControl/>
              <w:spacing w:line="360" w:lineRule="auto"/>
              <w:jc w:val="both"/>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Hans"/>
              </w:rPr>
              <w:t>监控总览</w:t>
            </w:r>
          </w:p>
        </w:tc>
        <w:tc>
          <w:tcPr>
            <w:tcW w:w="6229" w:type="dxa"/>
            <w:shd w:val="clear" w:color="auto" w:fill="auto"/>
            <w:vAlign w:val="center"/>
          </w:tcPr>
          <w:p w14:paraId="740F3518">
            <w:pPr>
              <w:widowControl/>
              <w:spacing w:line="360" w:lineRule="auto"/>
              <w:jc w:val="both"/>
              <w:rPr>
                <w:rFonts w:hint="eastAsia" w:ascii="宋体" w:hAnsi="宋体" w:eastAsia="宋体" w:cs="宋体"/>
                <w:color w:val="auto"/>
                <w:kern w:val="0"/>
                <w:sz w:val="21"/>
                <w:szCs w:val="21"/>
                <w:lang w:val="en-US" w:eastAsia="zh-CN" w:bidi="ar-SA"/>
              </w:rPr>
            </w:pPr>
            <w:r>
              <w:rPr>
                <w:b w:val="0"/>
                <w:i w:val="0"/>
                <w:strike w:val="0"/>
                <w:spacing w:val="0"/>
                <w:sz w:val="21"/>
                <w:szCs w:val="21"/>
                <w:u w:val="none"/>
              </w:rPr>
              <w:t>支持首页按日、周、月、半年以及自定义时间周期展示安全运营工作概览，包括待处置事件、风险资产、待处置高修复优先级漏洞和待处置工单等待办事项统计，且支持基于资产安全事件和脆弱性，工单进行综合评分，按照优、良、中、差等进行评分。支持统计风险处理次数及平台运维天数情况，并滚动展示事件处置数、事件处置率、遏制恶意域名、提效时长、处置文件数、遏制黑客IP、工单处置指数、防护风险资产、组件接入评估等详细数据。</w:t>
            </w:r>
          </w:p>
        </w:tc>
      </w:tr>
      <w:tr w14:paraId="26CB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0686AB2A">
            <w:pPr>
              <w:keepNext w:val="0"/>
              <w:keepLines w:val="0"/>
              <w:widowControl/>
              <w:suppressLineNumbers w:val="0"/>
              <w:jc w:val="center"/>
              <w:textAlignment w:val="center"/>
              <w:rPr>
                <w:rFonts w:hint="default" w:ascii="宋体" w:hAnsi="宋体" w:eastAsia="宋体" w:cs="宋体"/>
                <w:b/>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237" w:type="dxa"/>
            <w:vMerge w:val="continue"/>
          </w:tcPr>
          <w:p w14:paraId="7BCE18D3">
            <w:pPr>
              <w:widowControl/>
              <w:jc w:val="center"/>
              <w:rPr>
                <w:rFonts w:hint="eastAsia" w:ascii="宋体" w:hAnsi="宋体" w:eastAsia="宋体" w:cs="宋体"/>
                <w:b/>
                <w:color w:val="auto"/>
                <w:kern w:val="0"/>
                <w:sz w:val="21"/>
                <w:szCs w:val="21"/>
                <w:lang w:val="en-US" w:eastAsia="zh-Hans"/>
              </w:rPr>
            </w:pPr>
          </w:p>
        </w:tc>
        <w:tc>
          <w:tcPr>
            <w:tcW w:w="6229" w:type="dxa"/>
            <w:shd w:val="clear" w:color="auto" w:fill="auto"/>
            <w:vAlign w:val="center"/>
          </w:tcPr>
          <w:p w14:paraId="6B79E1EC">
            <w:pPr>
              <w:widowControl/>
              <w:spacing w:line="360" w:lineRule="auto"/>
              <w:jc w:val="both"/>
              <w:rPr>
                <w:rFonts w:hint="eastAsia" w:ascii="宋体" w:hAnsi="宋体" w:eastAsia="宋体" w:cs="宋体"/>
                <w:color w:val="auto"/>
                <w:kern w:val="0"/>
                <w:sz w:val="21"/>
                <w:szCs w:val="21"/>
                <w:lang w:val="en-US" w:eastAsia="zh-CN" w:bidi="ar-SA"/>
              </w:rPr>
            </w:pPr>
            <w:r>
              <w:rPr>
                <w:b w:val="0"/>
                <w:i w:val="0"/>
                <w:strike w:val="0"/>
                <w:spacing w:val="0"/>
                <w:sz w:val="21"/>
                <w:szCs w:val="21"/>
                <w:u w:val="none"/>
                <w:shd w:val="clear" w:color="auto" w:fill="auto"/>
              </w:rPr>
              <w:t>支持以脆弱性概览、脆弱性资产TOP5、资产体检三大视角分别展示平台风险管理情况。脆弱性概览展示高修复优先级漏洞数/漏洞总数、高修复优先级弱密码/弱密码总数的统计情况，并对影响资产数TOP5的漏洞、弱密码进行统计展示。支持切换全部资产、服务器资产、终端资产及其他资产视角，以柱状图形式展示TOP5风险资产的高可利用漏洞及弱密码数据。根据资产体检结果，按严重、高危、中危、低危、安全及未知的风险等级展示风险资产，以资产视角统计不同资产的事件数、漏洞数、弱密码数及风险工具情况</w:t>
            </w:r>
          </w:p>
        </w:tc>
      </w:tr>
      <w:tr w14:paraId="01C2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39A6946A">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237" w:type="dxa"/>
            <w:vMerge w:val="restart"/>
            <w:shd w:val="clear" w:color="auto" w:fill="auto"/>
            <w:vAlign w:val="center"/>
          </w:tcPr>
          <w:p w14:paraId="2FFA00E0">
            <w:pPr>
              <w:widowControl/>
              <w:spacing w:line="360" w:lineRule="auto"/>
              <w:jc w:val="both"/>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CN"/>
              </w:rPr>
              <w:t>报表</w:t>
            </w:r>
          </w:p>
        </w:tc>
        <w:tc>
          <w:tcPr>
            <w:tcW w:w="6229" w:type="dxa"/>
            <w:shd w:val="clear" w:color="auto" w:fill="auto"/>
            <w:vAlign w:val="center"/>
          </w:tcPr>
          <w:p w14:paraId="1BFFC1B5">
            <w:pPr>
              <w:widowControl/>
              <w:spacing w:line="360" w:lineRule="auto"/>
              <w:jc w:val="both"/>
              <w:rPr>
                <w:rFonts w:hint="default" w:ascii="宋体" w:hAnsi="宋体" w:cs="宋体" w:eastAsiaTheme="minorEastAsia"/>
                <w:b w:val="0"/>
                <w:i w:val="0"/>
                <w:strike w:val="0"/>
                <w:spacing w:val="0"/>
                <w:sz w:val="21"/>
                <w:szCs w:val="21"/>
                <w:u w:val="none"/>
                <w:shd w:val="clear" w:color="auto" w:fill="auto"/>
                <w:lang w:val="en-US" w:eastAsia="zh-CN" w:bidi="ar-SA"/>
              </w:rPr>
            </w:pPr>
            <w:r>
              <w:rPr>
                <w:rFonts w:hint="eastAsia"/>
                <w:b w:val="0"/>
                <w:i w:val="0"/>
                <w:strike w:val="0"/>
                <w:spacing w:val="0"/>
                <w:sz w:val="21"/>
                <w:szCs w:val="21"/>
                <w:u w:val="none"/>
                <w:lang w:val="en-US" w:eastAsia="zh-CN"/>
              </w:rPr>
              <w:t>△</w:t>
            </w:r>
            <w:r>
              <w:rPr>
                <w:b w:val="0"/>
                <w:i w:val="0"/>
                <w:strike w:val="0"/>
                <w:spacing w:val="0"/>
                <w:sz w:val="21"/>
                <w:szCs w:val="21"/>
                <w:u w:val="none"/>
              </w:rPr>
              <w:t>支持以PPT格式导出安全运营态势报告，内容涵盖平台总览、安全事件态势、安全告警态势和脆弱性态势四个维度，其中平台总览包括安全总览、自有组件接入，安全事件态势包括告警</w:t>
            </w:r>
            <w:r>
              <w:rPr>
                <w:i w:val="0"/>
                <w:strike w:val="0"/>
                <w:spacing w:val="0"/>
                <w:sz w:val="21"/>
                <w:szCs w:val="21"/>
                <w:u w:val="none"/>
              </w:rPr>
              <w:t>消减效果</w:t>
            </w:r>
            <w:r>
              <w:rPr>
                <w:b w:val="0"/>
                <w:i w:val="0"/>
                <w:strike w:val="0"/>
                <w:spacing w:val="0"/>
                <w:sz w:val="21"/>
                <w:szCs w:val="21"/>
                <w:u w:val="none"/>
              </w:rPr>
              <w:t>、安全事件发生态势、安全事件分布、精准事件解读、安全事件处置、风险主机概览，安全告警态势包括安全告警分布、外部攻击态势，脆弱性态势包括脆弱性概览等</w:t>
            </w:r>
            <w:r>
              <w:rPr>
                <w:rFonts w:hint="eastAsia"/>
                <w:b w:val="0"/>
                <w:i w:val="0"/>
                <w:strike w:val="0"/>
                <w:spacing w:val="0"/>
                <w:sz w:val="21"/>
                <w:szCs w:val="21"/>
                <w:u w:val="none"/>
                <w:lang w:eastAsia="zh-CN"/>
              </w:rPr>
              <w:t>。</w:t>
            </w:r>
            <w:r>
              <w:rPr>
                <w:rFonts w:hint="eastAsia"/>
                <w:b w:val="0"/>
                <w:i w:val="0"/>
                <w:strike w:val="0"/>
                <w:color w:val="auto"/>
                <w:spacing w:val="0"/>
                <w:sz w:val="21"/>
                <w:szCs w:val="21"/>
                <w:u w:val="none"/>
                <w:lang w:eastAsia="zh-CN"/>
              </w:rPr>
              <w:t>提供产品功能</w:t>
            </w:r>
            <w:r>
              <w:rPr>
                <w:rFonts w:hint="eastAsia"/>
                <w:b w:val="0"/>
                <w:i w:val="0"/>
                <w:strike w:val="0"/>
                <w:color w:val="auto"/>
                <w:spacing w:val="0"/>
                <w:sz w:val="21"/>
                <w:szCs w:val="21"/>
                <w:u w:val="none"/>
                <w:lang w:val="en-US" w:eastAsia="zh-CN"/>
              </w:rPr>
              <w:t>截图</w:t>
            </w:r>
            <w:r>
              <w:rPr>
                <w:rFonts w:hint="eastAsia"/>
                <w:b w:val="0"/>
                <w:i w:val="0"/>
                <w:strike w:val="0"/>
                <w:color w:val="auto"/>
                <w:spacing w:val="0"/>
                <w:sz w:val="21"/>
                <w:szCs w:val="21"/>
                <w:u w:val="none"/>
                <w:lang w:eastAsia="zh-CN"/>
              </w:rPr>
              <w:t>证明</w:t>
            </w:r>
            <w:r>
              <w:rPr>
                <w:rFonts w:hint="eastAsia"/>
                <w:b w:val="0"/>
                <w:i w:val="0"/>
                <w:strike w:val="0"/>
                <w:color w:val="auto"/>
                <w:spacing w:val="0"/>
                <w:sz w:val="21"/>
                <w:szCs w:val="21"/>
                <w:u w:val="none"/>
                <w:lang w:val="en-US" w:eastAsia="zh-CN"/>
              </w:rPr>
              <w:t>材料</w:t>
            </w:r>
          </w:p>
        </w:tc>
      </w:tr>
      <w:tr w14:paraId="05F0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134E5BC6">
            <w:pPr>
              <w:keepNext w:val="0"/>
              <w:keepLines w:val="0"/>
              <w:widowControl/>
              <w:suppressLineNumbers w:val="0"/>
              <w:jc w:val="center"/>
              <w:textAlignment w:val="center"/>
              <w:rPr>
                <w:rFonts w:hint="default" w:ascii="宋体" w:hAnsi="宋体" w:eastAsia="宋体" w:cs="宋体"/>
                <w:b/>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237" w:type="dxa"/>
            <w:vMerge w:val="continue"/>
          </w:tcPr>
          <w:p w14:paraId="3D66179B">
            <w:pPr>
              <w:widowControl/>
              <w:jc w:val="center"/>
              <w:rPr>
                <w:rFonts w:hint="eastAsia" w:ascii="宋体" w:hAnsi="宋体" w:eastAsia="宋体" w:cs="宋体"/>
                <w:b/>
                <w:color w:val="auto"/>
                <w:kern w:val="0"/>
                <w:sz w:val="21"/>
                <w:szCs w:val="21"/>
                <w:lang w:val="en-US" w:eastAsia="zh-Hans"/>
              </w:rPr>
            </w:pPr>
          </w:p>
        </w:tc>
        <w:tc>
          <w:tcPr>
            <w:tcW w:w="6229" w:type="dxa"/>
            <w:shd w:val="clear" w:color="auto" w:fill="auto"/>
            <w:vAlign w:val="center"/>
          </w:tcPr>
          <w:p w14:paraId="4A29D2B9">
            <w:pPr>
              <w:widowControl/>
              <w:spacing w:line="360" w:lineRule="auto"/>
              <w:jc w:val="both"/>
              <w:rPr>
                <w:rFonts w:hint="eastAsia" w:ascii="宋体" w:hAnsi="宋体" w:eastAsia="宋体" w:cs="宋体"/>
                <w:b w:val="0"/>
                <w:i w:val="0"/>
                <w:strike w:val="0"/>
                <w:spacing w:val="0"/>
                <w:sz w:val="21"/>
                <w:szCs w:val="21"/>
                <w:u w:val="none"/>
                <w:shd w:val="clear" w:color="auto" w:fill="auto"/>
                <w:lang w:val="en-US" w:eastAsia="zh-CN" w:bidi="ar-SA"/>
              </w:rPr>
            </w:pPr>
            <w:r>
              <w:rPr>
                <w:b w:val="0"/>
                <w:i w:val="0"/>
                <w:strike w:val="0"/>
                <w:spacing w:val="0"/>
                <w:sz w:val="21"/>
                <w:szCs w:val="21"/>
                <w:u w:val="none"/>
              </w:rPr>
              <w:t>支持以PDF格式导出安全运营报告，内容涵盖安全总览、威胁态势、资产安全、脆弱性分析四个维度，其中威胁态势包括安全事件分析和安全告警分析，资产安全包括资产概览和风险资产分析，脆弱性分析包括脆弱性概览、漏洞影响面分析、弱密码影响面分析等</w:t>
            </w:r>
          </w:p>
        </w:tc>
      </w:tr>
      <w:tr w14:paraId="38E3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115A4E1D">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237" w:type="dxa"/>
            <w:vMerge w:val="restart"/>
            <w:shd w:val="clear" w:color="auto" w:fill="auto"/>
            <w:vAlign w:val="center"/>
          </w:tcPr>
          <w:p w14:paraId="5076362F">
            <w:pPr>
              <w:widowControl/>
              <w:spacing w:line="360" w:lineRule="auto"/>
              <w:jc w:val="both"/>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CN"/>
              </w:rPr>
              <w:t>大屏</w:t>
            </w:r>
          </w:p>
        </w:tc>
        <w:tc>
          <w:tcPr>
            <w:tcW w:w="6229" w:type="dxa"/>
            <w:shd w:val="clear" w:color="auto" w:fill="auto"/>
            <w:vAlign w:val="center"/>
          </w:tcPr>
          <w:p w14:paraId="75869CBA">
            <w:pPr>
              <w:widowControl/>
              <w:spacing w:line="360" w:lineRule="auto"/>
              <w:jc w:val="both"/>
              <w:rPr>
                <w:rFonts w:hint="eastAsia" w:ascii="宋体" w:hAnsi="宋体" w:eastAsia="宋体" w:cs="宋体"/>
                <w:b w:val="0"/>
                <w:i w:val="0"/>
                <w:strike w:val="0"/>
                <w:spacing w:val="0"/>
                <w:sz w:val="21"/>
                <w:szCs w:val="21"/>
                <w:u w:val="none"/>
                <w:shd w:val="clear" w:color="auto" w:fill="auto"/>
                <w:lang w:val="en-US" w:eastAsia="zh-CN" w:bidi="ar-SA"/>
              </w:rPr>
            </w:pPr>
            <w:r>
              <w:rPr>
                <w:b w:val="0"/>
                <w:i w:val="0"/>
                <w:strike w:val="0"/>
                <w:spacing w:val="0"/>
                <w:sz w:val="21"/>
                <w:szCs w:val="21"/>
                <w:u w:val="none"/>
              </w:rPr>
              <w:t>内置9个不同安全视角的独立大屏，包括网络安全资产态势、网络安全告警态势、网络安全运营态势、全网安全能力监控、网络安全攻击态势、集团多分支综合态势、网络安全攻防演习态势、网络安全综合态势、网络安全事件态势等，支持自定义不同大屏的名称，设置统计周期</w:t>
            </w:r>
          </w:p>
        </w:tc>
      </w:tr>
      <w:tr w14:paraId="12AB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3F4CE640">
            <w:pPr>
              <w:keepNext w:val="0"/>
              <w:keepLines w:val="0"/>
              <w:widowControl/>
              <w:suppressLineNumbers w:val="0"/>
              <w:jc w:val="center"/>
              <w:textAlignment w:val="center"/>
              <w:rPr>
                <w:rFonts w:hint="default" w:ascii="宋体" w:hAnsi="宋体" w:eastAsia="宋体" w:cs="宋体"/>
                <w:b/>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237" w:type="dxa"/>
            <w:vMerge w:val="continue"/>
          </w:tcPr>
          <w:p w14:paraId="64798A71">
            <w:pPr>
              <w:widowControl/>
              <w:jc w:val="center"/>
              <w:rPr>
                <w:rFonts w:hint="eastAsia" w:ascii="宋体" w:hAnsi="宋体" w:eastAsia="宋体" w:cs="宋体"/>
                <w:b/>
                <w:color w:val="auto"/>
                <w:kern w:val="0"/>
                <w:sz w:val="21"/>
                <w:szCs w:val="21"/>
                <w:lang w:val="en-US" w:eastAsia="zh-Hans"/>
              </w:rPr>
            </w:pPr>
          </w:p>
        </w:tc>
        <w:tc>
          <w:tcPr>
            <w:tcW w:w="6229" w:type="dxa"/>
            <w:shd w:val="clear" w:color="auto" w:fill="auto"/>
            <w:vAlign w:val="center"/>
          </w:tcPr>
          <w:p w14:paraId="1B524555">
            <w:pPr>
              <w:widowControl/>
              <w:spacing w:line="360" w:lineRule="auto"/>
              <w:jc w:val="both"/>
              <w:rPr>
                <w:rFonts w:hint="eastAsia" w:ascii="宋体" w:hAnsi="宋体" w:eastAsia="宋体" w:cs="宋体"/>
                <w:b w:val="0"/>
                <w:i w:val="0"/>
                <w:strike w:val="0"/>
                <w:spacing w:val="0"/>
                <w:sz w:val="21"/>
                <w:szCs w:val="21"/>
                <w:u w:val="none"/>
                <w:shd w:val="clear" w:color="auto" w:fill="auto"/>
                <w:lang w:val="en-US" w:eastAsia="zh-CN" w:bidi="ar-SA"/>
              </w:rPr>
            </w:pPr>
            <w:r>
              <w:rPr>
                <w:sz w:val="21"/>
                <w:szCs w:val="21"/>
                <w:u w:val="none"/>
                <w:shd w:val="clear" w:color="auto" w:fill="auto"/>
              </w:rPr>
              <w:t>网络安全资产态势</w:t>
            </w:r>
            <w:r>
              <w:rPr>
                <w:b w:val="0"/>
                <w:i w:val="0"/>
                <w:strike w:val="0"/>
                <w:spacing w:val="0"/>
                <w:sz w:val="21"/>
                <w:szCs w:val="21"/>
                <w:u w:val="none"/>
                <w:shd w:val="clear" w:color="auto" w:fill="auto"/>
              </w:rPr>
              <w:t>大屏</w:t>
            </w:r>
            <w:r>
              <w:rPr>
                <w:sz w:val="21"/>
                <w:szCs w:val="21"/>
                <w:u w:val="none"/>
                <w:shd w:val="clear" w:color="auto" w:fill="auto"/>
              </w:rPr>
              <w:t>可展示资产组数量，及平台资产总数、核心资产数，自动识别服务器数和终端资产分布，可统计服务器操作系统总数以及Windows、Linux和其他系统的数量，对服务器开放服务TOP进行统计，滚动显示最近活跃资产，持续监测最新资产动态</w:t>
            </w:r>
          </w:p>
        </w:tc>
      </w:tr>
      <w:tr w14:paraId="67DC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2C40D8F4">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1237" w:type="dxa"/>
            <w:vMerge w:val="restart"/>
            <w:shd w:val="clear" w:color="auto" w:fill="auto"/>
            <w:vAlign w:val="center"/>
          </w:tcPr>
          <w:p w14:paraId="43F18080">
            <w:pPr>
              <w:widowControl/>
              <w:spacing w:line="360" w:lineRule="auto"/>
              <w:jc w:val="both"/>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CN" w:bidi="ar-SA"/>
              </w:rPr>
              <w:t>安全事件处理</w:t>
            </w:r>
          </w:p>
        </w:tc>
        <w:tc>
          <w:tcPr>
            <w:tcW w:w="6229" w:type="dxa"/>
            <w:shd w:val="clear" w:color="auto" w:fill="auto"/>
            <w:vAlign w:val="center"/>
          </w:tcPr>
          <w:p w14:paraId="447E94C9">
            <w:pPr>
              <w:widowControl/>
              <w:spacing w:line="360" w:lineRule="auto"/>
              <w:jc w:val="both"/>
              <w:rPr>
                <w:rFonts w:hint="eastAsia" w:asciiTheme="minorHAnsi" w:hAnsiTheme="minorHAnsi" w:eastAsiaTheme="minorEastAsia" w:cstheme="minorBidi"/>
                <w:b w:val="0"/>
                <w:i w:val="0"/>
                <w:strike w:val="0"/>
                <w:spacing w:val="0"/>
                <w:kern w:val="2"/>
                <w:sz w:val="21"/>
                <w:szCs w:val="21"/>
                <w:u w:val="none"/>
                <w:shd w:val="clear" w:color="auto" w:fill="auto"/>
                <w:lang w:val="en-US" w:eastAsia="zh-CN" w:bidi="ar-SA"/>
              </w:rPr>
            </w:pPr>
            <w:r>
              <w:rPr>
                <w:rFonts w:hint="eastAsia" w:ascii="Times New Roman" w:hAnsi="Times New Roman" w:eastAsia="宋体"/>
                <w:b w:val="0"/>
                <w:i w:val="0"/>
                <w:strike w:val="0"/>
                <w:spacing w:val="0"/>
                <w:sz w:val="21"/>
                <w:szCs w:val="21"/>
                <w:u w:val="none"/>
              </w:rPr>
              <w:t>持汇总展示当天、近24小时、近7天、近30天、近180天或自定义时间段的安全事件总览，体现海量告警到精准事件的降噪比例及外部攻击者遏制率。可对安全事件名称，安全事件等级、数据源、处置状态、事件定性、标签、影响资产、责任人、聚合告警数、事件来源、事件引擎等字段选择进行隐藏或显示，支持拖动调整展示顺序</w:t>
            </w:r>
          </w:p>
        </w:tc>
      </w:tr>
      <w:tr w14:paraId="41BC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4FCB603D">
            <w:pPr>
              <w:keepNext w:val="0"/>
              <w:keepLines w:val="0"/>
              <w:widowControl/>
              <w:suppressLineNumbers w:val="0"/>
              <w:jc w:val="center"/>
              <w:textAlignment w:val="center"/>
              <w:rPr>
                <w:rFonts w:hint="eastAsia" w:ascii="宋体" w:hAnsi="宋体" w:eastAsia="宋体" w:cs="宋体"/>
                <w:b/>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237" w:type="dxa"/>
            <w:vMerge w:val="continue"/>
          </w:tcPr>
          <w:p w14:paraId="458FE2A8">
            <w:pPr>
              <w:widowControl/>
              <w:jc w:val="center"/>
              <w:rPr>
                <w:rFonts w:hint="eastAsia" w:ascii="宋体" w:hAnsi="宋体" w:eastAsia="宋体" w:cs="宋体"/>
                <w:b/>
                <w:color w:val="auto"/>
                <w:kern w:val="0"/>
                <w:sz w:val="21"/>
                <w:szCs w:val="21"/>
                <w:lang w:val="en-US" w:eastAsia="zh-Hans"/>
              </w:rPr>
            </w:pPr>
          </w:p>
        </w:tc>
        <w:tc>
          <w:tcPr>
            <w:tcW w:w="6229" w:type="dxa"/>
            <w:shd w:val="clear" w:color="auto" w:fill="auto"/>
            <w:vAlign w:val="center"/>
          </w:tcPr>
          <w:p w14:paraId="62C1565C">
            <w:pPr>
              <w:widowControl/>
              <w:spacing w:line="360" w:lineRule="auto"/>
              <w:jc w:val="both"/>
              <w:rPr>
                <w:rFonts w:hint="eastAsia" w:asciiTheme="minorHAnsi" w:hAnsiTheme="minorHAnsi" w:eastAsiaTheme="minorEastAsia" w:cstheme="minorBidi"/>
                <w:b w:val="0"/>
                <w:i w:val="0"/>
                <w:strike w:val="0"/>
                <w:spacing w:val="0"/>
                <w:kern w:val="2"/>
                <w:sz w:val="21"/>
                <w:szCs w:val="21"/>
                <w:u w:val="none"/>
                <w:shd w:val="clear" w:color="auto" w:fill="auto"/>
                <w:lang w:val="en-US" w:eastAsia="zh-CN" w:bidi="ar-SA"/>
              </w:rPr>
            </w:pPr>
            <w:r>
              <w:rPr>
                <w:rFonts w:hint="eastAsia" w:ascii="Times New Roman" w:hAnsi="Times New Roman"/>
                <w:b w:val="0"/>
                <w:i w:val="0"/>
                <w:strike w:val="0"/>
                <w:spacing w:val="0"/>
                <w:sz w:val="21"/>
                <w:szCs w:val="21"/>
                <w:u w:val="none"/>
                <w:lang w:val="en-US" w:eastAsia="zh-CN"/>
              </w:rPr>
              <w:t>△</w:t>
            </w:r>
            <w:r>
              <w:rPr>
                <w:rFonts w:hint="eastAsia" w:ascii="Times New Roman" w:hAnsi="Times New Roman" w:eastAsia="宋体"/>
                <w:b w:val="0"/>
                <w:i w:val="0"/>
                <w:strike w:val="0"/>
                <w:spacing w:val="0"/>
                <w:sz w:val="21"/>
                <w:szCs w:val="21"/>
                <w:u w:val="none"/>
              </w:rPr>
              <w:t>支持事件智能定性分析，可以将事件诊断定性为定向攻击、疑似定向攻击、病毒、扫描器攻击、脆弱性风险、业务行为及未知威胁等</w:t>
            </w:r>
            <w:r>
              <w:rPr>
                <w:rFonts w:hint="eastAsia" w:ascii="Times New Roman" w:hAnsi="Times New Roman"/>
                <w:b w:val="0"/>
                <w:i w:val="0"/>
                <w:strike w:val="0"/>
                <w:spacing w:val="0"/>
                <w:sz w:val="21"/>
                <w:szCs w:val="21"/>
                <w:u w:val="none"/>
                <w:lang w:eastAsia="zh-CN"/>
              </w:rPr>
              <w:t>。</w:t>
            </w:r>
          </w:p>
        </w:tc>
      </w:tr>
      <w:tr w14:paraId="7CB4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5DB5AE23">
            <w:pPr>
              <w:keepNext w:val="0"/>
              <w:keepLines w:val="0"/>
              <w:widowControl/>
              <w:suppressLineNumbers w:val="0"/>
              <w:jc w:val="center"/>
              <w:textAlignment w:val="center"/>
              <w:rPr>
                <w:rFonts w:hint="eastAsia" w:ascii="宋体" w:hAnsi="宋体" w:eastAsia="宋体" w:cs="宋体"/>
                <w:b/>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237" w:type="dxa"/>
            <w:vMerge w:val="continue"/>
          </w:tcPr>
          <w:p w14:paraId="13FE5AAE">
            <w:pPr>
              <w:widowControl/>
              <w:jc w:val="center"/>
              <w:rPr>
                <w:rFonts w:hint="eastAsia" w:ascii="宋体" w:hAnsi="宋体" w:eastAsia="宋体" w:cs="宋体"/>
                <w:b/>
                <w:color w:val="auto"/>
                <w:kern w:val="0"/>
                <w:sz w:val="21"/>
                <w:szCs w:val="21"/>
                <w:lang w:val="en-US" w:eastAsia="zh-Hans"/>
              </w:rPr>
            </w:pPr>
          </w:p>
        </w:tc>
        <w:tc>
          <w:tcPr>
            <w:tcW w:w="6229" w:type="dxa"/>
            <w:shd w:val="clear" w:color="auto" w:fill="auto"/>
            <w:vAlign w:val="center"/>
          </w:tcPr>
          <w:p w14:paraId="6176EA0A">
            <w:pPr>
              <w:widowControl/>
              <w:spacing w:line="360" w:lineRule="auto"/>
              <w:jc w:val="both"/>
              <w:rPr>
                <w:rFonts w:hint="eastAsia" w:asciiTheme="minorHAnsi" w:hAnsiTheme="minorHAnsi" w:eastAsiaTheme="minorEastAsia" w:cstheme="minorBidi"/>
                <w:b w:val="0"/>
                <w:i w:val="0"/>
                <w:strike w:val="0"/>
                <w:spacing w:val="0"/>
                <w:kern w:val="2"/>
                <w:sz w:val="21"/>
                <w:szCs w:val="21"/>
                <w:u w:val="none"/>
                <w:shd w:val="clear" w:color="auto" w:fill="auto"/>
                <w:lang w:val="en-US" w:eastAsia="zh-CN" w:bidi="ar-SA"/>
              </w:rPr>
            </w:pPr>
            <w:r>
              <w:rPr>
                <w:rFonts w:hint="eastAsia" w:ascii="Times New Roman" w:hAnsi="Times New Roman" w:eastAsia="宋体"/>
                <w:b w:val="0"/>
                <w:i w:val="0"/>
                <w:strike w:val="0"/>
                <w:spacing w:val="0"/>
                <w:sz w:val="21"/>
                <w:szCs w:val="21"/>
                <w:u w:val="none"/>
              </w:rPr>
              <w:t>支持通过安全事件详情查看攻击故事线。安全事件按照攻击入口和进程树的视角进行安全分析。可详细点开进程链中任意进程查看进程详情，包括基础信息、威胁告警、网络连接行为、文件行为</w:t>
            </w:r>
            <w:r>
              <w:rPr>
                <w:rFonts w:hint="eastAsia" w:ascii="Times New Roman" w:hAnsi="Times New Roman" w:eastAsia="宋体"/>
                <w:b w:val="0"/>
                <w:i w:val="0"/>
                <w:strike w:val="0"/>
                <w:spacing w:val="0"/>
                <w:sz w:val="21"/>
                <w:szCs w:val="21"/>
                <w:u w:val="none"/>
                <w:lang w:val="en-US" w:eastAsia="zh-CN"/>
              </w:rPr>
              <w:t>、</w:t>
            </w:r>
            <w:r>
              <w:rPr>
                <w:rFonts w:hint="eastAsia" w:ascii="Times New Roman" w:hAnsi="Times New Roman" w:eastAsia="宋体"/>
                <w:b w:val="0"/>
                <w:i w:val="0"/>
                <w:strike w:val="0"/>
                <w:spacing w:val="0"/>
                <w:sz w:val="21"/>
                <w:szCs w:val="21"/>
                <w:u w:val="none"/>
              </w:rPr>
              <w:t>域名访问行为、模块加载行为、进程操作行为，并且自带解码工具</w:t>
            </w:r>
          </w:p>
        </w:tc>
      </w:tr>
      <w:tr w14:paraId="1E5A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450B121E">
            <w:pPr>
              <w:keepNext w:val="0"/>
              <w:keepLines w:val="0"/>
              <w:widowControl/>
              <w:suppressLineNumbers w:val="0"/>
              <w:jc w:val="center"/>
              <w:textAlignment w:val="center"/>
              <w:rPr>
                <w:rFonts w:hint="eastAsia" w:ascii="宋体" w:hAnsi="宋体" w:eastAsia="宋体" w:cs="宋体"/>
                <w:b/>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237" w:type="dxa"/>
            <w:vMerge w:val="continue"/>
          </w:tcPr>
          <w:p w14:paraId="20CAD852">
            <w:pPr>
              <w:widowControl/>
              <w:jc w:val="center"/>
              <w:rPr>
                <w:rFonts w:hint="eastAsia" w:ascii="宋体" w:hAnsi="宋体" w:eastAsia="宋体" w:cs="宋体"/>
                <w:b/>
                <w:color w:val="auto"/>
                <w:kern w:val="0"/>
                <w:sz w:val="21"/>
                <w:szCs w:val="21"/>
                <w:lang w:val="en-US" w:eastAsia="zh-Hans"/>
              </w:rPr>
            </w:pPr>
          </w:p>
        </w:tc>
        <w:tc>
          <w:tcPr>
            <w:tcW w:w="6229" w:type="dxa"/>
            <w:shd w:val="clear" w:color="auto" w:fill="auto"/>
            <w:vAlign w:val="center"/>
          </w:tcPr>
          <w:p w14:paraId="5DC7CFC5">
            <w:pPr>
              <w:widowControl/>
              <w:spacing w:line="360" w:lineRule="auto"/>
              <w:jc w:val="both"/>
              <w:rPr>
                <w:rFonts w:hint="eastAsia" w:asciiTheme="minorHAnsi" w:hAnsiTheme="minorHAnsi" w:eastAsiaTheme="minorEastAsia" w:cstheme="minorBidi"/>
                <w:b w:val="0"/>
                <w:i w:val="0"/>
                <w:strike w:val="0"/>
                <w:spacing w:val="0"/>
                <w:kern w:val="2"/>
                <w:sz w:val="21"/>
                <w:szCs w:val="21"/>
                <w:u w:val="none"/>
                <w:shd w:val="clear" w:color="auto" w:fill="auto"/>
                <w:lang w:val="en-US" w:eastAsia="zh-CN" w:bidi="ar-SA"/>
              </w:rPr>
            </w:pPr>
            <w:r>
              <w:rPr>
                <w:rFonts w:hint="eastAsia" w:ascii="Times New Roman" w:hAnsi="Times New Roman"/>
                <w:b w:val="0"/>
                <w:i w:val="0"/>
                <w:strike w:val="0"/>
                <w:spacing w:val="0"/>
                <w:sz w:val="21"/>
                <w:szCs w:val="21"/>
                <w:u w:val="none"/>
                <w:lang w:val="en-US" w:eastAsia="zh-CN"/>
              </w:rPr>
              <w:t>△</w:t>
            </w:r>
            <w:r>
              <w:rPr>
                <w:rFonts w:hint="eastAsia" w:ascii="Times New Roman" w:hAnsi="Times New Roman" w:eastAsia="宋体"/>
                <w:b w:val="0"/>
                <w:i w:val="0"/>
                <w:strike w:val="0"/>
                <w:spacing w:val="0"/>
                <w:sz w:val="21"/>
                <w:szCs w:val="21"/>
                <w:u w:val="none"/>
              </w:rPr>
              <w:t>支持攻击链、入口点、父子进程、影响面的还原，可支持进程树纵向拓展至10个及以上层级，横向拓展至15个及以上层级，以对风险资产的复杂威胁提供更全面细颗粒度的展现视角。</w:t>
            </w:r>
            <w:r>
              <w:rPr>
                <w:rFonts w:hint="eastAsia"/>
                <w:b w:val="0"/>
                <w:i w:val="0"/>
                <w:strike w:val="0"/>
                <w:color w:val="auto"/>
                <w:spacing w:val="0"/>
                <w:sz w:val="21"/>
                <w:szCs w:val="21"/>
                <w:u w:val="none"/>
                <w:lang w:eastAsia="zh-CN"/>
              </w:rPr>
              <w:t>提供产品功能</w:t>
            </w:r>
            <w:r>
              <w:rPr>
                <w:rFonts w:hint="eastAsia"/>
                <w:b w:val="0"/>
                <w:i w:val="0"/>
                <w:strike w:val="0"/>
                <w:color w:val="auto"/>
                <w:spacing w:val="0"/>
                <w:sz w:val="21"/>
                <w:szCs w:val="21"/>
                <w:u w:val="none"/>
                <w:lang w:val="en-US" w:eastAsia="zh-CN"/>
              </w:rPr>
              <w:t>截图</w:t>
            </w:r>
            <w:r>
              <w:rPr>
                <w:rFonts w:hint="eastAsia"/>
                <w:b w:val="0"/>
                <w:i w:val="0"/>
                <w:strike w:val="0"/>
                <w:color w:val="auto"/>
                <w:spacing w:val="0"/>
                <w:sz w:val="21"/>
                <w:szCs w:val="21"/>
                <w:u w:val="none"/>
                <w:lang w:eastAsia="zh-CN"/>
              </w:rPr>
              <w:t>证明</w:t>
            </w:r>
            <w:r>
              <w:rPr>
                <w:rFonts w:hint="eastAsia"/>
                <w:b w:val="0"/>
                <w:i w:val="0"/>
                <w:strike w:val="0"/>
                <w:color w:val="auto"/>
                <w:spacing w:val="0"/>
                <w:sz w:val="21"/>
                <w:szCs w:val="21"/>
                <w:u w:val="none"/>
                <w:lang w:val="en-US" w:eastAsia="zh-CN"/>
              </w:rPr>
              <w:t>材料</w:t>
            </w:r>
          </w:p>
        </w:tc>
      </w:tr>
      <w:tr w14:paraId="37C9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3AF65486">
            <w:pPr>
              <w:keepNext w:val="0"/>
              <w:keepLines w:val="0"/>
              <w:widowControl/>
              <w:suppressLineNumbers w:val="0"/>
              <w:jc w:val="center"/>
              <w:textAlignment w:val="center"/>
              <w:rPr>
                <w:rFonts w:hint="eastAsia" w:ascii="宋体" w:hAnsi="宋体" w:eastAsia="宋体" w:cs="宋体"/>
                <w:b/>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237" w:type="dxa"/>
            <w:vMerge w:val="continue"/>
          </w:tcPr>
          <w:p w14:paraId="3A37A056">
            <w:pPr>
              <w:widowControl/>
              <w:jc w:val="center"/>
              <w:rPr>
                <w:rFonts w:hint="eastAsia" w:ascii="宋体" w:hAnsi="宋体" w:eastAsia="宋体" w:cs="宋体"/>
                <w:b/>
                <w:color w:val="auto"/>
                <w:kern w:val="0"/>
                <w:sz w:val="21"/>
                <w:szCs w:val="21"/>
                <w:lang w:val="en-US" w:eastAsia="zh-Hans"/>
              </w:rPr>
            </w:pPr>
          </w:p>
        </w:tc>
        <w:tc>
          <w:tcPr>
            <w:tcW w:w="6229" w:type="dxa"/>
            <w:shd w:val="clear" w:color="auto" w:fill="auto"/>
            <w:vAlign w:val="center"/>
          </w:tcPr>
          <w:p w14:paraId="518CBDC3">
            <w:pPr>
              <w:widowControl/>
              <w:spacing w:line="360" w:lineRule="auto"/>
              <w:jc w:val="both"/>
              <w:rPr>
                <w:rFonts w:hint="eastAsia" w:asciiTheme="minorHAnsi" w:hAnsiTheme="minorHAnsi" w:eastAsiaTheme="minorEastAsia" w:cstheme="minorBidi"/>
                <w:b w:val="0"/>
                <w:i w:val="0"/>
                <w:strike w:val="0"/>
                <w:spacing w:val="0"/>
                <w:kern w:val="2"/>
                <w:sz w:val="21"/>
                <w:szCs w:val="21"/>
                <w:u w:val="none"/>
                <w:shd w:val="clear" w:color="auto" w:fill="auto"/>
                <w:lang w:val="en-US" w:eastAsia="zh-CN" w:bidi="ar-SA"/>
              </w:rPr>
            </w:pPr>
            <w:r>
              <w:rPr>
                <w:rFonts w:hint="eastAsia" w:ascii="Times New Roman" w:hAnsi="Times New Roman" w:eastAsia="宋体"/>
                <w:b w:val="0"/>
                <w:i w:val="0"/>
                <w:strike w:val="0"/>
                <w:spacing w:val="0"/>
                <w:sz w:val="21"/>
                <w:szCs w:val="21"/>
                <w:u w:val="none"/>
              </w:rPr>
              <w:t>支持攻击实体关联、攻击阶段关联等，可在安全事件中基于攻击者-受害者-被横向的间接受害者的关系进行展示，并可在进程树中查看网络连接和恶意文件等情况，最大化还原攻击路径。</w:t>
            </w:r>
          </w:p>
        </w:tc>
      </w:tr>
      <w:tr w14:paraId="7B27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15C5E94A">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1237" w:type="dxa"/>
            <w:vMerge w:val="restart"/>
            <w:shd w:val="clear" w:color="auto" w:fill="auto"/>
            <w:vAlign w:val="center"/>
          </w:tcPr>
          <w:p w14:paraId="0B959B43">
            <w:pPr>
              <w:widowControl/>
              <w:spacing w:line="360" w:lineRule="auto"/>
              <w:jc w:val="both"/>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CN" w:bidi="ar-SA"/>
              </w:rPr>
              <w:t>安全告警分析</w:t>
            </w:r>
          </w:p>
        </w:tc>
        <w:tc>
          <w:tcPr>
            <w:tcW w:w="6229" w:type="dxa"/>
            <w:shd w:val="clear" w:color="auto" w:fill="auto"/>
            <w:vAlign w:val="center"/>
          </w:tcPr>
          <w:p w14:paraId="794948BC">
            <w:pPr>
              <w:widowControl/>
              <w:spacing w:line="360" w:lineRule="auto"/>
              <w:jc w:val="both"/>
              <w:rPr>
                <w:rFonts w:hint="eastAsia" w:asciiTheme="minorHAnsi" w:hAnsiTheme="minorHAnsi" w:eastAsiaTheme="minorEastAsia" w:cstheme="minorBidi"/>
                <w:b w:val="0"/>
                <w:i w:val="0"/>
                <w:strike w:val="0"/>
                <w:spacing w:val="0"/>
                <w:kern w:val="2"/>
                <w:sz w:val="21"/>
                <w:szCs w:val="21"/>
                <w:u w:val="none"/>
                <w:shd w:val="clear" w:color="auto" w:fill="auto"/>
                <w:lang w:val="en-US" w:eastAsia="zh-CN" w:bidi="ar-SA"/>
              </w:rPr>
            </w:pPr>
            <w:r>
              <w:rPr>
                <w:b w:val="0"/>
                <w:i w:val="0"/>
                <w:strike w:val="0"/>
                <w:spacing w:val="0"/>
                <w:sz w:val="21"/>
                <w:szCs w:val="21"/>
                <w:u w:val="none"/>
              </w:rPr>
              <w:t>支持汇总展示当天、近24小时、近7天、近30天、近180天或自定义时间段的安全告警总览，并体现</w:t>
            </w:r>
            <w:r>
              <w:rPr>
                <w:i w:val="0"/>
                <w:strike w:val="0"/>
                <w:spacing w:val="0"/>
                <w:sz w:val="21"/>
                <w:szCs w:val="21"/>
                <w:u w:val="none"/>
              </w:rPr>
              <w:t>原始</w:t>
            </w:r>
            <w:r>
              <w:rPr>
                <w:b w:val="0"/>
                <w:i w:val="0"/>
                <w:strike w:val="0"/>
                <w:spacing w:val="0"/>
                <w:sz w:val="21"/>
                <w:szCs w:val="21"/>
                <w:u w:val="none"/>
              </w:rPr>
              <w:t>告警到融合告警的降噪比例及多源关联告警的数量，可对最近发生时间、告警名称、告警定性、源IP、目的IP、检测引擎、数据源、告警一级分类、告警三级分类、相似告警等字段选择进行隐藏或显示，支持拖动调整展示顺序，可对重点关注资产、重点关注告警类型进行设置筛选和标示，支持仅看重点关注、仅看网端举证、仅看多源关联、仅看未读告警等选项，且支持告警数据导出</w:t>
            </w:r>
          </w:p>
        </w:tc>
      </w:tr>
      <w:tr w14:paraId="4066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4812F167">
            <w:pPr>
              <w:keepNext w:val="0"/>
              <w:keepLines w:val="0"/>
              <w:widowControl/>
              <w:suppressLineNumbers w:val="0"/>
              <w:jc w:val="center"/>
              <w:textAlignment w:val="center"/>
              <w:rPr>
                <w:rFonts w:hint="eastAsia" w:ascii="宋体" w:hAnsi="宋体" w:eastAsia="宋体" w:cs="宋体"/>
                <w:b/>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1237" w:type="dxa"/>
            <w:vMerge w:val="continue"/>
          </w:tcPr>
          <w:p w14:paraId="01B45F2C">
            <w:pPr>
              <w:widowControl/>
              <w:jc w:val="center"/>
              <w:rPr>
                <w:rFonts w:hint="eastAsia" w:ascii="宋体" w:hAnsi="宋体" w:eastAsia="宋体" w:cs="宋体"/>
                <w:b/>
                <w:color w:val="auto"/>
                <w:kern w:val="0"/>
                <w:sz w:val="21"/>
                <w:szCs w:val="21"/>
                <w:lang w:val="en-US" w:eastAsia="zh-Hans"/>
              </w:rPr>
            </w:pPr>
          </w:p>
        </w:tc>
        <w:tc>
          <w:tcPr>
            <w:tcW w:w="6229" w:type="dxa"/>
            <w:shd w:val="clear" w:color="auto" w:fill="auto"/>
            <w:vAlign w:val="center"/>
          </w:tcPr>
          <w:p w14:paraId="231CA2F2">
            <w:pPr>
              <w:widowControl/>
              <w:spacing w:line="360" w:lineRule="auto"/>
              <w:jc w:val="both"/>
              <w:rPr>
                <w:rFonts w:hint="eastAsia" w:asciiTheme="minorHAnsi" w:hAnsiTheme="minorHAnsi" w:eastAsiaTheme="minorEastAsia" w:cstheme="minorBidi"/>
                <w:b w:val="0"/>
                <w:i w:val="0"/>
                <w:strike w:val="0"/>
                <w:spacing w:val="0"/>
                <w:kern w:val="2"/>
                <w:sz w:val="21"/>
                <w:szCs w:val="21"/>
                <w:u w:val="none"/>
                <w:shd w:val="clear" w:color="auto" w:fill="auto"/>
                <w:lang w:val="en-US" w:eastAsia="zh-CN" w:bidi="ar-SA"/>
              </w:rPr>
            </w:pPr>
            <w:r>
              <w:rPr>
                <w:rFonts w:hint="eastAsia"/>
                <w:b w:val="0"/>
                <w:i w:val="0"/>
                <w:strike w:val="0"/>
                <w:spacing w:val="0"/>
                <w:sz w:val="21"/>
                <w:szCs w:val="21"/>
                <w:u w:val="none"/>
                <w:lang w:val="en-US" w:eastAsia="zh-CN"/>
              </w:rPr>
              <w:t>支持50+种分析检测引擎，包含AI智能分析引擎、多源关联分析引擎、安全聚合分析引擎、本地缓存引擎、行为引擎、文件信誉扫描引擎、基因引擎、云查引擎、SAVE人工智能引擎、热点事件引擎、勒索防护引擎、无文件攻击引擎、数签检测引擎、感染病毒分类引擎、专杀病毒引擎、文档检测引擎、云端专家狩猎、IOA引擎、IOC引擎等</w:t>
            </w:r>
          </w:p>
        </w:tc>
      </w:tr>
      <w:tr w14:paraId="01EE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43F82F4F">
            <w:pPr>
              <w:keepNext w:val="0"/>
              <w:keepLines w:val="0"/>
              <w:widowControl/>
              <w:suppressLineNumbers w:val="0"/>
              <w:jc w:val="center"/>
              <w:textAlignment w:val="center"/>
              <w:rPr>
                <w:rFonts w:hint="eastAsia" w:ascii="宋体" w:hAnsi="宋体" w:eastAsia="宋体" w:cs="宋体"/>
                <w:b/>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237" w:type="dxa"/>
            <w:vMerge w:val="continue"/>
          </w:tcPr>
          <w:p w14:paraId="1DD19675">
            <w:pPr>
              <w:widowControl/>
              <w:jc w:val="center"/>
              <w:rPr>
                <w:rFonts w:hint="eastAsia" w:ascii="宋体" w:hAnsi="宋体" w:eastAsia="宋体" w:cs="宋体"/>
                <w:b/>
                <w:color w:val="auto"/>
                <w:kern w:val="0"/>
                <w:sz w:val="21"/>
                <w:szCs w:val="21"/>
                <w:lang w:val="en-US" w:eastAsia="zh-Hans"/>
              </w:rPr>
            </w:pPr>
          </w:p>
        </w:tc>
        <w:tc>
          <w:tcPr>
            <w:tcW w:w="6229" w:type="dxa"/>
            <w:shd w:val="clear" w:color="auto" w:fill="auto"/>
            <w:vAlign w:val="center"/>
          </w:tcPr>
          <w:p w14:paraId="6E42C954">
            <w:pPr>
              <w:widowControl/>
              <w:spacing w:line="360" w:lineRule="auto"/>
              <w:jc w:val="both"/>
              <w:rPr>
                <w:rFonts w:hint="eastAsia" w:asciiTheme="minorHAnsi" w:hAnsiTheme="minorHAnsi" w:eastAsiaTheme="minorEastAsia" w:cstheme="minorBidi"/>
                <w:b w:val="0"/>
                <w:i w:val="0"/>
                <w:strike w:val="0"/>
                <w:spacing w:val="0"/>
                <w:kern w:val="2"/>
                <w:sz w:val="21"/>
                <w:szCs w:val="21"/>
                <w:u w:val="none"/>
                <w:shd w:val="clear" w:color="auto" w:fill="auto"/>
                <w:lang w:val="en-US" w:eastAsia="zh-CN" w:bidi="ar-SA"/>
              </w:rPr>
            </w:pPr>
            <w:r>
              <w:rPr>
                <w:rFonts w:hint="eastAsia"/>
                <w:b w:val="0"/>
                <w:i w:val="0"/>
                <w:strike w:val="0"/>
                <w:spacing w:val="0"/>
                <w:sz w:val="21"/>
                <w:szCs w:val="21"/>
                <w:u w:val="none"/>
                <w:lang w:val="en-US" w:eastAsia="zh-CN"/>
              </w:rPr>
              <w:t>△支持威胁复测，平台支持对来自第三方网络和终端组件的安全告警和审计日志进行二次检测，从而发现组件中误报、漏报，并给出更新后的检测结果</w:t>
            </w:r>
            <w:r>
              <w:rPr>
                <w:rFonts w:hint="eastAsia"/>
                <w:b w:val="0"/>
                <w:i w:val="0"/>
                <w:strike w:val="0"/>
                <w:color w:val="auto"/>
                <w:spacing w:val="0"/>
                <w:sz w:val="21"/>
                <w:szCs w:val="21"/>
                <w:u w:val="none"/>
                <w:lang w:val="en-US" w:eastAsia="zh-CN"/>
              </w:rPr>
              <w:t>。</w:t>
            </w:r>
            <w:r>
              <w:rPr>
                <w:rFonts w:hint="eastAsia"/>
                <w:b w:val="0"/>
                <w:i w:val="0"/>
                <w:strike w:val="0"/>
                <w:color w:val="auto"/>
                <w:spacing w:val="0"/>
                <w:sz w:val="21"/>
                <w:szCs w:val="21"/>
                <w:u w:val="none"/>
                <w:lang w:eastAsia="zh-CN"/>
              </w:rPr>
              <w:t>提供产品功能</w:t>
            </w:r>
            <w:r>
              <w:rPr>
                <w:rFonts w:hint="eastAsia"/>
                <w:b w:val="0"/>
                <w:i w:val="0"/>
                <w:strike w:val="0"/>
                <w:color w:val="auto"/>
                <w:spacing w:val="0"/>
                <w:sz w:val="21"/>
                <w:szCs w:val="21"/>
                <w:u w:val="none"/>
                <w:lang w:val="en-US" w:eastAsia="zh-CN"/>
              </w:rPr>
              <w:t>截图</w:t>
            </w:r>
            <w:r>
              <w:rPr>
                <w:rFonts w:hint="eastAsia"/>
                <w:b w:val="0"/>
                <w:i w:val="0"/>
                <w:strike w:val="0"/>
                <w:color w:val="auto"/>
                <w:spacing w:val="0"/>
                <w:sz w:val="21"/>
                <w:szCs w:val="21"/>
                <w:u w:val="none"/>
                <w:lang w:eastAsia="zh-CN"/>
              </w:rPr>
              <w:t>证明</w:t>
            </w:r>
            <w:r>
              <w:rPr>
                <w:rFonts w:hint="eastAsia"/>
                <w:b w:val="0"/>
                <w:i w:val="0"/>
                <w:strike w:val="0"/>
                <w:color w:val="auto"/>
                <w:spacing w:val="0"/>
                <w:sz w:val="21"/>
                <w:szCs w:val="21"/>
                <w:u w:val="none"/>
                <w:lang w:val="en-US" w:eastAsia="zh-CN"/>
              </w:rPr>
              <w:t>材料</w:t>
            </w:r>
          </w:p>
        </w:tc>
      </w:tr>
      <w:tr w14:paraId="7603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4E4E1CDE">
            <w:pPr>
              <w:keepNext w:val="0"/>
              <w:keepLines w:val="0"/>
              <w:widowControl/>
              <w:suppressLineNumbers w:val="0"/>
              <w:jc w:val="center"/>
              <w:textAlignment w:val="center"/>
              <w:rPr>
                <w:rFonts w:hint="eastAsia" w:ascii="宋体" w:hAnsi="宋体" w:eastAsia="宋体" w:cs="宋体"/>
                <w:b/>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237" w:type="dxa"/>
            <w:vMerge w:val="continue"/>
          </w:tcPr>
          <w:p w14:paraId="7209075C">
            <w:pPr>
              <w:widowControl/>
              <w:jc w:val="center"/>
              <w:rPr>
                <w:rFonts w:hint="eastAsia" w:ascii="宋体" w:hAnsi="宋体" w:eastAsia="宋体" w:cs="宋体"/>
                <w:b/>
                <w:color w:val="auto"/>
                <w:kern w:val="0"/>
                <w:sz w:val="21"/>
                <w:szCs w:val="21"/>
                <w:lang w:val="en-US" w:eastAsia="zh-Hans"/>
              </w:rPr>
            </w:pPr>
          </w:p>
        </w:tc>
        <w:tc>
          <w:tcPr>
            <w:tcW w:w="6229" w:type="dxa"/>
            <w:shd w:val="clear" w:color="auto" w:fill="auto"/>
            <w:vAlign w:val="center"/>
          </w:tcPr>
          <w:p w14:paraId="4FF5C60A">
            <w:pPr>
              <w:keepNext w:val="0"/>
              <w:keepLines w:val="0"/>
              <w:pageBreakBefore w:val="0"/>
              <w:widowControl w:val="0"/>
              <w:numPr>
                <w:ilvl w:val="0"/>
                <w:numId w:val="0"/>
              </w:numPr>
              <w:pBdr>
                <w:bottom w:val="none" w:color="auto" w:sz="0" w:space="0"/>
              </w:pBdr>
              <w:kinsoku/>
              <w:wordWrap/>
              <w:overflowPunct/>
              <w:topLinePunct w:val="0"/>
              <w:autoSpaceDE w:val="0"/>
              <w:autoSpaceDN w:val="0"/>
              <w:bidi w:val="0"/>
              <w:adjustRightInd/>
              <w:snapToGrid w:val="0"/>
              <w:spacing w:line="360" w:lineRule="auto"/>
              <w:ind w:left="0" w:leftChars="0" w:firstLine="0" w:firstLineChars="0"/>
              <w:jc w:val="both"/>
              <w:textAlignment w:val="auto"/>
              <w:outlineLvl w:val="2"/>
              <w:rPr>
                <w:rFonts w:hint="eastAsia" w:asciiTheme="minorHAnsi" w:hAnsiTheme="minorHAnsi" w:eastAsiaTheme="minorEastAsia" w:cstheme="minorBidi"/>
                <w:b w:val="0"/>
                <w:i w:val="0"/>
                <w:strike w:val="0"/>
                <w:spacing w:val="0"/>
                <w:kern w:val="2"/>
                <w:sz w:val="21"/>
                <w:szCs w:val="21"/>
                <w:u w:val="none"/>
                <w:shd w:val="clear" w:color="auto" w:fill="auto"/>
                <w:lang w:val="en-US" w:eastAsia="zh-CN" w:bidi="ar-SA"/>
              </w:rPr>
            </w:pPr>
            <w:r>
              <w:rPr>
                <w:b w:val="0"/>
                <w:i w:val="0"/>
                <w:strike w:val="0"/>
                <w:spacing w:val="0"/>
                <w:sz w:val="21"/>
                <w:szCs w:val="21"/>
                <w:u w:val="none"/>
              </w:rPr>
              <w:t>支持告警智能定性分析，可以将告警诊断定性为定向攻击、疑似定向攻击、病毒、扫描器攻击、脆弱性风险、业务行为、未知威胁等</w:t>
            </w:r>
          </w:p>
        </w:tc>
      </w:tr>
      <w:tr w14:paraId="06D8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347935CA">
            <w:pPr>
              <w:keepNext w:val="0"/>
              <w:keepLines w:val="0"/>
              <w:widowControl/>
              <w:suppressLineNumbers w:val="0"/>
              <w:jc w:val="center"/>
              <w:textAlignment w:val="center"/>
              <w:rPr>
                <w:rFonts w:hint="eastAsia" w:ascii="宋体" w:hAnsi="宋体" w:eastAsia="宋体" w:cs="宋体"/>
                <w:b/>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1237" w:type="dxa"/>
            <w:vMerge w:val="continue"/>
          </w:tcPr>
          <w:p w14:paraId="74CE1AD0">
            <w:pPr>
              <w:widowControl/>
              <w:jc w:val="center"/>
              <w:rPr>
                <w:rFonts w:hint="eastAsia" w:ascii="宋体" w:hAnsi="宋体" w:eastAsia="宋体" w:cs="宋体"/>
                <w:b/>
                <w:color w:val="auto"/>
                <w:kern w:val="0"/>
                <w:sz w:val="21"/>
                <w:szCs w:val="21"/>
                <w:lang w:val="en-US" w:eastAsia="zh-Hans"/>
              </w:rPr>
            </w:pPr>
          </w:p>
        </w:tc>
        <w:tc>
          <w:tcPr>
            <w:tcW w:w="6229" w:type="dxa"/>
            <w:shd w:val="clear" w:color="auto" w:fill="auto"/>
            <w:vAlign w:val="center"/>
          </w:tcPr>
          <w:p w14:paraId="5418B977">
            <w:pPr>
              <w:widowControl/>
              <w:spacing w:line="360" w:lineRule="auto"/>
              <w:jc w:val="both"/>
              <w:rPr>
                <w:rFonts w:hint="eastAsia" w:asciiTheme="minorHAnsi" w:hAnsiTheme="minorHAnsi" w:eastAsiaTheme="minorEastAsia" w:cstheme="minorBidi"/>
                <w:b w:val="0"/>
                <w:i w:val="0"/>
                <w:strike w:val="0"/>
                <w:spacing w:val="0"/>
                <w:kern w:val="2"/>
                <w:sz w:val="21"/>
                <w:szCs w:val="21"/>
                <w:u w:val="none"/>
                <w:shd w:val="clear" w:color="auto" w:fill="auto"/>
                <w:lang w:val="en-US" w:eastAsia="zh-CN" w:bidi="ar-SA"/>
              </w:rPr>
            </w:pPr>
            <w:r>
              <w:rPr>
                <w:b w:val="0"/>
                <w:i w:val="0"/>
                <w:strike w:val="0"/>
                <w:spacing w:val="0"/>
                <w:sz w:val="21"/>
                <w:szCs w:val="21"/>
                <w:u w:val="none"/>
              </w:rPr>
              <w:t>多源告警消减与融合能力，具备对告警进行payload相似度、单个攻击源对多个目标发起的相似攻击、多个攻击源对单个目标发起的相似攻击等维度的深度聚合归并能力。针对于同一个攻击行为，不同网测、端侧安全设备产生的多条安全告警可以关联融合成同一条告警，点击告警可查看到多条三方子告警</w:t>
            </w:r>
          </w:p>
        </w:tc>
      </w:tr>
      <w:tr w14:paraId="79AA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097EAF1B">
            <w:pPr>
              <w:keepNext w:val="0"/>
              <w:keepLines w:val="0"/>
              <w:widowControl/>
              <w:suppressLineNumbers w:val="0"/>
              <w:jc w:val="center"/>
              <w:textAlignment w:val="center"/>
              <w:rPr>
                <w:rFonts w:hint="eastAsia" w:ascii="宋体" w:hAnsi="宋体" w:eastAsia="宋体" w:cs="宋体"/>
                <w:b/>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1237" w:type="dxa"/>
            <w:vMerge w:val="continue"/>
          </w:tcPr>
          <w:p w14:paraId="6A1A44DA">
            <w:pPr>
              <w:widowControl/>
              <w:jc w:val="center"/>
              <w:rPr>
                <w:rFonts w:hint="eastAsia" w:ascii="宋体" w:hAnsi="宋体" w:eastAsia="宋体" w:cs="宋体"/>
                <w:b/>
                <w:color w:val="auto"/>
                <w:kern w:val="0"/>
                <w:sz w:val="21"/>
                <w:szCs w:val="21"/>
                <w:lang w:val="en-US" w:eastAsia="zh-Hans"/>
              </w:rPr>
            </w:pPr>
          </w:p>
        </w:tc>
        <w:tc>
          <w:tcPr>
            <w:tcW w:w="6229" w:type="dxa"/>
            <w:shd w:val="clear" w:color="auto" w:fill="auto"/>
            <w:vAlign w:val="center"/>
          </w:tcPr>
          <w:p w14:paraId="1330E446">
            <w:pPr>
              <w:widowControl/>
              <w:spacing w:line="360" w:lineRule="auto"/>
              <w:jc w:val="both"/>
              <w:rPr>
                <w:rFonts w:hint="eastAsia" w:asciiTheme="minorHAnsi" w:hAnsiTheme="minorHAnsi" w:eastAsiaTheme="minorEastAsia" w:cstheme="minorBidi"/>
                <w:b w:val="0"/>
                <w:i w:val="0"/>
                <w:strike w:val="0"/>
                <w:spacing w:val="0"/>
                <w:kern w:val="2"/>
                <w:sz w:val="21"/>
                <w:szCs w:val="21"/>
                <w:u w:val="none"/>
                <w:shd w:val="clear" w:color="auto" w:fill="auto"/>
                <w:lang w:val="en-US" w:eastAsia="zh-CN" w:bidi="ar-SA"/>
              </w:rPr>
            </w:pPr>
            <w:r>
              <w:rPr>
                <w:i w:val="0"/>
                <w:strike w:val="0"/>
                <w:spacing w:val="0"/>
                <w:sz w:val="21"/>
                <w:szCs w:val="21"/>
                <w:u w:val="none"/>
              </w:rPr>
              <w:t>支持检出WEB代理、NAT转换、DNS等复杂场景的真实IP。支持自定义X-Forwarded-For取值规则及规则</w:t>
            </w:r>
            <w:r>
              <w:rPr>
                <w:b w:val="0"/>
                <w:i w:val="0"/>
                <w:strike w:val="0"/>
                <w:spacing w:val="0"/>
                <w:sz w:val="21"/>
                <w:szCs w:val="21"/>
                <w:u w:val="none"/>
              </w:rPr>
              <w:t>优先</w:t>
            </w:r>
            <w:r>
              <w:rPr>
                <w:i w:val="0"/>
                <w:strike w:val="0"/>
                <w:spacing w:val="0"/>
                <w:sz w:val="21"/>
                <w:szCs w:val="21"/>
                <w:u w:val="none"/>
              </w:rPr>
              <w:t>级，系统可按照配置的优先级规则，提取对应的IP在平台中以X-Forwarded-For字段进行展示，实现纠正告警攻击方向与聚合逻辑</w:t>
            </w:r>
          </w:p>
        </w:tc>
      </w:tr>
      <w:tr w14:paraId="063B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04DDE6B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1237" w:type="dxa"/>
            <w:vMerge w:val="restart"/>
            <w:shd w:val="clear" w:color="auto" w:fill="auto"/>
            <w:vAlign w:val="center"/>
          </w:tcPr>
          <w:p w14:paraId="3D156889">
            <w:pPr>
              <w:widowControl/>
              <w:spacing w:line="360" w:lineRule="auto"/>
              <w:jc w:val="both"/>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Hans" w:bidi="ar-SA"/>
              </w:rPr>
              <w:t>风险主机分析</w:t>
            </w:r>
          </w:p>
        </w:tc>
        <w:tc>
          <w:tcPr>
            <w:tcW w:w="6229" w:type="dxa"/>
            <w:shd w:val="clear" w:color="auto" w:fill="auto"/>
            <w:vAlign w:val="center"/>
          </w:tcPr>
          <w:p w14:paraId="59BFB6C7">
            <w:pPr>
              <w:widowControl/>
              <w:spacing w:line="360" w:lineRule="auto"/>
              <w:jc w:val="both"/>
              <w:rPr>
                <w:rFonts w:hint="eastAsia" w:asciiTheme="minorHAnsi" w:hAnsiTheme="minorHAnsi" w:eastAsiaTheme="minorEastAsia" w:cstheme="minorBidi"/>
                <w:b w:val="0"/>
                <w:i w:val="0"/>
                <w:strike w:val="0"/>
                <w:spacing w:val="0"/>
                <w:kern w:val="2"/>
                <w:sz w:val="21"/>
                <w:szCs w:val="21"/>
                <w:u w:val="none"/>
                <w:shd w:val="clear" w:color="auto" w:fill="auto"/>
                <w:lang w:val="en-US" w:eastAsia="zh-CN" w:bidi="ar-SA"/>
              </w:rPr>
            </w:pPr>
            <w:r>
              <w:rPr>
                <w:b w:val="0"/>
                <w:i w:val="0"/>
                <w:strike w:val="0"/>
                <w:spacing w:val="0"/>
                <w:sz w:val="21"/>
                <w:szCs w:val="21"/>
                <w:u w:val="none"/>
              </w:rPr>
              <w:t>支持以影响资产视角，汇总展示当天、近24小时、近7天、近30天、近180天或自定义时间段的风险主机总览，可对影响资产、风险等级、标签、资产类型、事件数、攻击面、数据源等字段选择进行隐藏或显示，支持拖动调整展示顺序，可选择仅看未读选项，且支持数据导出</w:t>
            </w:r>
          </w:p>
        </w:tc>
      </w:tr>
      <w:tr w14:paraId="5A80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6C7B560C">
            <w:pPr>
              <w:keepNext w:val="0"/>
              <w:keepLines w:val="0"/>
              <w:widowControl/>
              <w:suppressLineNumbers w:val="0"/>
              <w:jc w:val="center"/>
              <w:textAlignment w:val="center"/>
              <w:rPr>
                <w:rFonts w:hint="eastAsia" w:ascii="宋体" w:hAnsi="宋体" w:eastAsia="宋体" w:cs="宋体"/>
                <w:b/>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1237" w:type="dxa"/>
            <w:vMerge w:val="continue"/>
          </w:tcPr>
          <w:p w14:paraId="2897A9E4">
            <w:pPr>
              <w:widowControl/>
              <w:jc w:val="center"/>
              <w:rPr>
                <w:rFonts w:hint="eastAsia" w:ascii="宋体" w:hAnsi="宋体" w:eastAsia="宋体" w:cs="宋体"/>
                <w:b/>
                <w:color w:val="auto"/>
                <w:kern w:val="0"/>
                <w:sz w:val="21"/>
                <w:szCs w:val="21"/>
                <w:lang w:val="en-US" w:eastAsia="zh-Hans"/>
              </w:rPr>
            </w:pPr>
          </w:p>
        </w:tc>
        <w:tc>
          <w:tcPr>
            <w:tcW w:w="6229" w:type="dxa"/>
            <w:shd w:val="clear" w:color="auto" w:fill="auto"/>
            <w:vAlign w:val="center"/>
          </w:tcPr>
          <w:p w14:paraId="77806B66">
            <w:pPr>
              <w:widowControl/>
              <w:spacing w:line="360" w:lineRule="auto"/>
              <w:jc w:val="both"/>
              <w:rPr>
                <w:rFonts w:hint="eastAsia" w:asciiTheme="minorHAnsi" w:hAnsiTheme="minorHAnsi" w:eastAsiaTheme="minorEastAsia" w:cstheme="minorBidi"/>
                <w:b w:val="0"/>
                <w:i w:val="0"/>
                <w:strike w:val="0"/>
                <w:spacing w:val="0"/>
                <w:kern w:val="2"/>
                <w:sz w:val="21"/>
                <w:szCs w:val="21"/>
                <w:u w:val="none"/>
                <w:shd w:val="clear" w:color="auto" w:fill="auto"/>
                <w:lang w:val="en-US" w:eastAsia="zh-CN" w:bidi="ar-SA"/>
              </w:rPr>
            </w:pPr>
            <w:r>
              <w:rPr>
                <w:rFonts w:hint="eastAsia"/>
                <w:b w:val="0"/>
                <w:i w:val="0"/>
                <w:strike w:val="0"/>
                <w:spacing w:val="0"/>
                <w:sz w:val="21"/>
                <w:szCs w:val="21"/>
                <w:u w:val="none"/>
                <w:lang w:val="en-US" w:eastAsia="zh-CN"/>
              </w:rPr>
              <w:t>平台</w:t>
            </w:r>
            <w:r>
              <w:rPr>
                <w:b w:val="0"/>
                <w:i w:val="0"/>
                <w:strike w:val="0"/>
                <w:spacing w:val="0"/>
                <w:sz w:val="21"/>
                <w:szCs w:val="21"/>
                <w:u w:val="none"/>
              </w:rPr>
              <w:t>提供简易模式和专家模式两种</w:t>
            </w:r>
            <w:r>
              <w:rPr>
                <w:rFonts w:hint="eastAsia"/>
                <w:b w:val="0"/>
                <w:i w:val="0"/>
                <w:strike w:val="0"/>
                <w:spacing w:val="0"/>
                <w:sz w:val="21"/>
                <w:szCs w:val="21"/>
                <w:u w:val="none"/>
                <w:lang w:val="en-US" w:eastAsia="zh-CN"/>
              </w:rPr>
              <w:t>风险主机检索</w:t>
            </w:r>
            <w:r>
              <w:rPr>
                <w:b w:val="0"/>
                <w:i w:val="0"/>
                <w:strike w:val="0"/>
                <w:spacing w:val="0"/>
                <w:sz w:val="21"/>
                <w:szCs w:val="21"/>
                <w:u w:val="none"/>
              </w:rPr>
              <w:t>方式，</w:t>
            </w:r>
            <w:r>
              <w:rPr>
                <w:rFonts w:hint="eastAsia"/>
                <w:b w:val="0"/>
                <w:i w:val="0"/>
                <w:strike w:val="0"/>
                <w:spacing w:val="0"/>
                <w:sz w:val="21"/>
                <w:szCs w:val="21"/>
                <w:u w:val="none"/>
                <w:lang w:val="en-US" w:eastAsia="zh-CN"/>
              </w:rPr>
              <w:t>可基于</w:t>
            </w:r>
            <w:r>
              <w:rPr>
                <w:b w:val="0"/>
                <w:i w:val="0"/>
                <w:strike w:val="0"/>
                <w:spacing w:val="0"/>
                <w:sz w:val="21"/>
                <w:szCs w:val="21"/>
                <w:u w:val="none"/>
              </w:rPr>
              <w:t>影响资产、最近检测时间、所属资产组、所属业务、操作系统、资产责任人、MAC地址、首次发现时间及主机名等</w:t>
            </w:r>
            <w:r>
              <w:rPr>
                <w:rFonts w:hint="eastAsia"/>
                <w:b w:val="0"/>
                <w:i w:val="0"/>
                <w:strike w:val="0"/>
                <w:spacing w:val="0"/>
                <w:sz w:val="21"/>
                <w:szCs w:val="21"/>
                <w:u w:val="none"/>
                <w:lang w:val="en-US" w:eastAsia="zh-CN"/>
              </w:rPr>
              <w:t>常用</w:t>
            </w:r>
            <w:r>
              <w:rPr>
                <w:b w:val="0"/>
                <w:i w:val="0"/>
                <w:strike w:val="0"/>
                <w:spacing w:val="0"/>
                <w:sz w:val="21"/>
                <w:szCs w:val="21"/>
                <w:u w:val="none"/>
              </w:rPr>
              <w:t>字段进行快速</w:t>
            </w:r>
            <w:r>
              <w:rPr>
                <w:rFonts w:hint="eastAsia"/>
                <w:b w:val="0"/>
                <w:i w:val="0"/>
                <w:strike w:val="0"/>
                <w:spacing w:val="0"/>
                <w:sz w:val="21"/>
                <w:szCs w:val="21"/>
                <w:u w:val="none"/>
                <w:lang w:val="en-US" w:eastAsia="zh-CN"/>
              </w:rPr>
              <w:t>检索</w:t>
            </w:r>
            <w:r>
              <w:rPr>
                <w:rFonts w:hint="eastAsia"/>
                <w:b w:val="0"/>
                <w:i w:val="0"/>
                <w:strike w:val="0"/>
                <w:spacing w:val="0"/>
                <w:sz w:val="21"/>
                <w:szCs w:val="21"/>
                <w:u w:val="none"/>
                <w:lang w:eastAsia="zh-CN"/>
              </w:rPr>
              <w:t>。</w:t>
            </w:r>
            <w:r>
              <w:rPr>
                <w:rFonts w:hint="eastAsia"/>
                <w:b w:val="0"/>
                <w:i w:val="0"/>
                <w:strike w:val="0"/>
                <w:spacing w:val="0"/>
                <w:sz w:val="21"/>
                <w:szCs w:val="21"/>
                <w:u w:val="none"/>
                <w:lang w:val="en-US" w:eastAsia="zh-CN"/>
              </w:rPr>
              <w:t>简易模式下提供</w:t>
            </w:r>
            <w:r>
              <w:rPr>
                <w:b w:val="0"/>
                <w:i w:val="0"/>
                <w:strike w:val="0"/>
                <w:spacing w:val="0"/>
                <w:sz w:val="21"/>
                <w:szCs w:val="21"/>
                <w:u w:val="none"/>
              </w:rPr>
              <w:t>风险等级、标签、重要级别、资产类型、数据源等</w:t>
            </w:r>
            <w:r>
              <w:rPr>
                <w:rFonts w:hint="eastAsia"/>
                <w:b w:val="0"/>
                <w:i w:val="0"/>
                <w:strike w:val="0"/>
                <w:spacing w:val="0"/>
                <w:sz w:val="21"/>
                <w:szCs w:val="21"/>
                <w:u w:val="none"/>
                <w:lang w:val="en-US" w:eastAsia="zh-CN"/>
              </w:rPr>
              <w:t>快速筛选字段；</w:t>
            </w:r>
            <w:r>
              <w:rPr>
                <w:b w:val="0"/>
                <w:i w:val="0"/>
                <w:strike w:val="0"/>
                <w:spacing w:val="0"/>
                <w:sz w:val="21"/>
                <w:szCs w:val="21"/>
                <w:u w:val="none"/>
              </w:rPr>
              <w:t>专家模式下采用SPL语句进行复杂条件检索</w:t>
            </w:r>
          </w:p>
        </w:tc>
      </w:tr>
      <w:tr w14:paraId="5C0F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160A3920">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237" w:type="dxa"/>
            <w:shd w:val="clear" w:color="auto" w:fill="auto"/>
            <w:vAlign w:val="center"/>
          </w:tcPr>
          <w:p w14:paraId="141E56AB">
            <w:pPr>
              <w:widowControl/>
              <w:spacing w:line="360" w:lineRule="auto"/>
              <w:jc w:val="center"/>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Hans" w:bidi="ar-SA"/>
              </w:rPr>
              <w:t>响应管理</w:t>
            </w:r>
          </w:p>
        </w:tc>
        <w:tc>
          <w:tcPr>
            <w:tcW w:w="6229" w:type="dxa"/>
            <w:shd w:val="clear" w:color="auto" w:fill="auto"/>
            <w:vAlign w:val="center"/>
          </w:tcPr>
          <w:p w14:paraId="3A063A3A">
            <w:pPr>
              <w:widowControl/>
              <w:spacing w:line="360" w:lineRule="auto"/>
              <w:jc w:val="both"/>
              <w:rPr>
                <w:rFonts w:hint="eastAsia" w:ascii="宋体" w:hAnsi="宋体" w:eastAsia="宋体" w:cs="宋体"/>
                <w:b w:val="0"/>
                <w:i w:val="0"/>
                <w:strike w:val="0"/>
                <w:spacing w:val="0"/>
                <w:sz w:val="21"/>
                <w:szCs w:val="21"/>
                <w:u w:val="none"/>
                <w:lang w:val="en-US" w:eastAsia="zh-CN" w:bidi="ar-SA"/>
              </w:rPr>
            </w:pPr>
            <w:r>
              <w:rPr>
                <w:rFonts w:hint="eastAsia" w:ascii="Times New Roman" w:hAnsi="Times New Roman" w:eastAsia="宋体"/>
                <w:i w:val="0"/>
                <w:strike w:val="0"/>
                <w:spacing w:val="0"/>
                <w:sz w:val="21"/>
                <w:szCs w:val="21"/>
                <w:u w:val="none"/>
                <w:lang w:val="en-US" w:eastAsia="zh-CN"/>
              </w:rPr>
              <w:t>支持隔离主机处置记录的管理，可联动深信服统一端点安全管理系统进行隔离主机，展示隔离主机的详细信息，包括主机IP、关联告警、关联事件、处置人、处置时间、处置状态和联动设备等，可对已隔离的主机进行解除隔离</w:t>
            </w:r>
          </w:p>
        </w:tc>
      </w:tr>
      <w:tr w14:paraId="0062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3E72B99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1237" w:type="dxa"/>
            <w:vMerge w:val="restart"/>
            <w:shd w:val="clear" w:color="auto" w:fill="auto"/>
            <w:vAlign w:val="center"/>
          </w:tcPr>
          <w:p w14:paraId="684B91A5">
            <w:pPr>
              <w:widowControl/>
              <w:spacing w:line="360" w:lineRule="auto"/>
              <w:jc w:val="center"/>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CN" w:bidi="ar-SA"/>
              </w:rPr>
              <w:t>脆弱性</w:t>
            </w:r>
          </w:p>
        </w:tc>
        <w:tc>
          <w:tcPr>
            <w:tcW w:w="6229" w:type="dxa"/>
            <w:shd w:val="clear" w:color="auto" w:fill="auto"/>
            <w:vAlign w:val="center"/>
          </w:tcPr>
          <w:p w14:paraId="7F6A7741">
            <w:pPr>
              <w:widowControl/>
              <w:spacing w:line="360" w:lineRule="auto"/>
              <w:jc w:val="both"/>
              <w:rPr>
                <w:rFonts w:hint="eastAsia" w:ascii="宋体" w:hAnsi="宋体" w:eastAsia="宋体" w:cs="宋体"/>
                <w:b w:val="0"/>
                <w:i w:val="0"/>
                <w:strike w:val="0"/>
                <w:spacing w:val="0"/>
                <w:sz w:val="21"/>
                <w:szCs w:val="21"/>
                <w:u w:val="none"/>
                <w:lang w:val="en-US" w:eastAsia="zh-CN" w:bidi="ar-SA"/>
              </w:rPr>
            </w:pPr>
            <w:r>
              <w:rPr>
                <w:b w:val="0"/>
                <w:i w:val="0"/>
                <w:strike w:val="0"/>
                <w:spacing w:val="0"/>
                <w:sz w:val="21"/>
                <w:szCs w:val="21"/>
                <w:u w:val="none"/>
              </w:rPr>
              <w:t>支持以风险视角，对脆弱性风险进行展示，可选择漏洞、弱密码不同脆弱性看板，可汇总展示当天、近24</w:t>
            </w:r>
            <w:r>
              <w:rPr>
                <w:b w:val="0"/>
                <w:i w:val="0"/>
                <w:strike w:val="0"/>
                <w:color w:val="333333"/>
                <w:spacing w:val="0"/>
                <w:sz w:val="21"/>
                <w:szCs w:val="21"/>
                <w:u w:val="none"/>
              </w:rPr>
              <w:t>小时</w:t>
            </w:r>
            <w:r>
              <w:rPr>
                <w:b w:val="0"/>
                <w:i w:val="0"/>
                <w:strike w:val="0"/>
                <w:spacing w:val="0"/>
                <w:sz w:val="21"/>
                <w:szCs w:val="21"/>
                <w:u w:val="none"/>
              </w:rPr>
              <w:t>、近7天、近30天、近180天或其它自定义时间段的漏洞/弱密码总览（总数、影响主机），状态（待</w:t>
            </w:r>
            <w:r>
              <w:rPr>
                <w:b w:val="0"/>
                <w:i w:val="0"/>
                <w:strike w:val="0"/>
                <w:color w:val="333333"/>
                <w:spacing w:val="0"/>
                <w:sz w:val="21"/>
                <w:szCs w:val="21"/>
                <w:u w:val="none"/>
              </w:rPr>
              <w:t>处置</w:t>
            </w:r>
            <w:r>
              <w:rPr>
                <w:b w:val="0"/>
                <w:i w:val="0"/>
                <w:strike w:val="0"/>
                <w:spacing w:val="0"/>
                <w:sz w:val="21"/>
                <w:szCs w:val="21"/>
                <w:u w:val="none"/>
              </w:rPr>
              <w:t>、处置中、处置完成）及已发起工单详细数据，且可对时间段内的漏洞/弱密码列表进行展示，并基于等保合规基线展示风险看板</w:t>
            </w:r>
          </w:p>
        </w:tc>
      </w:tr>
      <w:tr w14:paraId="5E79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784CE95D">
            <w:pPr>
              <w:keepNext w:val="0"/>
              <w:keepLines w:val="0"/>
              <w:widowControl/>
              <w:suppressLineNumbers w:val="0"/>
              <w:jc w:val="center"/>
              <w:textAlignment w:val="center"/>
              <w:rPr>
                <w:rFonts w:hint="eastAsia" w:ascii="宋体" w:hAnsi="宋体" w:eastAsia="宋体" w:cs="宋体"/>
                <w:b/>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1237" w:type="dxa"/>
            <w:vMerge w:val="continue"/>
          </w:tcPr>
          <w:p w14:paraId="1B371652">
            <w:pPr>
              <w:widowControl/>
              <w:jc w:val="center"/>
              <w:rPr>
                <w:rFonts w:hint="eastAsia" w:ascii="宋体" w:hAnsi="宋体" w:eastAsia="宋体" w:cs="宋体"/>
                <w:b/>
                <w:color w:val="auto"/>
                <w:kern w:val="0"/>
                <w:sz w:val="21"/>
                <w:szCs w:val="21"/>
                <w:lang w:val="en-US" w:eastAsia="zh-Hans"/>
              </w:rPr>
            </w:pPr>
          </w:p>
        </w:tc>
        <w:tc>
          <w:tcPr>
            <w:tcW w:w="6229" w:type="dxa"/>
            <w:shd w:val="clear" w:color="auto" w:fill="auto"/>
            <w:vAlign w:val="center"/>
          </w:tcPr>
          <w:p w14:paraId="29EC0015">
            <w:pPr>
              <w:widowControl/>
              <w:spacing w:line="360" w:lineRule="auto"/>
              <w:jc w:val="both"/>
              <w:rPr>
                <w:rFonts w:hint="eastAsia" w:ascii="宋体" w:hAnsi="宋体" w:eastAsia="宋体" w:cs="宋体"/>
                <w:b w:val="0"/>
                <w:i w:val="0"/>
                <w:strike w:val="0"/>
                <w:spacing w:val="0"/>
                <w:sz w:val="21"/>
                <w:szCs w:val="21"/>
                <w:u w:val="none"/>
                <w:lang w:val="en-US" w:eastAsia="zh-CN" w:bidi="ar-SA"/>
              </w:rPr>
            </w:pPr>
            <w:r>
              <w:rPr>
                <w:b w:val="0"/>
                <w:i w:val="0"/>
                <w:strike w:val="0"/>
                <w:spacing w:val="0"/>
                <w:sz w:val="21"/>
                <w:szCs w:val="21"/>
                <w:u w:val="none"/>
              </w:rPr>
              <w:t>支持以资产视角，对终端遥测及网络遥测扫描到的资产脆弱性进行展示，</w:t>
            </w:r>
            <w:r>
              <w:rPr>
                <w:i w:val="0"/>
                <w:strike w:val="0"/>
                <w:spacing w:val="0"/>
                <w:sz w:val="21"/>
                <w:szCs w:val="21"/>
                <w:u w:val="none"/>
              </w:rPr>
              <w:t>以图表</w:t>
            </w:r>
            <w:r>
              <w:rPr>
                <w:b w:val="0"/>
                <w:i w:val="0"/>
                <w:strike w:val="0"/>
                <w:spacing w:val="0"/>
                <w:sz w:val="21"/>
                <w:szCs w:val="21"/>
                <w:u w:val="none"/>
              </w:rPr>
              <w:t>形式汇总展示当天、近24小时、近7天、近30天、近180天或其它自定义时间段的概览，按不同修复优先级展示资产总数、资产脆弱性TOP5以及不同脆弱性总数。资产视角看板可</w:t>
            </w:r>
            <w:r>
              <w:rPr>
                <w:rFonts w:hint="eastAsia"/>
                <w:b w:val="0"/>
                <w:i w:val="0"/>
                <w:strike w:val="0"/>
                <w:spacing w:val="0"/>
                <w:sz w:val="21"/>
                <w:szCs w:val="21"/>
                <w:u w:val="none"/>
                <w:lang w:val="en-US" w:eastAsia="zh-CN"/>
              </w:rPr>
              <w:t>基于脆弱性类型、</w:t>
            </w:r>
            <w:r>
              <w:rPr>
                <w:b w:val="0"/>
                <w:i w:val="0"/>
                <w:strike w:val="0"/>
                <w:spacing w:val="0"/>
                <w:sz w:val="21"/>
                <w:szCs w:val="21"/>
                <w:u w:val="none"/>
              </w:rPr>
              <w:t>资产修复优先级、</w:t>
            </w:r>
            <w:r>
              <w:rPr>
                <w:rFonts w:hint="eastAsia"/>
                <w:b w:val="0"/>
                <w:i w:val="0"/>
                <w:strike w:val="0"/>
                <w:spacing w:val="0"/>
                <w:sz w:val="21"/>
                <w:szCs w:val="21"/>
                <w:u w:val="none"/>
                <w:lang w:val="en-US" w:eastAsia="zh-CN"/>
              </w:rPr>
              <w:t>处置状态、</w:t>
            </w:r>
            <w:r>
              <w:rPr>
                <w:b w:val="0"/>
                <w:i w:val="0"/>
                <w:strike w:val="0"/>
                <w:spacing w:val="0"/>
                <w:sz w:val="21"/>
                <w:szCs w:val="21"/>
                <w:u w:val="none"/>
              </w:rPr>
              <w:t>资产</w:t>
            </w:r>
            <w:r>
              <w:rPr>
                <w:rFonts w:hint="eastAsia"/>
                <w:b w:val="0"/>
                <w:i w:val="0"/>
                <w:strike w:val="0"/>
                <w:spacing w:val="0"/>
                <w:sz w:val="21"/>
                <w:szCs w:val="21"/>
                <w:u w:val="none"/>
                <w:lang w:val="en-US" w:eastAsia="zh-CN"/>
              </w:rPr>
              <w:t>IP、资产责任人、资产标签、资产管理状态、资产重要性、资产类型和来源平台不同条件对风险资产</w:t>
            </w:r>
            <w:r>
              <w:rPr>
                <w:b w:val="0"/>
                <w:i w:val="0"/>
                <w:strike w:val="0"/>
                <w:spacing w:val="0"/>
                <w:sz w:val="21"/>
                <w:szCs w:val="21"/>
                <w:u w:val="none"/>
              </w:rPr>
              <w:t>进行筛选</w:t>
            </w:r>
          </w:p>
        </w:tc>
      </w:tr>
      <w:tr w14:paraId="3615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6D1A980D">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1237" w:type="dxa"/>
            <w:shd w:val="clear" w:color="auto" w:fill="auto"/>
            <w:vAlign w:val="center"/>
          </w:tcPr>
          <w:p w14:paraId="11942465">
            <w:pPr>
              <w:widowControl/>
              <w:spacing w:line="360" w:lineRule="auto"/>
              <w:jc w:val="center"/>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CN" w:bidi="ar-SA"/>
              </w:rPr>
              <w:t>资产台账</w:t>
            </w:r>
          </w:p>
        </w:tc>
        <w:tc>
          <w:tcPr>
            <w:tcW w:w="6229" w:type="dxa"/>
            <w:shd w:val="clear" w:color="auto" w:fill="auto"/>
            <w:vAlign w:val="center"/>
          </w:tcPr>
          <w:p w14:paraId="6BB95AB5">
            <w:pPr>
              <w:widowControl/>
              <w:spacing w:line="360" w:lineRule="auto"/>
              <w:jc w:val="both"/>
              <w:rPr>
                <w:rFonts w:hint="eastAsia" w:ascii="宋体" w:hAnsi="宋体" w:eastAsia="宋体" w:cs="宋体"/>
                <w:b w:val="0"/>
                <w:i w:val="0"/>
                <w:strike w:val="0"/>
                <w:spacing w:val="0"/>
                <w:sz w:val="21"/>
                <w:szCs w:val="21"/>
                <w:u w:val="none"/>
                <w:lang w:val="en-US" w:eastAsia="zh-CN" w:bidi="ar-SA"/>
              </w:rPr>
            </w:pPr>
            <w:r>
              <w:rPr>
                <w:b w:val="0"/>
                <w:i w:val="0"/>
                <w:strike w:val="0"/>
                <w:spacing w:val="0"/>
                <w:sz w:val="21"/>
                <w:szCs w:val="21"/>
                <w:u w:val="none"/>
              </w:rPr>
              <w:t>支持以资产组、业务组和组织架构视角的维度展示资产详细台账</w:t>
            </w:r>
            <w:r>
              <w:rPr>
                <w:rFonts w:hint="eastAsia"/>
                <w:b w:val="0"/>
                <w:i w:val="0"/>
                <w:strike w:val="0"/>
                <w:spacing w:val="0"/>
                <w:sz w:val="21"/>
                <w:szCs w:val="21"/>
                <w:u w:val="none"/>
                <w:lang w:eastAsia="zh-CN"/>
              </w:rPr>
              <w:t>。</w:t>
            </w:r>
            <w:r>
              <w:rPr>
                <w:b w:val="0"/>
                <w:i w:val="0"/>
                <w:strike w:val="0"/>
                <w:spacing w:val="0"/>
                <w:sz w:val="21"/>
                <w:szCs w:val="21"/>
                <w:u w:val="none"/>
              </w:rPr>
              <w:t>支持新增资产组，可配置资产组的基本信息（组名称、所属父组、标签、责任人）、支持按IP范围分组、设备来源分组、按VPC分组三种识别模式识别资产，并可设置快速剔除IP，且设置资产类型和IP范围的设置。支持新增业务组和业务系统，可配置业务名称、所属分组、责任人、系统状态、等保信息等信息。支持新增组织架构，可配置组名称、所属父组、责任人等信息</w:t>
            </w:r>
            <w:r>
              <w:rPr>
                <w:rFonts w:hint="eastAsia"/>
                <w:b w:val="0"/>
                <w:i w:val="0"/>
                <w:strike w:val="0"/>
                <w:spacing w:val="0"/>
                <w:sz w:val="21"/>
                <w:szCs w:val="21"/>
                <w:u w:val="none"/>
                <w:lang w:eastAsia="zh-CN"/>
              </w:rPr>
              <w:t>，</w:t>
            </w:r>
            <w:r>
              <w:rPr>
                <w:rFonts w:hint="eastAsia"/>
                <w:b w:val="0"/>
                <w:i w:val="0"/>
                <w:strike w:val="0"/>
                <w:spacing w:val="0"/>
                <w:sz w:val="21"/>
                <w:szCs w:val="21"/>
                <w:u w:val="none"/>
                <w:lang w:val="en-US" w:eastAsia="zh-CN"/>
              </w:rPr>
              <w:t>且可自动同步企业微信的组织架构</w:t>
            </w:r>
          </w:p>
        </w:tc>
      </w:tr>
      <w:tr w14:paraId="011F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64B05CDA">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1237" w:type="dxa"/>
            <w:vMerge w:val="restart"/>
            <w:shd w:val="clear" w:color="auto" w:fill="auto"/>
            <w:vAlign w:val="center"/>
          </w:tcPr>
          <w:p w14:paraId="3498C983">
            <w:pPr>
              <w:widowControl/>
              <w:spacing w:line="360" w:lineRule="auto"/>
              <w:jc w:val="center"/>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CN" w:bidi="ar-SA"/>
              </w:rPr>
              <w:t>AI辅助研判</w:t>
            </w:r>
          </w:p>
        </w:tc>
        <w:tc>
          <w:tcPr>
            <w:tcW w:w="6229" w:type="dxa"/>
            <w:shd w:val="clear" w:color="auto" w:fill="auto"/>
            <w:vAlign w:val="center"/>
          </w:tcPr>
          <w:p w14:paraId="1940ED43">
            <w:pPr>
              <w:widowControl/>
              <w:spacing w:line="360" w:lineRule="auto"/>
              <w:jc w:val="both"/>
              <w:rPr>
                <w:rFonts w:hint="eastAsia" w:ascii="宋体" w:hAnsi="宋体" w:eastAsia="宋体" w:cs="宋体"/>
                <w:b w:val="0"/>
                <w:i w:val="0"/>
                <w:strike w:val="0"/>
                <w:spacing w:val="0"/>
                <w:sz w:val="21"/>
                <w:szCs w:val="21"/>
                <w:u w:val="none"/>
                <w:lang w:val="en-US" w:eastAsia="zh-CN" w:bidi="ar-SA"/>
              </w:rPr>
            </w:pPr>
            <w:r>
              <w:rPr>
                <w:rFonts w:hint="eastAsia"/>
                <w:sz w:val="21"/>
                <w:szCs w:val="21"/>
                <w:lang w:val="en-US" w:eastAsia="zh-CN"/>
              </w:rPr>
              <w:t>△</w:t>
            </w:r>
            <w:r>
              <w:rPr>
                <w:sz w:val="21"/>
                <w:szCs w:val="21"/>
              </w:rPr>
              <w:t>支持自定义</w:t>
            </w:r>
            <w:r>
              <w:rPr>
                <w:rFonts w:hint="eastAsia"/>
                <w:sz w:val="21"/>
                <w:szCs w:val="21"/>
                <w:lang w:val="en-US" w:eastAsia="zh-CN"/>
              </w:rPr>
              <w:t>智能体</w:t>
            </w:r>
            <w:r>
              <w:rPr>
                <w:sz w:val="21"/>
                <w:szCs w:val="21"/>
              </w:rPr>
              <w:t>研判结论调优策略，通过告警ID、日志ID、源IP、源端口、目的IP、目的端口、域名、URL、文件MD5、文件路径、XFF、告警等级、检测引擎、标签、攻击结果、访问方向、请求头、请求体、响应头、响应体、告警名称等多条件组合的方式定位调优对象，自定义调优后的</w:t>
            </w:r>
            <w:r>
              <w:rPr>
                <w:rFonts w:hint="eastAsia"/>
                <w:sz w:val="21"/>
                <w:szCs w:val="21"/>
                <w:lang w:val="en-US" w:eastAsia="zh-CN"/>
              </w:rPr>
              <w:t>智能体</w:t>
            </w:r>
            <w:r>
              <w:rPr>
                <w:sz w:val="21"/>
                <w:szCs w:val="21"/>
              </w:rPr>
              <w:t>研判结论，支持自定义生效主机范围，支持同步调整24小时内的历史告警，并在调整后重新触发剧本执行</w:t>
            </w:r>
            <w:r>
              <w:rPr>
                <w:rFonts w:hint="eastAsia"/>
                <w:sz w:val="21"/>
                <w:szCs w:val="21"/>
                <w:lang w:eastAsia="zh-CN"/>
              </w:rPr>
              <w:t>。</w:t>
            </w:r>
            <w:r>
              <w:rPr>
                <w:rFonts w:hint="eastAsia"/>
                <w:b w:val="0"/>
                <w:i w:val="0"/>
                <w:strike w:val="0"/>
                <w:color w:val="auto"/>
                <w:spacing w:val="0"/>
                <w:sz w:val="21"/>
                <w:szCs w:val="21"/>
                <w:u w:val="none"/>
                <w:lang w:eastAsia="zh-CN"/>
              </w:rPr>
              <w:t>提供产品功能</w:t>
            </w:r>
            <w:r>
              <w:rPr>
                <w:rFonts w:hint="eastAsia"/>
                <w:b w:val="0"/>
                <w:i w:val="0"/>
                <w:strike w:val="0"/>
                <w:color w:val="auto"/>
                <w:spacing w:val="0"/>
                <w:sz w:val="21"/>
                <w:szCs w:val="21"/>
                <w:u w:val="none"/>
                <w:lang w:val="en-US" w:eastAsia="zh-CN"/>
              </w:rPr>
              <w:t>截图</w:t>
            </w:r>
            <w:r>
              <w:rPr>
                <w:rFonts w:hint="eastAsia"/>
                <w:b w:val="0"/>
                <w:i w:val="0"/>
                <w:strike w:val="0"/>
                <w:color w:val="auto"/>
                <w:spacing w:val="0"/>
                <w:sz w:val="21"/>
                <w:szCs w:val="21"/>
                <w:u w:val="none"/>
                <w:lang w:eastAsia="zh-CN"/>
              </w:rPr>
              <w:t>证明</w:t>
            </w:r>
            <w:r>
              <w:rPr>
                <w:rFonts w:hint="eastAsia"/>
                <w:b w:val="0"/>
                <w:i w:val="0"/>
                <w:strike w:val="0"/>
                <w:color w:val="auto"/>
                <w:spacing w:val="0"/>
                <w:sz w:val="21"/>
                <w:szCs w:val="21"/>
                <w:u w:val="none"/>
                <w:lang w:val="en-US" w:eastAsia="zh-CN"/>
              </w:rPr>
              <w:t>材料</w:t>
            </w:r>
          </w:p>
        </w:tc>
      </w:tr>
      <w:tr w14:paraId="0140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222164A4">
            <w:pPr>
              <w:keepNext w:val="0"/>
              <w:keepLines w:val="0"/>
              <w:widowControl/>
              <w:suppressLineNumbers w:val="0"/>
              <w:jc w:val="center"/>
              <w:textAlignment w:val="center"/>
              <w:rPr>
                <w:rFonts w:hint="eastAsia" w:ascii="宋体" w:hAnsi="宋体" w:eastAsia="宋体" w:cs="宋体"/>
                <w:b/>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237" w:type="dxa"/>
            <w:vMerge w:val="continue"/>
          </w:tcPr>
          <w:p w14:paraId="737B3328">
            <w:pPr>
              <w:widowControl/>
              <w:jc w:val="center"/>
              <w:rPr>
                <w:rFonts w:hint="eastAsia" w:ascii="宋体" w:hAnsi="宋体" w:eastAsia="宋体" w:cs="宋体"/>
                <w:b/>
                <w:color w:val="auto"/>
                <w:kern w:val="0"/>
                <w:sz w:val="21"/>
                <w:szCs w:val="21"/>
                <w:lang w:val="en-US" w:eastAsia="zh-Hans"/>
              </w:rPr>
            </w:pPr>
          </w:p>
        </w:tc>
        <w:tc>
          <w:tcPr>
            <w:tcW w:w="6229" w:type="dxa"/>
            <w:shd w:val="clear" w:color="auto" w:fill="auto"/>
            <w:vAlign w:val="center"/>
          </w:tcPr>
          <w:p w14:paraId="03F4124D">
            <w:pPr>
              <w:widowControl/>
              <w:spacing w:line="360" w:lineRule="auto"/>
              <w:jc w:val="both"/>
              <w:rPr>
                <w:rFonts w:hint="eastAsia" w:ascii="宋体" w:hAnsi="宋体" w:eastAsia="宋体" w:cs="宋体"/>
                <w:b w:val="0"/>
                <w:i w:val="0"/>
                <w:strike w:val="0"/>
                <w:spacing w:val="0"/>
                <w:sz w:val="21"/>
                <w:szCs w:val="21"/>
                <w:u w:val="none"/>
                <w:lang w:val="en-US" w:eastAsia="zh-CN" w:bidi="ar-SA"/>
              </w:rPr>
            </w:pPr>
            <w:r>
              <w:rPr>
                <w:sz w:val="21"/>
                <w:szCs w:val="21"/>
              </w:rPr>
              <w:t>支持展示</w:t>
            </w:r>
            <w:r>
              <w:rPr>
                <w:rFonts w:hint="eastAsia"/>
                <w:sz w:val="21"/>
                <w:szCs w:val="21"/>
                <w:lang w:val="en-US" w:eastAsia="zh-CN"/>
              </w:rPr>
              <w:t>智能体</w:t>
            </w:r>
            <w:r>
              <w:rPr>
                <w:sz w:val="21"/>
                <w:szCs w:val="21"/>
              </w:rPr>
              <w:t>研判结论调优策略列表，包括策略优先级、策略名称、指标内容、生效主机、创建人、修改人、启用状态等。支持对策略进行增删改查，支持自定义策略优先级</w:t>
            </w:r>
          </w:p>
        </w:tc>
      </w:tr>
      <w:tr w14:paraId="6532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7FFDC72B">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1237" w:type="dxa"/>
            <w:shd w:val="clear" w:color="auto" w:fill="auto"/>
            <w:vAlign w:val="center"/>
          </w:tcPr>
          <w:p w14:paraId="2741FD59">
            <w:pPr>
              <w:widowControl/>
              <w:spacing w:line="360" w:lineRule="auto"/>
              <w:jc w:val="center"/>
              <w:rPr>
                <w:rFonts w:hint="eastAsia" w:ascii="宋体" w:hAnsi="宋体" w:eastAsia="宋体" w:cs="宋体"/>
                <w:color w:val="auto"/>
                <w:kern w:val="0"/>
                <w:sz w:val="21"/>
                <w:szCs w:val="21"/>
                <w:lang w:val="en-US" w:eastAsia="zh-Hans" w:bidi="ar-SA"/>
              </w:rPr>
            </w:pPr>
            <w:r>
              <w:rPr>
                <w:rFonts w:hint="eastAsia" w:ascii="宋体" w:hAnsi="宋体" w:eastAsia="宋体" w:cs="宋体"/>
                <w:color w:val="auto"/>
                <w:kern w:val="0"/>
                <w:sz w:val="21"/>
                <w:szCs w:val="21"/>
                <w:lang w:val="en-US" w:eastAsia="zh-CN" w:bidi="ar-SA"/>
              </w:rPr>
              <w:t>性能指标</w:t>
            </w:r>
          </w:p>
        </w:tc>
        <w:tc>
          <w:tcPr>
            <w:tcW w:w="6229" w:type="dxa"/>
            <w:shd w:val="clear" w:color="auto" w:fill="auto"/>
            <w:vAlign w:val="center"/>
          </w:tcPr>
          <w:p w14:paraId="68E5A3BA">
            <w:pPr>
              <w:widowControl/>
              <w:spacing w:line="360" w:lineRule="auto"/>
              <w:jc w:val="both"/>
              <w:rPr>
                <w:rFonts w:hint="eastAsia" w:ascii="宋体" w:hAnsi="宋体" w:eastAsia="宋体" w:cs="宋体"/>
                <w:sz w:val="21"/>
                <w:szCs w:val="21"/>
                <w:lang w:val="en-US" w:eastAsia="zh-CN" w:bidi="ar-SA"/>
              </w:rPr>
            </w:pPr>
            <w:r>
              <w:rPr>
                <w:rFonts w:hint="eastAsia"/>
                <w:sz w:val="21"/>
                <w:szCs w:val="21"/>
                <w:lang w:val="en-US" w:eastAsia="zh-CN"/>
              </w:rPr>
              <w:t>提供至少</w:t>
            </w:r>
            <w:r>
              <w:rPr>
                <w:sz w:val="21"/>
                <w:szCs w:val="21"/>
                <w:lang w:val="en-US" w:eastAsia="zh-CN"/>
              </w:rPr>
              <w:t>3亿日志量接入性能</w:t>
            </w:r>
            <w:r>
              <w:rPr>
                <w:rFonts w:hint="eastAsia"/>
                <w:sz w:val="21"/>
                <w:szCs w:val="21"/>
                <w:lang w:val="en-US" w:eastAsia="zh-CN"/>
              </w:rPr>
              <w:t>，支持纯软部署</w:t>
            </w:r>
          </w:p>
        </w:tc>
      </w:tr>
    </w:tbl>
    <w:p w14:paraId="6A811687">
      <w:pPr>
        <w:rPr>
          <w:rFonts w:hint="eastAsia"/>
          <w:sz w:val="21"/>
          <w:szCs w:val="21"/>
        </w:rPr>
      </w:pPr>
    </w:p>
    <w:p w14:paraId="031FAFEB">
      <w:pPr>
        <w:pStyle w:val="6"/>
        <w:bidi w:val="0"/>
        <w:rPr>
          <w:rFonts w:hint="eastAsia"/>
          <w:sz w:val="21"/>
          <w:szCs w:val="21"/>
          <w:lang w:val="en-US" w:eastAsia="zh-CN"/>
        </w:rPr>
      </w:pPr>
      <w:r>
        <w:rPr>
          <w:rFonts w:hint="eastAsia"/>
          <w:sz w:val="21"/>
          <w:szCs w:val="21"/>
          <w:lang w:val="en-US" w:eastAsia="zh-CN"/>
        </w:rPr>
        <w:t>安全托管服务MSS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18"/>
        <w:gridCol w:w="6257"/>
      </w:tblGrid>
      <w:tr w14:paraId="2A78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top"/>
          </w:tcPr>
          <w:p w14:paraId="24D85858">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
                <w:color w:val="auto"/>
                <w:kern w:val="0"/>
                <w:sz w:val="21"/>
                <w:szCs w:val="21"/>
                <w:lang w:val="en-US" w:eastAsia="zh-CN"/>
              </w:rPr>
              <w:t>序号</w:t>
            </w:r>
          </w:p>
        </w:tc>
        <w:tc>
          <w:tcPr>
            <w:tcW w:w="1318" w:type="dxa"/>
            <w:shd w:val="clear" w:color="auto" w:fill="auto"/>
            <w:vAlign w:val="top"/>
          </w:tcPr>
          <w:p w14:paraId="56E9EA0F">
            <w:pPr>
              <w:widowControl/>
              <w:jc w:val="center"/>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Hans"/>
              </w:rPr>
              <w:t>技术</w:t>
            </w:r>
            <w:r>
              <w:rPr>
                <w:rFonts w:hint="eastAsia" w:ascii="宋体" w:hAnsi="宋体" w:eastAsia="宋体" w:cs="宋体"/>
                <w:b/>
                <w:color w:val="auto"/>
                <w:kern w:val="0"/>
                <w:sz w:val="21"/>
                <w:szCs w:val="21"/>
                <w:lang w:val="en-US" w:eastAsia="zh-CN"/>
              </w:rPr>
              <w:t>指标</w:t>
            </w:r>
          </w:p>
        </w:tc>
        <w:tc>
          <w:tcPr>
            <w:tcW w:w="6257" w:type="dxa"/>
            <w:shd w:val="clear" w:color="auto" w:fill="auto"/>
            <w:vAlign w:val="top"/>
          </w:tcPr>
          <w:p w14:paraId="11FE1E16">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b/>
                <w:color w:val="auto"/>
                <w:kern w:val="0"/>
                <w:sz w:val="21"/>
                <w:szCs w:val="21"/>
              </w:rPr>
              <w:t>指标要求</w:t>
            </w:r>
          </w:p>
        </w:tc>
      </w:tr>
      <w:tr w14:paraId="432C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center"/>
          </w:tcPr>
          <w:p w14:paraId="79C6EA34">
            <w:pPr>
              <w:widowControl/>
              <w:spacing w:line="360" w:lineRule="auto"/>
              <w:jc w:val="center"/>
              <w:rPr>
                <w:rFonts w:hint="eastAsia" w:ascii="宋体" w:hAnsi="宋体" w:eastAsia="宋体" w:cs="宋体"/>
                <w:sz w:val="21"/>
                <w:szCs w:val="21"/>
                <w:lang w:val="en-US" w:eastAsia="zh-CN" w:bidi="ar-SA"/>
              </w:rPr>
            </w:pPr>
            <w:r>
              <w:rPr>
                <w:rFonts w:hint="eastAsia"/>
                <w:sz w:val="21"/>
                <w:szCs w:val="21"/>
              </w:rPr>
              <w:t>1</w:t>
            </w:r>
          </w:p>
        </w:tc>
        <w:tc>
          <w:tcPr>
            <w:tcW w:w="1318" w:type="dxa"/>
            <w:shd w:val="clear" w:color="auto" w:fill="auto"/>
            <w:vAlign w:val="center"/>
          </w:tcPr>
          <w:p w14:paraId="3B2C4C20">
            <w:pPr>
              <w:widowControl/>
              <w:spacing w:line="360" w:lineRule="auto"/>
              <w:jc w:val="center"/>
              <w:rPr>
                <w:rFonts w:hint="eastAsia" w:ascii="宋体" w:hAnsi="宋体" w:eastAsia="宋体" w:cs="宋体"/>
                <w:sz w:val="21"/>
                <w:szCs w:val="21"/>
                <w:lang w:val="en-US" w:eastAsia="zh-Hans" w:bidi="ar-SA"/>
              </w:rPr>
            </w:pPr>
            <w:r>
              <w:rPr>
                <w:rFonts w:hint="eastAsia"/>
                <w:sz w:val="21"/>
                <w:szCs w:val="21"/>
              </w:rPr>
              <w:t>服务频率</w:t>
            </w:r>
          </w:p>
        </w:tc>
        <w:tc>
          <w:tcPr>
            <w:tcW w:w="6257" w:type="dxa"/>
            <w:shd w:val="clear" w:color="auto" w:fill="auto"/>
            <w:vAlign w:val="center"/>
          </w:tcPr>
          <w:p w14:paraId="3C0C57E5">
            <w:pPr>
              <w:widowControl/>
              <w:spacing w:line="360" w:lineRule="auto"/>
              <w:jc w:val="both"/>
              <w:rPr>
                <w:rFonts w:hint="eastAsia" w:ascii="宋体" w:hAnsi="宋体" w:eastAsia="宋体" w:cs="宋体"/>
                <w:sz w:val="21"/>
                <w:szCs w:val="21"/>
                <w:lang w:val="en-US" w:eastAsia="zh-CN" w:bidi="ar-SA"/>
              </w:rPr>
            </w:pPr>
            <w:r>
              <w:rPr>
                <w:rFonts w:hint="eastAsia"/>
                <w:sz w:val="21"/>
                <w:szCs w:val="21"/>
                <w:lang w:val="en-US" w:eastAsia="zh-CN"/>
              </w:rPr>
              <w:t>△安全托管平台需满足接入和分析医院内外网流量威胁检测探针至少4G吞吐量日志，</w:t>
            </w:r>
            <w:r>
              <w:rPr>
                <w:rFonts w:hint="eastAsia"/>
                <w:sz w:val="21"/>
                <w:szCs w:val="21"/>
              </w:rPr>
              <w:t>对</w:t>
            </w:r>
            <w:r>
              <w:rPr>
                <w:rFonts w:hint="eastAsia"/>
                <w:sz w:val="21"/>
                <w:szCs w:val="21"/>
                <w:lang w:val="en-US" w:eastAsia="zh-CN"/>
              </w:rPr>
              <w:t>医院现有全部资产</w:t>
            </w:r>
            <w:r>
              <w:rPr>
                <w:rFonts w:hint="eastAsia"/>
                <w:sz w:val="21"/>
                <w:szCs w:val="21"/>
              </w:rPr>
              <w:t>提供1年7*24小时专家服务，持续开展资产安全、脆弱性、威胁、安全事件管理服务。</w:t>
            </w:r>
          </w:p>
        </w:tc>
      </w:tr>
      <w:tr w14:paraId="6971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center"/>
          </w:tcPr>
          <w:p w14:paraId="6C6CD4DE">
            <w:pPr>
              <w:widowControl/>
              <w:spacing w:line="360" w:lineRule="auto"/>
              <w:jc w:val="center"/>
              <w:rPr>
                <w:rFonts w:hint="eastAsia" w:ascii="宋体" w:hAnsi="宋体" w:eastAsia="宋体" w:cs="宋体"/>
                <w:sz w:val="21"/>
                <w:szCs w:val="21"/>
                <w:lang w:val="en-US" w:eastAsia="zh-CN" w:bidi="ar-SA"/>
              </w:rPr>
            </w:pPr>
            <w:r>
              <w:rPr>
                <w:rFonts w:hint="eastAsia"/>
                <w:sz w:val="21"/>
                <w:szCs w:val="21"/>
              </w:rPr>
              <w:t>2</w:t>
            </w:r>
          </w:p>
        </w:tc>
        <w:tc>
          <w:tcPr>
            <w:tcW w:w="1318" w:type="dxa"/>
            <w:shd w:val="clear" w:color="auto" w:fill="auto"/>
            <w:vAlign w:val="center"/>
          </w:tcPr>
          <w:p w14:paraId="3FDA537A">
            <w:pPr>
              <w:widowControl/>
              <w:spacing w:line="360" w:lineRule="auto"/>
              <w:jc w:val="center"/>
              <w:rPr>
                <w:rFonts w:hint="eastAsia" w:ascii="宋体" w:hAnsi="宋体" w:eastAsia="宋体" w:cs="宋体"/>
                <w:sz w:val="21"/>
                <w:szCs w:val="21"/>
                <w:lang w:val="en-US" w:eastAsia="zh-Hans" w:bidi="ar-SA"/>
              </w:rPr>
            </w:pPr>
            <w:r>
              <w:rPr>
                <w:rFonts w:hint="eastAsia"/>
                <w:sz w:val="21"/>
                <w:szCs w:val="21"/>
                <w:lang w:eastAsia="zh-Hans"/>
              </w:rPr>
              <w:t>首次安全评估</w:t>
            </w:r>
          </w:p>
        </w:tc>
        <w:tc>
          <w:tcPr>
            <w:tcW w:w="6257" w:type="dxa"/>
            <w:shd w:val="clear" w:color="auto" w:fill="auto"/>
            <w:vAlign w:val="center"/>
          </w:tcPr>
          <w:p w14:paraId="015BC7AB">
            <w:pPr>
              <w:widowControl/>
              <w:spacing w:line="360" w:lineRule="auto"/>
              <w:jc w:val="both"/>
              <w:rPr>
                <w:rFonts w:hint="eastAsia" w:ascii="宋体" w:hAnsi="宋体" w:eastAsia="宋体" w:cs="宋体"/>
                <w:sz w:val="21"/>
                <w:szCs w:val="21"/>
                <w:lang w:val="en-US" w:eastAsia="zh-CN" w:bidi="ar-SA"/>
              </w:rPr>
            </w:pPr>
            <w:r>
              <w:rPr>
                <w:rFonts w:hint="eastAsia"/>
                <w:sz w:val="21"/>
                <w:szCs w:val="21"/>
                <w:lang w:eastAsia="zh-Hans"/>
              </w:rPr>
              <w:t>投</w:t>
            </w:r>
            <w:r>
              <w:rPr>
                <w:rFonts w:hint="eastAsia"/>
                <w:sz w:val="21"/>
                <w:szCs w:val="21"/>
              </w:rPr>
              <w:t>标</w:t>
            </w:r>
            <w:r>
              <w:rPr>
                <w:rFonts w:hint="eastAsia"/>
                <w:sz w:val="21"/>
                <w:szCs w:val="21"/>
                <w:lang w:eastAsia="zh-Hans"/>
              </w:rPr>
              <w:t>方应使用安全工具对招标方服务资产开展互联网暴露面探测，以梳理资产面向互联网的开放情况，快速发现违规暴露在互联网中的资产及存在的风险并进行处置，实现对暴露面资产可管可控，降低暴露面资产的风险</w:t>
            </w:r>
          </w:p>
        </w:tc>
      </w:tr>
      <w:tr w14:paraId="307F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center"/>
          </w:tcPr>
          <w:p w14:paraId="2FAC3574">
            <w:pPr>
              <w:widowControl/>
              <w:spacing w:line="360" w:lineRule="auto"/>
              <w:jc w:val="center"/>
              <w:rPr>
                <w:rFonts w:hint="eastAsia" w:ascii="宋体" w:hAnsi="宋体" w:eastAsia="宋体" w:cs="宋体"/>
                <w:sz w:val="21"/>
                <w:szCs w:val="21"/>
                <w:lang w:val="en-US" w:eastAsia="zh-CN" w:bidi="ar-SA"/>
              </w:rPr>
            </w:pPr>
            <w:r>
              <w:rPr>
                <w:rFonts w:hint="eastAsia"/>
                <w:sz w:val="21"/>
                <w:szCs w:val="21"/>
              </w:rPr>
              <w:t>3</w:t>
            </w:r>
          </w:p>
        </w:tc>
        <w:tc>
          <w:tcPr>
            <w:tcW w:w="1318" w:type="dxa"/>
            <w:shd w:val="clear" w:color="auto" w:fill="auto"/>
            <w:vAlign w:val="center"/>
          </w:tcPr>
          <w:p w14:paraId="211592D5">
            <w:pPr>
              <w:widowControl/>
              <w:spacing w:line="360" w:lineRule="auto"/>
              <w:jc w:val="center"/>
              <w:rPr>
                <w:rFonts w:hint="eastAsia" w:ascii="宋体" w:hAnsi="宋体" w:eastAsia="宋体" w:cs="宋体"/>
                <w:sz w:val="21"/>
                <w:szCs w:val="21"/>
                <w:lang w:val="en-US" w:eastAsia="zh-Hans" w:bidi="ar-SA"/>
              </w:rPr>
            </w:pPr>
            <w:r>
              <w:rPr>
                <w:rFonts w:hint="eastAsia"/>
                <w:sz w:val="21"/>
                <w:szCs w:val="21"/>
              </w:rPr>
              <w:t>脆弱性管理</w:t>
            </w:r>
          </w:p>
        </w:tc>
        <w:tc>
          <w:tcPr>
            <w:tcW w:w="6257" w:type="dxa"/>
            <w:shd w:val="clear" w:color="auto" w:fill="auto"/>
            <w:vAlign w:val="center"/>
          </w:tcPr>
          <w:p w14:paraId="590E5057">
            <w:pPr>
              <w:widowControl/>
              <w:spacing w:line="360" w:lineRule="auto"/>
              <w:jc w:val="both"/>
              <w:rPr>
                <w:rFonts w:hint="eastAsia" w:ascii="宋体" w:hAnsi="宋体" w:eastAsia="宋体" w:cs="宋体"/>
                <w:sz w:val="21"/>
                <w:szCs w:val="21"/>
                <w:lang w:val="en-US" w:eastAsia="zh-CN" w:bidi="ar-SA"/>
              </w:rPr>
            </w:pPr>
            <w:r>
              <w:rPr>
                <w:rFonts w:hint="eastAsia"/>
                <w:sz w:val="21"/>
                <w:szCs w:val="21"/>
              </w:rPr>
              <w:t>高危可利用漏洞防护：针对服务范围内资产扫描到的高危可利用漏洞，投标产品厂商应当为招标方做好每一个高危可利用漏洞的防护工作，包括但不限于为招标方提供漏洞修复方案和安全设备防护策略，以及帮助招标方配置防护规则，保证招标方不因此出现重大事件和损失；</w:t>
            </w:r>
          </w:p>
        </w:tc>
      </w:tr>
      <w:tr w14:paraId="6E51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center"/>
          </w:tcPr>
          <w:p w14:paraId="14208C92">
            <w:pPr>
              <w:widowControl/>
              <w:spacing w:line="360" w:lineRule="auto"/>
              <w:jc w:val="center"/>
              <w:rPr>
                <w:rFonts w:hint="eastAsia" w:ascii="宋体" w:hAnsi="宋体" w:eastAsia="宋体" w:cs="宋体"/>
                <w:sz w:val="21"/>
                <w:szCs w:val="21"/>
                <w:lang w:val="en-US" w:eastAsia="zh-CN" w:bidi="ar-SA"/>
              </w:rPr>
            </w:pPr>
            <w:r>
              <w:rPr>
                <w:rFonts w:hint="eastAsia"/>
                <w:sz w:val="21"/>
                <w:szCs w:val="21"/>
              </w:rPr>
              <w:t>4</w:t>
            </w:r>
          </w:p>
        </w:tc>
        <w:tc>
          <w:tcPr>
            <w:tcW w:w="1318" w:type="dxa"/>
            <w:vMerge w:val="restart"/>
            <w:shd w:val="clear" w:color="auto" w:fill="auto"/>
            <w:vAlign w:val="center"/>
          </w:tcPr>
          <w:p w14:paraId="18398147">
            <w:pPr>
              <w:widowControl/>
              <w:spacing w:line="360" w:lineRule="auto"/>
              <w:jc w:val="center"/>
              <w:rPr>
                <w:rFonts w:hint="eastAsia" w:ascii="宋体" w:hAnsi="宋体" w:eastAsia="宋体" w:cs="宋体"/>
                <w:sz w:val="21"/>
                <w:szCs w:val="21"/>
                <w:lang w:val="en-US" w:eastAsia="zh-Hans" w:bidi="ar-SA"/>
              </w:rPr>
            </w:pPr>
            <w:r>
              <w:rPr>
                <w:rFonts w:hint="eastAsia"/>
                <w:sz w:val="21"/>
                <w:szCs w:val="21"/>
              </w:rPr>
              <w:t>威胁管理</w:t>
            </w:r>
          </w:p>
        </w:tc>
        <w:tc>
          <w:tcPr>
            <w:tcW w:w="6257" w:type="dxa"/>
            <w:shd w:val="clear" w:color="auto" w:fill="auto"/>
            <w:vAlign w:val="center"/>
          </w:tcPr>
          <w:p w14:paraId="320BBF09">
            <w:pPr>
              <w:widowControl/>
              <w:spacing w:line="360" w:lineRule="auto"/>
              <w:jc w:val="both"/>
              <w:rPr>
                <w:rFonts w:hint="eastAsia"/>
                <w:sz w:val="21"/>
                <w:szCs w:val="21"/>
                <w:lang w:eastAsia="zh-Hans"/>
              </w:rPr>
            </w:pPr>
            <w:r>
              <w:rPr>
                <w:rFonts w:hint="eastAsia"/>
                <w:sz w:val="21"/>
                <w:szCs w:val="21"/>
                <w:lang w:val="en-US" w:eastAsia="zh-CN"/>
              </w:rPr>
              <w:t>△</w:t>
            </w:r>
            <w:r>
              <w:rPr>
                <w:rFonts w:hint="eastAsia"/>
                <w:sz w:val="21"/>
                <w:szCs w:val="21"/>
                <w:lang w:eastAsia="zh-Hans"/>
              </w:rPr>
              <w:t>投标方应当具备云端检测和分析平台，通过采集招标方安全设备和工具的安全告警和安全日志，结合大数据分析、人工智能等技术手段，为招标方提供7*24小时持续不间断的安全威胁分析鉴定，同时在用户界面进行展示；</w:t>
            </w:r>
          </w:p>
          <w:p w14:paraId="707E1EF9">
            <w:pPr>
              <w:widowControl/>
              <w:spacing w:line="360" w:lineRule="auto"/>
              <w:jc w:val="both"/>
              <w:rPr>
                <w:rFonts w:hint="eastAsia" w:ascii="宋体" w:hAnsi="宋体" w:eastAsia="宋体" w:cs="宋体"/>
                <w:sz w:val="21"/>
                <w:szCs w:val="21"/>
                <w:lang w:val="en-US" w:eastAsia="zh-CN" w:bidi="ar-SA"/>
              </w:rPr>
            </w:pPr>
            <w:r>
              <w:rPr>
                <w:rFonts w:hint="eastAsia"/>
                <w:sz w:val="21"/>
                <w:szCs w:val="21"/>
                <w:lang w:eastAsia="zh-Hans"/>
              </w:rPr>
              <w:t>分析研判包括但不限于对脆弱性、异常流量、攻击日志、病毒日志等数据进行采集和实时分析研判，支持将同一资产的多个告警进行聚合分析发现各类安全事件并生成工单，并在告警详情中展示告警的基本信息，涉及的业务信息、攻击趋势、威胁详情、攻击原理、处置建议等内容，并支持根据客户情况提供备注</w:t>
            </w:r>
            <w:r>
              <w:rPr>
                <w:rFonts w:hint="eastAsia"/>
                <w:sz w:val="21"/>
                <w:szCs w:val="21"/>
                <w:lang w:eastAsia="zh-CN"/>
              </w:rPr>
              <w:t>。</w:t>
            </w:r>
            <w:r>
              <w:rPr>
                <w:rFonts w:hint="eastAsia"/>
                <w:color w:val="auto"/>
                <w:sz w:val="21"/>
                <w:szCs w:val="21"/>
                <w:lang w:eastAsia="zh-Hans"/>
              </w:rPr>
              <w:t>提供云端服务平台告警审核功能界面截图</w:t>
            </w:r>
            <w:r>
              <w:rPr>
                <w:rFonts w:hint="eastAsia"/>
                <w:color w:val="auto"/>
                <w:sz w:val="21"/>
                <w:szCs w:val="21"/>
                <w:lang w:val="en-US" w:eastAsia="zh-CN"/>
              </w:rPr>
              <w:t>证明材料</w:t>
            </w:r>
            <w:r>
              <w:rPr>
                <w:rFonts w:hint="eastAsia"/>
                <w:color w:val="auto"/>
                <w:sz w:val="21"/>
                <w:szCs w:val="21"/>
                <w:lang w:eastAsia="zh-Hans"/>
              </w:rPr>
              <w:t>，举证一个告警聚合分析的例子和一个告警详情展示具备上述能力</w:t>
            </w:r>
          </w:p>
        </w:tc>
      </w:tr>
      <w:tr w14:paraId="2567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947" w:type="dxa"/>
            <w:shd w:val="clear" w:color="auto" w:fill="auto"/>
            <w:vAlign w:val="center"/>
          </w:tcPr>
          <w:p w14:paraId="386436EC">
            <w:pPr>
              <w:widowControl/>
              <w:spacing w:line="360" w:lineRule="auto"/>
              <w:jc w:val="center"/>
              <w:rPr>
                <w:rFonts w:hint="eastAsia" w:ascii="宋体" w:hAnsi="宋体" w:eastAsia="宋体" w:cs="宋体"/>
                <w:sz w:val="21"/>
                <w:szCs w:val="21"/>
                <w:lang w:val="en-US" w:eastAsia="zh-CN" w:bidi="ar-SA"/>
              </w:rPr>
            </w:pPr>
            <w:r>
              <w:rPr>
                <w:rFonts w:hint="eastAsia"/>
                <w:sz w:val="21"/>
                <w:szCs w:val="21"/>
              </w:rPr>
              <w:t>5</w:t>
            </w:r>
          </w:p>
        </w:tc>
        <w:tc>
          <w:tcPr>
            <w:tcW w:w="1318" w:type="dxa"/>
            <w:vMerge w:val="continue"/>
          </w:tcPr>
          <w:p w14:paraId="50463C4B">
            <w:pPr>
              <w:widowControl/>
              <w:jc w:val="center"/>
              <w:rPr>
                <w:rFonts w:hint="eastAsia" w:ascii="宋体" w:hAnsi="宋体" w:eastAsia="宋体" w:cs="宋体"/>
                <w:b/>
                <w:color w:val="auto"/>
                <w:kern w:val="0"/>
                <w:sz w:val="21"/>
                <w:szCs w:val="21"/>
                <w:lang w:val="en-US" w:eastAsia="zh-Hans"/>
              </w:rPr>
            </w:pPr>
          </w:p>
        </w:tc>
        <w:tc>
          <w:tcPr>
            <w:tcW w:w="6257" w:type="dxa"/>
            <w:shd w:val="clear" w:color="auto" w:fill="auto"/>
            <w:vAlign w:val="center"/>
          </w:tcPr>
          <w:p w14:paraId="569208D8">
            <w:pPr>
              <w:widowControl/>
              <w:spacing w:line="360" w:lineRule="auto"/>
              <w:jc w:val="both"/>
              <w:rPr>
                <w:rFonts w:hint="default" w:ascii="宋体" w:hAnsi="宋体" w:eastAsia="宋体" w:cs="宋体"/>
                <w:sz w:val="21"/>
                <w:szCs w:val="21"/>
                <w:lang w:val="en-US" w:eastAsia="zh-CN" w:bidi="ar-SA"/>
              </w:rPr>
            </w:pPr>
            <w:r>
              <w:rPr>
                <w:rFonts w:hint="eastAsia"/>
                <w:sz w:val="21"/>
                <w:szCs w:val="21"/>
                <w:lang w:val="en-US" w:eastAsia="zh-CN"/>
              </w:rPr>
              <w:t>△</w:t>
            </w:r>
            <w:r>
              <w:rPr>
                <w:rFonts w:hint="eastAsia"/>
                <w:sz w:val="21"/>
                <w:szCs w:val="21"/>
              </w:rPr>
              <w:t>个性化的检测规则定制：为了保证安全监测的准确率和服务质量，投标产品厂商应当支持为招标方自定义配置安全规则，以满足日益复杂的安全趋势所带来的安全监测需求</w:t>
            </w:r>
            <w:r>
              <w:rPr>
                <w:rFonts w:hint="eastAsia"/>
                <w:color w:val="auto"/>
                <w:sz w:val="21"/>
                <w:szCs w:val="21"/>
                <w:lang w:eastAsia="zh-CN"/>
              </w:rPr>
              <w:t>。</w:t>
            </w:r>
            <w:r>
              <w:rPr>
                <w:rFonts w:hint="eastAsia"/>
                <w:color w:val="auto"/>
                <w:sz w:val="21"/>
                <w:szCs w:val="21"/>
                <w:lang w:eastAsia="zh-Hans"/>
              </w:rPr>
              <w:t>提供服务平台支持为用户自定义配置安全规则的截图</w:t>
            </w:r>
            <w:r>
              <w:rPr>
                <w:rFonts w:hint="eastAsia"/>
                <w:color w:val="auto"/>
                <w:sz w:val="21"/>
                <w:szCs w:val="21"/>
                <w:lang w:val="en-US" w:eastAsia="zh-CN"/>
              </w:rPr>
              <w:t>证明材料</w:t>
            </w:r>
          </w:p>
        </w:tc>
      </w:tr>
      <w:tr w14:paraId="344A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center"/>
          </w:tcPr>
          <w:p w14:paraId="0053FA98">
            <w:pPr>
              <w:widowControl/>
              <w:spacing w:line="360" w:lineRule="auto"/>
              <w:jc w:val="center"/>
              <w:rPr>
                <w:rFonts w:hint="eastAsia" w:ascii="宋体" w:hAnsi="宋体" w:eastAsia="宋体" w:cs="宋体"/>
                <w:sz w:val="21"/>
                <w:szCs w:val="21"/>
                <w:lang w:val="en-US" w:eastAsia="zh-CN" w:bidi="ar-SA"/>
              </w:rPr>
            </w:pPr>
            <w:r>
              <w:rPr>
                <w:rFonts w:hint="eastAsia"/>
                <w:sz w:val="21"/>
                <w:szCs w:val="21"/>
              </w:rPr>
              <w:t>6</w:t>
            </w:r>
          </w:p>
        </w:tc>
        <w:tc>
          <w:tcPr>
            <w:tcW w:w="1318" w:type="dxa"/>
            <w:vMerge w:val="continue"/>
          </w:tcPr>
          <w:p w14:paraId="7E96549C">
            <w:pPr>
              <w:widowControl/>
              <w:jc w:val="center"/>
              <w:rPr>
                <w:rFonts w:hint="eastAsia" w:ascii="宋体" w:hAnsi="宋体" w:eastAsia="宋体" w:cs="宋体"/>
                <w:b/>
                <w:color w:val="auto"/>
                <w:kern w:val="0"/>
                <w:sz w:val="21"/>
                <w:szCs w:val="21"/>
                <w:lang w:val="en-US" w:eastAsia="zh-Hans"/>
              </w:rPr>
            </w:pPr>
          </w:p>
        </w:tc>
        <w:tc>
          <w:tcPr>
            <w:tcW w:w="6257" w:type="dxa"/>
            <w:shd w:val="clear" w:color="auto" w:fill="auto"/>
            <w:vAlign w:val="center"/>
          </w:tcPr>
          <w:p w14:paraId="7668BF81">
            <w:pPr>
              <w:widowControl/>
              <w:spacing w:line="360" w:lineRule="auto"/>
              <w:jc w:val="both"/>
              <w:rPr>
                <w:rFonts w:hint="eastAsia" w:ascii="宋体" w:hAnsi="宋体" w:eastAsia="宋体" w:cs="宋体"/>
                <w:sz w:val="21"/>
                <w:szCs w:val="21"/>
                <w:lang w:val="en-US" w:eastAsia="zh-CN" w:bidi="ar-SA"/>
              </w:rPr>
            </w:pPr>
            <w:r>
              <w:rPr>
                <w:rFonts w:hint="eastAsia"/>
                <w:sz w:val="21"/>
                <w:szCs w:val="21"/>
              </w:rPr>
              <w:t>受影响资产排查与加固：安全专家应当结合威胁情报主动排查是否对服务资产造成影响并通知用户，及时协助进行安全加固。</w:t>
            </w:r>
          </w:p>
        </w:tc>
      </w:tr>
      <w:tr w14:paraId="0334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center"/>
          </w:tcPr>
          <w:p w14:paraId="1AA3D2A9">
            <w:pPr>
              <w:widowControl/>
              <w:spacing w:line="360" w:lineRule="auto"/>
              <w:jc w:val="center"/>
              <w:rPr>
                <w:rFonts w:hint="eastAsia" w:ascii="宋体" w:hAnsi="宋体" w:eastAsia="宋体" w:cs="宋体"/>
                <w:sz w:val="21"/>
                <w:szCs w:val="21"/>
                <w:lang w:val="en-US" w:eastAsia="zh-CN" w:bidi="ar-SA"/>
              </w:rPr>
            </w:pPr>
            <w:r>
              <w:rPr>
                <w:rFonts w:hint="eastAsia"/>
                <w:sz w:val="21"/>
                <w:szCs w:val="21"/>
              </w:rPr>
              <w:t>7</w:t>
            </w:r>
          </w:p>
        </w:tc>
        <w:tc>
          <w:tcPr>
            <w:tcW w:w="1318" w:type="dxa"/>
            <w:vMerge w:val="continue"/>
          </w:tcPr>
          <w:p w14:paraId="7BCAF84F">
            <w:pPr>
              <w:widowControl/>
              <w:jc w:val="center"/>
              <w:rPr>
                <w:rFonts w:hint="eastAsia" w:ascii="宋体" w:hAnsi="宋体" w:eastAsia="宋体" w:cs="宋体"/>
                <w:b/>
                <w:color w:val="auto"/>
                <w:kern w:val="0"/>
                <w:sz w:val="21"/>
                <w:szCs w:val="21"/>
                <w:lang w:val="en-US" w:eastAsia="zh-Hans"/>
              </w:rPr>
            </w:pPr>
          </w:p>
        </w:tc>
        <w:tc>
          <w:tcPr>
            <w:tcW w:w="6257" w:type="dxa"/>
            <w:shd w:val="clear" w:color="auto" w:fill="auto"/>
            <w:vAlign w:val="center"/>
          </w:tcPr>
          <w:p w14:paraId="4A5D597D">
            <w:pPr>
              <w:widowControl/>
              <w:spacing w:line="360" w:lineRule="auto"/>
              <w:jc w:val="both"/>
              <w:rPr>
                <w:rFonts w:hint="eastAsia" w:ascii="宋体" w:hAnsi="宋体" w:eastAsia="宋体" w:cs="宋体"/>
                <w:sz w:val="21"/>
                <w:szCs w:val="21"/>
                <w:lang w:val="en-US" w:eastAsia="zh-CN" w:bidi="ar-SA"/>
              </w:rPr>
            </w:pPr>
            <w:r>
              <w:rPr>
                <w:rFonts w:hint="eastAsia"/>
                <w:sz w:val="21"/>
                <w:szCs w:val="21"/>
              </w:rPr>
              <w:t>安全策略检查：投标产品厂商安全专家每月对招标方的安全设备的防护策略进行检查，确保安全设备上的安全策略始终处于最优水平，针对威胁能起到最好的防护效果。投标方云端服务平台应当具备丰富的策略检查工具（要求不少于40种策略检查的工具），支持排查安全设备防护策略配置的合理性。</w:t>
            </w:r>
          </w:p>
        </w:tc>
      </w:tr>
      <w:tr w14:paraId="75F3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center"/>
          </w:tcPr>
          <w:p w14:paraId="7E950826">
            <w:pPr>
              <w:widowControl/>
              <w:spacing w:line="360" w:lineRule="auto"/>
              <w:jc w:val="center"/>
              <w:rPr>
                <w:rFonts w:hint="eastAsia" w:ascii="宋体" w:hAnsi="宋体" w:eastAsia="宋体" w:cs="宋体"/>
                <w:sz w:val="21"/>
                <w:szCs w:val="21"/>
                <w:lang w:val="en-US" w:eastAsia="zh-CN" w:bidi="ar-SA"/>
              </w:rPr>
            </w:pPr>
            <w:r>
              <w:rPr>
                <w:rFonts w:hint="eastAsia"/>
                <w:sz w:val="21"/>
                <w:szCs w:val="21"/>
                <w:lang w:val="en-US" w:eastAsia="zh-CN"/>
              </w:rPr>
              <w:t>8</w:t>
            </w:r>
          </w:p>
        </w:tc>
        <w:tc>
          <w:tcPr>
            <w:tcW w:w="1318" w:type="dxa"/>
            <w:vMerge w:val="restart"/>
            <w:shd w:val="clear" w:color="auto" w:fill="auto"/>
            <w:vAlign w:val="center"/>
          </w:tcPr>
          <w:p w14:paraId="03551E6F">
            <w:pPr>
              <w:widowControl/>
              <w:spacing w:line="360" w:lineRule="auto"/>
              <w:jc w:val="center"/>
              <w:rPr>
                <w:rFonts w:hint="eastAsia" w:ascii="宋体" w:hAnsi="宋体" w:eastAsia="宋体" w:cs="宋体"/>
                <w:sz w:val="21"/>
                <w:szCs w:val="21"/>
                <w:lang w:val="en-US" w:eastAsia="zh-Hans" w:bidi="ar-SA"/>
              </w:rPr>
            </w:pPr>
            <w:r>
              <w:rPr>
                <w:rFonts w:hint="eastAsia"/>
                <w:sz w:val="21"/>
                <w:szCs w:val="21"/>
              </w:rPr>
              <w:t>服务要求</w:t>
            </w:r>
          </w:p>
        </w:tc>
        <w:tc>
          <w:tcPr>
            <w:tcW w:w="6257" w:type="dxa"/>
            <w:shd w:val="clear" w:color="auto" w:fill="auto"/>
            <w:vAlign w:val="center"/>
          </w:tcPr>
          <w:p w14:paraId="6A21F681">
            <w:pPr>
              <w:widowControl/>
              <w:spacing w:line="360" w:lineRule="auto"/>
              <w:jc w:val="both"/>
              <w:rPr>
                <w:rFonts w:hint="eastAsia" w:ascii="宋体" w:hAnsi="宋体" w:eastAsia="宋体" w:cs="宋体"/>
                <w:sz w:val="21"/>
                <w:szCs w:val="21"/>
                <w:lang w:val="en-US" w:eastAsia="zh-CN" w:bidi="ar-SA"/>
              </w:rPr>
            </w:pPr>
            <w:r>
              <w:rPr>
                <w:rFonts w:hint="eastAsia"/>
                <w:sz w:val="21"/>
                <w:szCs w:val="21"/>
              </w:rPr>
              <w:t>从安全日志产生到事件通告给招标方的时间方面，按照国家标准对安全事件的分类分级指南，重大安全事件通告时间小于30分钟，一般事件的通告时间少于1小时；</w:t>
            </w:r>
          </w:p>
        </w:tc>
      </w:tr>
      <w:tr w14:paraId="53BC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center"/>
          </w:tcPr>
          <w:p w14:paraId="28055C85">
            <w:pPr>
              <w:widowControl/>
              <w:spacing w:line="360" w:lineRule="auto"/>
              <w:jc w:val="center"/>
              <w:rPr>
                <w:rFonts w:hint="eastAsia" w:ascii="宋体" w:hAnsi="宋体" w:eastAsia="宋体" w:cs="宋体"/>
                <w:sz w:val="21"/>
                <w:szCs w:val="21"/>
                <w:lang w:val="en-US" w:eastAsia="zh-CN" w:bidi="ar-SA"/>
              </w:rPr>
            </w:pPr>
            <w:r>
              <w:rPr>
                <w:rFonts w:hint="eastAsia"/>
                <w:sz w:val="21"/>
                <w:szCs w:val="21"/>
                <w:lang w:val="en-US" w:eastAsia="zh-CN"/>
              </w:rPr>
              <w:t>9</w:t>
            </w:r>
          </w:p>
        </w:tc>
        <w:tc>
          <w:tcPr>
            <w:tcW w:w="1318" w:type="dxa"/>
            <w:vMerge w:val="continue"/>
          </w:tcPr>
          <w:p w14:paraId="69197A82">
            <w:pPr>
              <w:widowControl/>
              <w:jc w:val="center"/>
              <w:rPr>
                <w:rFonts w:hint="eastAsia" w:ascii="宋体" w:hAnsi="宋体" w:eastAsia="宋体" w:cs="宋体"/>
                <w:b/>
                <w:color w:val="auto"/>
                <w:kern w:val="0"/>
                <w:sz w:val="21"/>
                <w:szCs w:val="21"/>
                <w:lang w:val="en-US" w:eastAsia="zh-Hans"/>
              </w:rPr>
            </w:pPr>
          </w:p>
        </w:tc>
        <w:tc>
          <w:tcPr>
            <w:tcW w:w="6257" w:type="dxa"/>
            <w:shd w:val="clear" w:color="auto" w:fill="auto"/>
            <w:vAlign w:val="center"/>
          </w:tcPr>
          <w:p w14:paraId="2F62FF8A">
            <w:pPr>
              <w:widowControl/>
              <w:spacing w:line="360" w:lineRule="auto"/>
              <w:jc w:val="both"/>
              <w:rPr>
                <w:rFonts w:hint="eastAsia" w:ascii="宋体" w:hAnsi="宋体" w:eastAsia="宋体" w:cs="宋体"/>
                <w:sz w:val="21"/>
                <w:szCs w:val="21"/>
                <w:lang w:val="en-US" w:eastAsia="zh-CN" w:bidi="ar-SA"/>
              </w:rPr>
            </w:pPr>
            <w:r>
              <w:rPr>
                <w:rFonts w:hint="eastAsia"/>
                <w:sz w:val="21"/>
                <w:szCs w:val="21"/>
              </w:rPr>
              <w:t>安全事件经过服务人员的确认后，通告给招标方的各类安全事件的准确率不低于99%（即误报不能超过1%）；</w:t>
            </w:r>
          </w:p>
        </w:tc>
      </w:tr>
      <w:tr w14:paraId="037D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center"/>
          </w:tcPr>
          <w:p w14:paraId="561085C0">
            <w:pPr>
              <w:widowControl/>
              <w:spacing w:line="360" w:lineRule="auto"/>
              <w:jc w:val="center"/>
              <w:rPr>
                <w:rFonts w:hint="eastAsia" w:ascii="宋体" w:hAnsi="宋体" w:eastAsia="宋体" w:cs="宋体"/>
                <w:sz w:val="21"/>
                <w:szCs w:val="21"/>
                <w:lang w:val="en-US" w:eastAsia="zh-CN" w:bidi="ar-SA"/>
              </w:rPr>
            </w:pPr>
            <w:r>
              <w:rPr>
                <w:rFonts w:hint="eastAsia"/>
                <w:sz w:val="21"/>
                <w:szCs w:val="21"/>
              </w:rPr>
              <w:t>1</w:t>
            </w:r>
            <w:r>
              <w:rPr>
                <w:rFonts w:hint="eastAsia"/>
                <w:sz w:val="21"/>
                <w:szCs w:val="21"/>
                <w:lang w:val="en-US" w:eastAsia="zh-CN"/>
              </w:rPr>
              <w:t>0</w:t>
            </w:r>
          </w:p>
        </w:tc>
        <w:tc>
          <w:tcPr>
            <w:tcW w:w="1318" w:type="dxa"/>
            <w:vMerge w:val="continue"/>
          </w:tcPr>
          <w:p w14:paraId="26720086">
            <w:pPr>
              <w:widowControl/>
              <w:jc w:val="center"/>
              <w:rPr>
                <w:rFonts w:hint="eastAsia" w:ascii="宋体" w:hAnsi="宋体" w:eastAsia="宋体" w:cs="宋体"/>
                <w:b/>
                <w:color w:val="auto"/>
                <w:kern w:val="0"/>
                <w:sz w:val="21"/>
                <w:szCs w:val="21"/>
                <w:lang w:val="en-US" w:eastAsia="zh-Hans"/>
              </w:rPr>
            </w:pPr>
          </w:p>
        </w:tc>
        <w:tc>
          <w:tcPr>
            <w:tcW w:w="6257" w:type="dxa"/>
            <w:shd w:val="clear" w:color="auto" w:fill="auto"/>
            <w:vAlign w:val="center"/>
          </w:tcPr>
          <w:p w14:paraId="2502F46F">
            <w:pPr>
              <w:widowControl/>
              <w:spacing w:line="360" w:lineRule="auto"/>
              <w:jc w:val="both"/>
              <w:rPr>
                <w:rFonts w:hint="eastAsia" w:ascii="宋体" w:hAnsi="宋体" w:eastAsia="宋体" w:cs="宋体"/>
                <w:sz w:val="21"/>
                <w:szCs w:val="21"/>
                <w:lang w:val="en-US" w:eastAsia="zh-CN" w:bidi="ar-SA"/>
              </w:rPr>
            </w:pPr>
            <w:r>
              <w:rPr>
                <w:rFonts w:hint="eastAsia"/>
                <w:sz w:val="21"/>
                <w:szCs w:val="21"/>
              </w:rPr>
              <w:t>产品服务范围内的所有安全事件的闭环处置比例达到100%。</w:t>
            </w:r>
          </w:p>
        </w:tc>
      </w:tr>
      <w:tr w14:paraId="7A0C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center"/>
          </w:tcPr>
          <w:p w14:paraId="7779CEB4">
            <w:pPr>
              <w:widowControl/>
              <w:spacing w:line="360" w:lineRule="auto"/>
              <w:jc w:val="center"/>
              <w:rPr>
                <w:rFonts w:hint="eastAsia" w:ascii="宋体" w:hAnsi="宋体" w:eastAsia="宋体" w:cs="宋体"/>
                <w:sz w:val="21"/>
                <w:szCs w:val="21"/>
                <w:lang w:val="en-US" w:eastAsia="zh-CN" w:bidi="ar-SA"/>
              </w:rPr>
            </w:pPr>
            <w:r>
              <w:rPr>
                <w:rFonts w:hint="eastAsia"/>
                <w:sz w:val="21"/>
                <w:szCs w:val="21"/>
              </w:rPr>
              <w:t>1</w:t>
            </w:r>
            <w:r>
              <w:rPr>
                <w:rFonts w:hint="eastAsia"/>
                <w:sz w:val="21"/>
                <w:szCs w:val="21"/>
                <w:lang w:val="en-US" w:eastAsia="zh-CN"/>
              </w:rPr>
              <w:t>1</w:t>
            </w:r>
          </w:p>
        </w:tc>
        <w:tc>
          <w:tcPr>
            <w:tcW w:w="1318" w:type="dxa"/>
            <w:vMerge w:val="continue"/>
          </w:tcPr>
          <w:p w14:paraId="28EEE6A3">
            <w:pPr>
              <w:widowControl/>
              <w:jc w:val="center"/>
              <w:rPr>
                <w:rFonts w:hint="eastAsia" w:ascii="宋体" w:hAnsi="宋体" w:eastAsia="宋体" w:cs="宋体"/>
                <w:b/>
                <w:color w:val="auto"/>
                <w:kern w:val="0"/>
                <w:sz w:val="21"/>
                <w:szCs w:val="21"/>
                <w:lang w:val="en-US" w:eastAsia="zh-Hans"/>
              </w:rPr>
            </w:pPr>
          </w:p>
        </w:tc>
        <w:tc>
          <w:tcPr>
            <w:tcW w:w="6257" w:type="dxa"/>
            <w:shd w:val="clear" w:color="auto" w:fill="auto"/>
            <w:vAlign w:val="center"/>
          </w:tcPr>
          <w:p w14:paraId="3904AF6D">
            <w:pPr>
              <w:widowControl/>
              <w:spacing w:line="360" w:lineRule="auto"/>
              <w:jc w:val="both"/>
              <w:rPr>
                <w:rFonts w:hint="eastAsia" w:ascii="宋体" w:hAnsi="宋体" w:eastAsia="宋体" w:cs="宋体"/>
                <w:sz w:val="21"/>
                <w:szCs w:val="21"/>
                <w:lang w:val="en-US" w:eastAsia="zh-CN" w:bidi="ar-SA"/>
              </w:rPr>
            </w:pPr>
            <w:r>
              <w:rPr>
                <w:rFonts w:hint="eastAsia"/>
                <w:sz w:val="21"/>
                <w:szCs w:val="21"/>
              </w:rPr>
              <w:t>产品应当满足重大事故应启动应急响应机制，工作时间15分钟之内云端专家进行响应，非工作时间30分钟之内云端专家进行响应，2小时上门处置。</w:t>
            </w:r>
          </w:p>
        </w:tc>
      </w:tr>
      <w:tr w14:paraId="7F50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center"/>
          </w:tcPr>
          <w:p w14:paraId="15EFA422">
            <w:pPr>
              <w:widowControl/>
              <w:spacing w:line="360" w:lineRule="auto"/>
              <w:jc w:val="center"/>
              <w:rPr>
                <w:rFonts w:hint="eastAsia" w:ascii="宋体" w:hAnsi="宋体" w:eastAsia="宋体" w:cs="宋体"/>
                <w:sz w:val="21"/>
                <w:szCs w:val="21"/>
                <w:lang w:val="en-US" w:eastAsia="zh-CN" w:bidi="ar-SA"/>
              </w:rPr>
            </w:pPr>
            <w:r>
              <w:rPr>
                <w:rFonts w:hint="eastAsia"/>
                <w:sz w:val="21"/>
                <w:szCs w:val="21"/>
              </w:rPr>
              <w:t>1</w:t>
            </w:r>
            <w:r>
              <w:rPr>
                <w:rFonts w:hint="eastAsia"/>
                <w:sz w:val="21"/>
                <w:szCs w:val="21"/>
                <w:lang w:val="en-US" w:eastAsia="zh-CN"/>
              </w:rPr>
              <w:t>2</w:t>
            </w:r>
          </w:p>
        </w:tc>
        <w:tc>
          <w:tcPr>
            <w:tcW w:w="1318" w:type="dxa"/>
            <w:vMerge w:val="continue"/>
          </w:tcPr>
          <w:p w14:paraId="4A37F704">
            <w:pPr>
              <w:widowControl/>
              <w:jc w:val="center"/>
              <w:rPr>
                <w:rFonts w:hint="eastAsia" w:ascii="宋体" w:hAnsi="宋体" w:eastAsia="宋体" w:cs="宋体"/>
                <w:b/>
                <w:color w:val="auto"/>
                <w:kern w:val="0"/>
                <w:sz w:val="21"/>
                <w:szCs w:val="21"/>
                <w:lang w:val="en-US" w:eastAsia="zh-Hans"/>
              </w:rPr>
            </w:pPr>
          </w:p>
        </w:tc>
        <w:tc>
          <w:tcPr>
            <w:tcW w:w="6257" w:type="dxa"/>
            <w:shd w:val="clear" w:color="auto" w:fill="auto"/>
            <w:vAlign w:val="center"/>
          </w:tcPr>
          <w:p w14:paraId="781938E4">
            <w:pPr>
              <w:widowControl/>
              <w:spacing w:line="360" w:lineRule="auto"/>
              <w:jc w:val="both"/>
              <w:rPr>
                <w:rFonts w:hint="eastAsia" w:ascii="宋体" w:hAnsi="宋体" w:eastAsia="宋体" w:cs="宋体"/>
                <w:sz w:val="21"/>
                <w:szCs w:val="21"/>
                <w:lang w:val="en-US" w:eastAsia="zh-CN" w:bidi="ar-SA"/>
              </w:rPr>
            </w:pPr>
            <w:r>
              <w:rPr>
                <w:rFonts w:hint="eastAsia"/>
                <w:sz w:val="21"/>
                <w:szCs w:val="21"/>
              </w:rPr>
              <w:t>在具备投标产品厂商的边界防护组件的情况下，要求投标产品厂商可以对服务范围内发现的每一个高危可利用漏洞提供防护规则，并且承诺防护率达到99%。</w:t>
            </w:r>
          </w:p>
        </w:tc>
      </w:tr>
      <w:tr w14:paraId="02AB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center"/>
          </w:tcPr>
          <w:p w14:paraId="3AE7F5FC">
            <w:pPr>
              <w:widowControl/>
              <w:spacing w:line="360" w:lineRule="auto"/>
              <w:jc w:val="center"/>
              <w:rPr>
                <w:rFonts w:hint="eastAsia" w:ascii="宋体" w:hAnsi="宋体" w:eastAsia="宋体" w:cs="宋体"/>
                <w:sz w:val="21"/>
                <w:szCs w:val="21"/>
                <w:lang w:val="en-US" w:eastAsia="zh-CN" w:bidi="ar-SA"/>
              </w:rPr>
            </w:pPr>
            <w:r>
              <w:rPr>
                <w:rFonts w:hint="eastAsia"/>
                <w:sz w:val="21"/>
                <w:szCs w:val="21"/>
              </w:rPr>
              <w:t>1</w:t>
            </w:r>
            <w:r>
              <w:rPr>
                <w:rFonts w:hint="eastAsia"/>
                <w:sz w:val="21"/>
                <w:szCs w:val="21"/>
                <w:lang w:val="en-US" w:eastAsia="zh-CN"/>
              </w:rPr>
              <w:t>3</w:t>
            </w:r>
          </w:p>
        </w:tc>
        <w:tc>
          <w:tcPr>
            <w:tcW w:w="1318" w:type="dxa"/>
            <w:shd w:val="clear" w:color="auto" w:fill="auto"/>
            <w:vAlign w:val="center"/>
          </w:tcPr>
          <w:p w14:paraId="4635753A">
            <w:pPr>
              <w:widowControl/>
              <w:spacing w:line="360" w:lineRule="auto"/>
              <w:jc w:val="center"/>
              <w:rPr>
                <w:rFonts w:hint="eastAsia" w:ascii="宋体" w:hAnsi="宋体" w:eastAsia="宋体" w:cs="宋体"/>
                <w:sz w:val="21"/>
                <w:szCs w:val="21"/>
                <w:lang w:val="en-US" w:eastAsia="zh-Hans" w:bidi="ar-SA"/>
              </w:rPr>
            </w:pPr>
            <w:r>
              <w:rPr>
                <w:rFonts w:hint="eastAsia"/>
                <w:sz w:val="21"/>
                <w:szCs w:val="21"/>
              </w:rPr>
              <w:t>用户portal参数</w:t>
            </w:r>
          </w:p>
        </w:tc>
        <w:tc>
          <w:tcPr>
            <w:tcW w:w="6257" w:type="dxa"/>
            <w:shd w:val="clear" w:color="auto" w:fill="auto"/>
            <w:vAlign w:val="center"/>
          </w:tcPr>
          <w:p w14:paraId="5FFCC7B3">
            <w:pPr>
              <w:widowControl/>
              <w:spacing w:line="360" w:lineRule="auto"/>
              <w:jc w:val="both"/>
              <w:rPr>
                <w:rFonts w:hint="eastAsia" w:ascii="宋体" w:hAnsi="宋体" w:eastAsia="宋体" w:cs="宋体"/>
                <w:sz w:val="21"/>
                <w:szCs w:val="21"/>
                <w:lang w:val="en-US" w:eastAsia="zh-CN" w:bidi="ar-SA"/>
              </w:rPr>
            </w:pPr>
            <w:r>
              <w:rPr>
                <w:rFonts w:hint="eastAsia"/>
                <w:sz w:val="21"/>
                <w:szCs w:val="21"/>
              </w:rPr>
              <w:t>需提供安全运营整体情况的总览页面，支持查看安全整体评分情况、托管资产和监测流量信息、托管资产及其承载的业务的安全现状，便于招标方清晰直观地从业务视角查阅当前具体哪些核心业务系统资产是安全的、哪些资产存在风险。</w:t>
            </w:r>
          </w:p>
        </w:tc>
      </w:tr>
      <w:tr w14:paraId="7706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center"/>
          </w:tcPr>
          <w:p w14:paraId="533F8967">
            <w:pPr>
              <w:widowControl/>
              <w:spacing w:line="360" w:lineRule="auto"/>
              <w:jc w:val="center"/>
              <w:rPr>
                <w:rFonts w:hint="eastAsia" w:ascii="宋体" w:hAnsi="宋体" w:eastAsia="宋体" w:cs="宋体"/>
                <w:sz w:val="21"/>
                <w:szCs w:val="21"/>
                <w:lang w:val="en-US" w:eastAsia="zh-CN" w:bidi="ar-SA"/>
              </w:rPr>
            </w:pPr>
            <w:r>
              <w:rPr>
                <w:rFonts w:hint="eastAsia"/>
                <w:sz w:val="21"/>
                <w:szCs w:val="21"/>
              </w:rPr>
              <w:t>1</w:t>
            </w:r>
            <w:r>
              <w:rPr>
                <w:rFonts w:hint="eastAsia"/>
                <w:sz w:val="21"/>
                <w:szCs w:val="21"/>
                <w:lang w:val="en-US" w:eastAsia="zh-CN"/>
              </w:rPr>
              <w:t>4</w:t>
            </w:r>
          </w:p>
        </w:tc>
        <w:tc>
          <w:tcPr>
            <w:tcW w:w="1318" w:type="dxa"/>
            <w:vMerge w:val="restart"/>
            <w:shd w:val="clear" w:color="auto" w:fill="auto"/>
            <w:vAlign w:val="center"/>
          </w:tcPr>
          <w:p w14:paraId="5C8920CF">
            <w:pPr>
              <w:widowControl/>
              <w:spacing w:line="360" w:lineRule="auto"/>
              <w:jc w:val="center"/>
              <w:rPr>
                <w:rFonts w:hint="eastAsia" w:ascii="宋体" w:hAnsi="宋体" w:eastAsia="宋体" w:cs="宋体"/>
                <w:sz w:val="21"/>
                <w:szCs w:val="21"/>
                <w:lang w:val="en-US" w:eastAsia="zh-Hans" w:bidi="ar-SA"/>
              </w:rPr>
            </w:pPr>
            <w:r>
              <w:rPr>
                <w:rFonts w:hint="eastAsia"/>
                <w:sz w:val="21"/>
                <w:szCs w:val="21"/>
              </w:rPr>
              <w:t>云端服务平台要求</w:t>
            </w:r>
          </w:p>
        </w:tc>
        <w:tc>
          <w:tcPr>
            <w:tcW w:w="6257" w:type="dxa"/>
            <w:shd w:val="clear" w:color="auto" w:fill="auto"/>
            <w:vAlign w:val="center"/>
          </w:tcPr>
          <w:p w14:paraId="09FEDF8A">
            <w:pPr>
              <w:widowControl/>
              <w:spacing w:line="360" w:lineRule="auto"/>
              <w:jc w:val="both"/>
              <w:rPr>
                <w:rFonts w:hint="eastAsia" w:ascii="宋体" w:hAnsi="宋体" w:eastAsia="宋体" w:cs="宋体"/>
                <w:sz w:val="21"/>
                <w:szCs w:val="21"/>
                <w:lang w:val="en-US" w:eastAsia="zh-CN" w:bidi="ar-SA"/>
              </w:rPr>
            </w:pPr>
            <w:r>
              <w:rPr>
                <w:rFonts w:hint="eastAsia"/>
                <w:sz w:val="21"/>
                <w:szCs w:val="21"/>
              </w:rPr>
              <w:t>投标产品厂商应当具备云端7*24小时运行的服务平台</w:t>
            </w:r>
          </w:p>
        </w:tc>
      </w:tr>
      <w:tr w14:paraId="0499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center"/>
          </w:tcPr>
          <w:p w14:paraId="63B70834">
            <w:pPr>
              <w:widowControl/>
              <w:spacing w:line="360" w:lineRule="auto"/>
              <w:jc w:val="center"/>
              <w:rPr>
                <w:rFonts w:hint="eastAsia" w:ascii="宋体" w:hAnsi="宋体" w:eastAsia="宋体" w:cs="宋体"/>
                <w:sz w:val="21"/>
                <w:szCs w:val="21"/>
                <w:lang w:val="en-US" w:eastAsia="zh-CN" w:bidi="ar-SA"/>
              </w:rPr>
            </w:pPr>
            <w:r>
              <w:rPr>
                <w:rFonts w:hint="eastAsia"/>
                <w:sz w:val="21"/>
                <w:szCs w:val="21"/>
              </w:rPr>
              <w:t>1</w:t>
            </w:r>
            <w:r>
              <w:rPr>
                <w:rFonts w:hint="eastAsia"/>
                <w:sz w:val="21"/>
                <w:szCs w:val="21"/>
                <w:lang w:val="en-US" w:eastAsia="zh-CN"/>
              </w:rPr>
              <w:t>5</w:t>
            </w:r>
          </w:p>
        </w:tc>
        <w:tc>
          <w:tcPr>
            <w:tcW w:w="1318" w:type="dxa"/>
            <w:vMerge w:val="continue"/>
          </w:tcPr>
          <w:p w14:paraId="762F2BB4">
            <w:pPr>
              <w:widowControl/>
              <w:jc w:val="center"/>
              <w:rPr>
                <w:rFonts w:hint="eastAsia" w:ascii="宋体" w:hAnsi="宋体" w:eastAsia="宋体" w:cs="宋体"/>
                <w:b/>
                <w:color w:val="auto"/>
                <w:kern w:val="0"/>
                <w:sz w:val="21"/>
                <w:szCs w:val="21"/>
                <w:lang w:val="en-US" w:eastAsia="zh-Hans"/>
              </w:rPr>
            </w:pPr>
          </w:p>
        </w:tc>
        <w:tc>
          <w:tcPr>
            <w:tcW w:w="6257" w:type="dxa"/>
            <w:shd w:val="clear" w:color="auto" w:fill="auto"/>
            <w:vAlign w:val="center"/>
          </w:tcPr>
          <w:p w14:paraId="414F3948">
            <w:pPr>
              <w:widowControl/>
              <w:spacing w:line="360" w:lineRule="auto"/>
              <w:jc w:val="both"/>
              <w:rPr>
                <w:rFonts w:hint="eastAsia" w:ascii="宋体" w:hAnsi="宋体" w:eastAsia="宋体" w:cs="宋体"/>
                <w:sz w:val="21"/>
                <w:szCs w:val="21"/>
                <w:lang w:val="en-US" w:eastAsia="zh-CN" w:bidi="ar-SA"/>
              </w:rPr>
            </w:pPr>
            <w:r>
              <w:rPr>
                <w:rFonts w:hint="eastAsia"/>
                <w:sz w:val="21"/>
                <w:szCs w:val="21"/>
              </w:rPr>
              <w:t>平台合规性要求：投标产品厂商云端服务平台应当做好严格的安全防护，并严格按照《</w:t>
            </w:r>
            <w:r>
              <w:rPr>
                <w:rFonts w:hint="eastAsia"/>
                <w:sz w:val="21"/>
                <w:szCs w:val="21"/>
              </w:rPr>
              <w:fldChar w:fldCharType="begin"/>
            </w:r>
            <w:r>
              <w:rPr>
                <w:rFonts w:hint="eastAsia"/>
                <w:sz w:val="21"/>
                <w:szCs w:val="21"/>
              </w:rPr>
              <w:instrText xml:space="preserve"> HYPERLINK "https://baike.baidu.com/item/%E4%BF%A1%E6%81%AF%E5%AE%89%E5%85%A8%E6%8A%80%E6%9C%AF%E2%80%94%E7%BD%91%E7%BB%9C%E5%AE%89%E5%85%A8%E7%AD%89%E7%BA%A7%E4%BF%9D%E6%8A%A4%E5%9F%BA%E6%9C%AC%E8%A6%81%E6%B1%82/53703710?fromModule=lemma_inlink" \t "/Users/duan/Documents\x/_blank" </w:instrText>
            </w:r>
            <w:r>
              <w:rPr>
                <w:rFonts w:hint="eastAsia"/>
                <w:sz w:val="21"/>
                <w:szCs w:val="21"/>
              </w:rPr>
              <w:fldChar w:fldCharType="separate"/>
            </w:r>
            <w:r>
              <w:rPr>
                <w:rFonts w:hint="eastAsia"/>
                <w:sz w:val="21"/>
                <w:szCs w:val="21"/>
              </w:rPr>
              <w:t>信息安全技术—网络安全等级保护基本要求</w:t>
            </w:r>
            <w:r>
              <w:rPr>
                <w:rFonts w:hint="eastAsia"/>
                <w:sz w:val="21"/>
                <w:szCs w:val="21"/>
              </w:rPr>
              <w:fldChar w:fldCharType="end"/>
            </w:r>
            <w:r>
              <w:rPr>
                <w:rFonts w:hint="eastAsia"/>
                <w:sz w:val="21"/>
                <w:szCs w:val="21"/>
              </w:rPr>
              <w:t>》完成等级保护测评工作，服务平台至少通过等级保护三级测评</w:t>
            </w:r>
          </w:p>
        </w:tc>
      </w:tr>
      <w:tr w14:paraId="260E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center"/>
          </w:tcPr>
          <w:p w14:paraId="26AB6DEC">
            <w:pPr>
              <w:widowControl/>
              <w:spacing w:line="360" w:lineRule="auto"/>
              <w:jc w:val="center"/>
              <w:rPr>
                <w:rFonts w:hint="eastAsia" w:ascii="宋体" w:hAnsi="宋体" w:eastAsia="宋体" w:cs="宋体"/>
                <w:sz w:val="21"/>
                <w:szCs w:val="21"/>
                <w:lang w:val="en-US" w:eastAsia="zh-CN" w:bidi="ar-SA"/>
              </w:rPr>
            </w:pPr>
            <w:r>
              <w:rPr>
                <w:rFonts w:hint="eastAsia"/>
                <w:sz w:val="21"/>
                <w:szCs w:val="21"/>
              </w:rPr>
              <w:t>1</w:t>
            </w:r>
            <w:r>
              <w:rPr>
                <w:rFonts w:hint="eastAsia"/>
                <w:sz w:val="21"/>
                <w:szCs w:val="21"/>
                <w:lang w:val="en-US" w:eastAsia="zh-CN"/>
              </w:rPr>
              <w:t>6</w:t>
            </w:r>
          </w:p>
        </w:tc>
        <w:tc>
          <w:tcPr>
            <w:tcW w:w="1318" w:type="dxa"/>
            <w:shd w:val="clear" w:color="auto" w:fill="auto"/>
            <w:vAlign w:val="center"/>
          </w:tcPr>
          <w:p w14:paraId="1776C99C">
            <w:pPr>
              <w:widowControl/>
              <w:spacing w:line="360" w:lineRule="auto"/>
              <w:jc w:val="center"/>
              <w:rPr>
                <w:rFonts w:hint="eastAsia" w:ascii="宋体" w:hAnsi="宋体" w:eastAsia="宋体" w:cs="宋体"/>
                <w:sz w:val="21"/>
                <w:szCs w:val="21"/>
                <w:lang w:val="en-US" w:eastAsia="zh-Hans" w:bidi="ar-SA"/>
              </w:rPr>
            </w:pPr>
            <w:r>
              <w:rPr>
                <w:rFonts w:hint="eastAsia"/>
                <w:sz w:val="21"/>
                <w:szCs w:val="21"/>
                <w:lang w:val="en-US" w:eastAsia="zh-CN"/>
              </w:rPr>
              <w:t>勒索风险排查</w:t>
            </w:r>
          </w:p>
        </w:tc>
        <w:tc>
          <w:tcPr>
            <w:tcW w:w="6257" w:type="dxa"/>
            <w:shd w:val="clear" w:color="auto" w:fill="auto"/>
            <w:vAlign w:val="center"/>
          </w:tcPr>
          <w:p w14:paraId="0198A87B">
            <w:pPr>
              <w:widowControl/>
              <w:spacing w:line="360" w:lineRule="auto"/>
              <w:jc w:val="both"/>
              <w:rPr>
                <w:rFonts w:hint="eastAsia" w:ascii="宋体" w:hAnsi="宋体" w:eastAsia="宋体" w:cs="宋体"/>
                <w:sz w:val="21"/>
                <w:szCs w:val="21"/>
                <w:lang w:val="en-US" w:eastAsia="zh-CN" w:bidi="ar-SA"/>
              </w:rPr>
            </w:pPr>
            <w:r>
              <w:rPr>
                <w:rFonts w:hint="eastAsia"/>
                <w:sz w:val="21"/>
                <w:szCs w:val="21"/>
                <w:lang w:val="en-US" w:eastAsia="zh-CN"/>
              </w:rPr>
              <w:t>△</w:t>
            </w:r>
            <w:r>
              <w:rPr>
                <w:rFonts w:hint="eastAsia"/>
                <w:sz w:val="21"/>
                <w:szCs w:val="21"/>
              </w:rPr>
              <w:t>投标方应</w:t>
            </w:r>
            <w:r>
              <w:rPr>
                <w:rFonts w:hint="eastAsia"/>
                <w:sz w:val="21"/>
                <w:szCs w:val="21"/>
                <w:lang w:eastAsia="zh-Hans"/>
              </w:rPr>
              <w:t>面向招标方提供</w:t>
            </w:r>
            <w:r>
              <w:rPr>
                <w:rFonts w:hint="eastAsia"/>
                <w:sz w:val="21"/>
                <w:szCs w:val="21"/>
              </w:rPr>
              <w:t>定期的勒索病毒入侵风险专项排查，投标方应</w:t>
            </w:r>
            <w:r>
              <w:rPr>
                <w:rFonts w:hint="eastAsia"/>
                <w:sz w:val="21"/>
                <w:szCs w:val="21"/>
                <w:lang w:eastAsia="zh-Hans"/>
              </w:rPr>
              <w:t>按照</w:t>
            </w:r>
            <w:r>
              <w:rPr>
                <w:rFonts w:hint="eastAsia"/>
                <w:sz w:val="21"/>
                <w:szCs w:val="21"/>
              </w:rPr>
              <w:t>勒索预防Checklist开展勒索风险评估，勒索预防Checklist应当包含勒索高危利用漏洞、端口、安全策略、</w:t>
            </w:r>
            <w:r>
              <w:rPr>
                <w:rFonts w:hint="eastAsia"/>
                <w:sz w:val="21"/>
                <w:szCs w:val="21"/>
                <w:lang w:eastAsia="zh-Hans"/>
              </w:rPr>
              <w:t>勒索</w:t>
            </w:r>
            <w:r>
              <w:rPr>
                <w:rFonts w:hint="eastAsia"/>
                <w:sz w:val="21"/>
                <w:szCs w:val="21"/>
              </w:rPr>
              <w:t>攻击行为几个纬度。</w:t>
            </w:r>
          </w:p>
        </w:tc>
      </w:tr>
      <w:tr w14:paraId="3BEB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auto"/>
            <w:vAlign w:val="center"/>
          </w:tcPr>
          <w:p w14:paraId="1778034F">
            <w:pPr>
              <w:widowControl/>
              <w:spacing w:line="360" w:lineRule="auto"/>
              <w:jc w:val="center"/>
              <w:rPr>
                <w:rFonts w:hint="eastAsia" w:ascii="宋体" w:hAnsi="宋体" w:eastAsia="宋体" w:cs="宋体"/>
                <w:sz w:val="21"/>
                <w:szCs w:val="21"/>
                <w:lang w:val="en-US" w:eastAsia="zh-CN" w:bidi="ar-SA"/>
              </w:rPr>
            </w:pPr>
            <w:r>
              <w:rPr>
                <w:rFonts w:hint="eastAsia"/>
                <w:sz w:val="21"/>
                <w:szCs w:val="21"/>
              </w:rPr>
              <w:t>1</w:t>
            </w:r>
            <w:r>
              <w:rPr>
                <w:rFonts w:hint="eastAsia"/>
                <w:sz w:val="21"/>
                <w:szCs w:val="21"/>
                <w:lang w:val="en-US" w:eastAsia="zh-CN"/>
              </w:rPr>
              <w:t>7</w:t>
            </w:r>
          </w:p>
        </w:tc>
        <w:tc>
          <w:tcPr>
            <w:tcW w:w="1318" w:type="dxa"/>
            <w:shd w:val="clear" w:color="auto" w:fill="auto"/>
            <w:vAlign w:val="center"/>
          </w:tcPr>
          <w:p w14:paraId="04CFA504">
            <w:pPr>
              <w:widowControl/>
              <w:spacing w:line="360" w:lineRule="auto"/>
              <w:jc w:val="center"/>
              <w:rPr>
                <w:rFonts w:hint="eastAsia" w:ascii="宋体" w:hAnsi="宋体" w:eastAsia="宋体" w:cs="宋体"/>
                <w:sz w:val="21"/>
                <w:szCs w:val="21"/>
                <w:lang w:val="en-US" w:eastAsia="zh-Hans" w:bidi="ar-SA"/>
              </w:rPr>
            </w:pPr>
            <w:r>
              <w:rPr>
                <w:rFonts w:hint="eastAsia"/>
                <w:sz w:val="21"/>
                <w:szCs w:val="21"/>
              </w:rPr>
              <w:t>服务交付物</w:t>
            </w:r>
          </w:p>
        </w:tc>
        <w:tc>
          <w:tcPr>
            <w:tcW w:w="6257" w:type="dxa"/>
            <w:shd w:val="clear" w:color="auto" w:fill="auto"/>
            <w:vAlign w:val="center"/>
          </w:tcPr>
          <w:p w14:paraId="54629FFD">
            <w:pPr>
              <w:widowControl/>
              <w:spacing w:line="360" w:lineRule="auto"/>
              <w:jc w:val="both"/>
              <w:rPr>
                <w:rFonts w:hint="eastAsia"/>
                <w:sz w:val="21"/>
                <w:szCs w:val="21"/>
              </w:rPr>
            </w:pPr>
            <w:r>
              <w:rPr>
                <w:rFonts w:hint="eastAsia"/>
                <w:sz w:val="21"/>
                <w:szCs w:val="21"/>
              </w:rPr>
              <w:t>交付物名称：《安全服务运营报告》，报告频率：每周一次。</w:t>
            </w:r>
          </w:p>
          <w:p w14:paraId="5B90DD6D">
            <w:pPr>
              <w:widowControl/>
              <w:spacing w:line="360" w:lineRule="auto"/>
              <w:jc w:val="both"/>
              <w:rPr>
                <w:rFonts w:hint="eastAsia"/>
                <w:sz w:val="21"/>
                <w:szCs w:val="21"/>
              </w:rPr>
            </w:pPr>
            <w:r>
              <w:rPr>
                <w:rFonts w:hint="eastAsia"/>
                <w:sz w:val="21"/>
                <w:szCs w:val="21"/>
              </w:rPr>
              <w:t>交付物名称：《首次威胁分析与处置报告》，报告频率：一次。</w:t>
            </w:r>
          </w:p>
          <w:p w14:paraId="022F6E85">
            <w:pPr>
              <w:widowControl/>
              <w:spacing w:line="360" w:lineRule="auto"/>
              <w:jc w:val="both"/>
              <w:rPr>
                <w:rFonts w:hint="eastAsia"/>
                <w:sz w:val="21"/>
                <w:szCs w:val="21"/>
              </w:rPr>
            </w:pPr>
            <w:r>
              <w:rPr>
                <w:rFonts w:hint="eastAsia"/>
                <w:sz w:val="21"/>
                <w:szCs w:val="21"/>
              </w:rPr>
              <w:t>交付物名称：《事件分析与处置报告》，报告频率：按需触发，不限次数。</w:t>
            </w:r>
          </w:p>
          <w:p w14:paraId="15D3BE60">
            <w:pPr>
              <w:widowControl/>
              <w:spacing w:line="360" w:lineRule="auto"/>
              <w:jc w:val="both"/>
              <w:rPr>
                <w:rFonts w:hint="eastAsia"/>
                <w:sz w:val="21"/>
                <w:szCs w:val="21"/>
              </w:rPr>
            </w:pPr>
            <w:r>
              <w:rPr>
                <w:rFonts w:hint="eastAsia"/>
                <w:sz w:val="21"/>
                <w:szCs w:val="21"/>
              </w:rPr>
              <w:t>交付物名称：《安全通告》，报告频率：按需触发，不限次数。</w:t>
            </w:r>
          </w:p>
          <w:p w14:paraId="6F4E89EA">
            <w:pPr>
              <w:widowControl/>
              <w:spacing w:line="360" w:lineRule="auto"/>
              <w:jc w:val="both"/>
              <w:rPr>
                <w:rFonts w:hint="eastAsia"/>
                <w:sz w:val="21"/>
                <w:szCs w:val="21"/>
              </w:rPr>
            </w:pPr>
            <w:r>
              <w:rPr>
                <w:rFonts w:hint="eastAsia"/>
                <w:sz w:val="21"/>
                <w:szCs w:val="21"/>
              </w:rPr>
              <w:t>交付物名称：《综合分析报告/运营月报》，报告频率：每月一次。</w:t>
            </w:r>
          </w:p>
          <w:p w14:paraId="18A6FC56">
            <w:pPr>
              <w:widowControl/>
              <w:spacing w:line="360" w:lineRule="auto"/>
              <w:jc w:val="both"/>
              <w:rPr>
                <w:rFonts w:hint="eastAsia"/>
                <w:sz w:val="21"/>
                <w:szCs w:val="21"/>
              </w:rPr>
            </w:pPr>
            <w:r>
              <w:rPr>
                <w:rFonts w:hint="eastAsia"/>
                <w:sz w:val="21"/>
                <w:szCs w:val="21"/>
              </w:rPr>
              <w:t>交付物名称：《季度汇报PPT》，报告频率：每季度一次。</w:t>
            </w:r>
          </w:p>
          <w:p w14:paraId="6B39C036">
            <w:pPr>
              <w:widowControl/>
              <w:spacing w:line="360" w:lineRule="auto"/>
              <w:jc w:val="both"/>
              <w:rPr>
                <w:rFonts w:hint="eastAsia" w:ascii="宋体" w:hAnsi="宋体" w:eastAsia="宋体" w:cs="宋体"/>
                <w:sz w:val="21"/>
                <w:szCs w:val="21"/>
                <w:lang w:val="en-US" w:eastAsia="zh-CN" w:bidi="ar-SA"/>
              </w:rPr>
            </w:pPr>
            <w:r>
              <w:rPr>
                <w:rFonts w:hint="eastAsia"/>
                <w:sz w:val="21"/>
                <w:szCs w:val="21"/>
              </w:rPr>
              <w:t>交付物名称：《年度汇报PPT》，报告频率：每年一次。</w:t>
            </w:r>
          </w:p>
        </w:tc>
      </w:tr>
    </w:tbl>
    <w:p w14:paraId="12417E2A">
      <w:pPr>
        <w:rPr>
          <w:rFonts w:hint="default"/>
          <w:sz w:val="21"/>
          <w:szCs w:val="21"/>
          <w:lang w:val="en-US"/>
        </w:rPr>
      </w:pPr>
    </w:p>
    <w:p w14:paraId="7CF845B3">
      <w:pPr>
        <w:rPr>
          <w:rFonts w:hint="eastAsia"/>
          <w:sz w:val="21"/>
          <w:szCs w:val="21"/>
        </w:rPr>
      </w:pPr>
    </w:p>
    <w:p w14:paraId="6A4A6EEA">
      <w:pPr>
        <w:pStyle w:val="5"/>
        <w:bidi w:val="0"/>
        <w:rPr>
          <w:rFonts w:hint="eastAsia"/>
          <w:sz w:val="21"/>
          <w:szCs w:val="21"/>
        </w:rPr>
      </w:pPr>
      <w:r>
        <w:rPr>
          <w:rFonts w:hint="eastAsia"/>
          <w:sz w:val="21"/>
          <w:szCs w:val="21"/>
        </w:rPr>
        <w:t>等保服务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1237"/>
        <w:gridCol w:w="6090"/>
      </w:tblGrid>
      <w:tr w14:paraId="28D9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78" w:type="dxa"/>
          </w:tcPr>
          <w:p w14:paraId="02AF0A9B">
            <w:pPr>
              <w:widowControl w:val="0"/>
              <w:jc w:val="center"/>
              <w:rPr>
                <w:rFonts w:hint="eastAsia" w:eastAsia="宋体"/>
                <w:sz w:val="21"/>
                <w:szCs w:val="21"/>
                <w:vertAlign w:val="baseline"/>
                <w:lang w:val="en-US" w:eastAsia="zh-CN"/>
              </w:rPr>
            </w:pPr>
            <w:r>
              <w:rPr>
                <w:rFonts w:hint="eastAsia"/>
                <w:sz w:val="21"/>
                <w:szCs w:val="21"/>
                <w:vertAlign w:val="baseline"/>
                <w:lang w:val="en-US" w:eastAsia="zh-CN"/>
              </w:rPr>
              <w:t>序号</w:t>
            </w:r>
          </w:p>
        </w:tc>
        <w:tc>
          <w:tcPr>
            <w:tcW w:w="1237" w:type="dxa"/>
          </w:tcPr>
          <w:p w14:paraId="1569318C">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技术指标</w:t>
            </w:r>
          </w:p>
        </w:tc>
        <w:tc>
          <w:tcPr>
            <w:tcW w:w="6090" w:type="dxa"/>
          </w:tcPr>
          <w:p w14:paraId="05584AF3">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指标要求</w:t>
            </w:r>
          </w:p>
        </w:tc>
      </w:tr>
      <w:tr w14:paraId="368B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78" w:type="dxa"/>
            <w:vAlign w:val="center"/>
          </w:tcPr>
          <w:p w14:paraId="0BAED77D">
            <w:pPr>
              <w:widowControl w:val="0"/>
              <w:jc w:val="center"/>
              <w:rPr>
                <w:rFonts w:hint="default"/>
                <w:sz w:val="21"/>
                <w:szCs w:val="21"/>
                <w:vertAlign w:val="baseline"/>
                <w:lang w:val="en-US" w:eastAsia="zh-CN"/>
              </w:rPr>
            </w:pPr>
            <w:r>
              <w:rPr>
                <w:rFonts w:hint="eastAsia"/>
                <w:sz w:val="21"/>
                <w:szCs w:val="21"/>
                <w:vertAlign w:val="baseline"/>
                <w:lang w:val="en-US" w:eastAsia="zh-CN"/>
              </w:rPr>
              <w:t>1</w:t>
            </w:r>
          </w:p>
        </w:tc>
        <w:tc>
          <w:tcPr>
            <w:tcW w:w="1237" w:type="dxa"/>
            <w:vAlign w:val="center"/>
          </w:tcPr>
          <w:p w14:paraId="52F0D300">
            <w:pPr>
              <w:widowControl w:val="0"/>
              <w:jc w:val="center"/>
              <w:rPr>
                <w:rFonts w:hint="default"/>
                <w:sz w:val="21"/>
                <w:szCs w:val="21"/>
                <w:vertAlign w:val="baseline"/>
                <w:lang w:val="en-US" w:eastAsia="zh-CN"/>
              </w:rPr>
            </w:pPr>
            <w:r>
              <w:rPr>
                <w:rFonts w:hint="eastAsia"/>
                <w:sz w:val="21"/>
                <w:szCs w:val="21"/>
                <w:vertAlign w:val="baseline"/>
                <w:lang w:val="en-US" w:eastAsia="zh-CN"/>
              </w:rPr>
              <w:t>等保要求</w:t>
            </w:r>
          </w:p>
        </w:tc>
        <w:tc>
          <w:tcPr>
            <w:tcW w:w="6090" w:type="dxa"/>
          </w:tcPr>
          <w:p w14:paraId="43A38229">
            <w:pPr>
              <w:widowControl w:val="0"/>
              <w:jc w:val="both"/>
              <w:rPr>
                <w:rFonts w:hint="eastAsia"/>
                <w:sz w:val="21"/>
                <w:szCs w:val="21"/>
                <w:vertAlign w:val="baseline"/>
                <w:lang w:val="en-US" w:eastAsia="zh-CN"/>
              </w:rPr>
            </w:pPr>
            <w:r>
              <w:rPr>
                <w:rFonts w:hint="eastAsia"/>
                <w:sz w:val="21"/>
                <w:szCs w:val="21"/>
                <w:vertAlign w:val="baseline"/>
                <w:lang w:val="en-US" w:eastAsia="zh-CN"/>
              </w:rPr>
              <w:t>等保三级测评内容；提供基于《信息安全技术网络安全等级保护基本要求》（GB/T 22239-2019）和《信息安全技术网络安全等级保护定级指南》（GB/T 22240-2019）的等级保护测评服务，包括但不限于以下内容：安全通用要求（安全物理环境、安全通信网络、安全区域边界、安全计算环境、安全管理中心、安全管理制度、安全管理机构、安全管理人员、安全建设管理、安全运维管理）及扩展项要求。</w:t>
            </w:r>
          </w:p>
        </w:tc>
      </w:tr>
    </w:tbl>
    <w:p w14:paraId="1389B876">
      <w:pPr>
        <w:rPr>
          <w:rFonts w:hint="eastAsia"/>
          <w:sz w:val="21"/>
          <w:szCs w:val="21"/>
        </w:rPr>
      </w:pPr>
    </w:p>
    <w:p w14:paraId="39D80BB1">
      <w:pPr>
        <w:pStyle w:val="5"/>
        <w:bidi w:val="0"/>
        <w:rPr>
          <w:rFonts w:hint="default" w:eastAsia="黑体"/>
          <w:sz w:val="21"/>
          <w:szCs w:val="21"/>
          <w:lang w:val="en-US" w:eastAsia="zh-CN"/>
        </w:rPr>
      </w:pPr>
      <w:r>
        <w:rPr>
          <w:rFonts w:hint="eastAsia"/>
          <w:sz w:val="21"/>
          <w:szCs w:val="21"/>
        </w:rPr>
        <w:t>防火墙续保</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54"/>
        <w:gridCol w:w="6275"/>
      </w:tblGrid>
      <w:tr w14:paraId="11F1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93" w:type="dxa"/>
          </w:tcPr>
          <w:p w14:paraId="511D331B">
            <w:pPr>
              <w:widowControl w:val="0"/>
              <w:jc w:val="center"/>
              <w:rPr>
                <w:rFonts w:hint="eastAsia" w:eastAsia="宋体"/>
                <w:sz w:val="21"/>
                <w:szCs w:val="21"/>
                <w:vertAlign w:val="baseline"/>
                <w:lang w:val="en-US" w:eastAsia="zh-CN"/>
              </w:rPr>
            </w:pPr>
            <w:r>
              <w:rPr>
                <w:rFonts w:hint="eastAsia"/>
                <w:sz w:val="21"/>
                <w:szCs w:val="21"/>
                <w:vertAlign w:val="baseline"/>
                <w:lang w:val="en-US" w:eastAsia="zh-CN"/>
              </w:rPr>
              <w:t>序号</w:t>
            </w:r>
          </w:p>
        </w:tc>
        <w:tc>
          <w:tcPr>
            <w:tcW w:w="1254" w:type="dxa"/>
          </w:tcPr>
          <w:p w14:paraId="1EEF8168">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技术指标</w:t>
            </w:r>
          </w:p>
        </w:tc>
        <w:tc>
          <w:tcPr>
            <w:tcW w:w="6275" w:type="dxa"/>
          </w:tcPr>
          <w:p w14:paraId="50B31857">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指标要求</w:t>
            </w:r>
          </w:p>
        </w:tc>
      </w:tr>
      <w:tr w14:paraId="48AE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93" w:type="dxa"/>
            <w:shd w:val="clear" w:color="auto" w:fill="auto"/>
            <w:vAlign w:val="center"/>
          </w:tcPr>
          <w:p w14:paraId="13A81C9A">
            <w:pPr>
              <w:keepNext w:val="0"/>
              <w:keepLines w:val="0"/>
              <w:widowControl/>
              <w:suppressLineNumbers w:val="0"/>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254" w:type="dxa"/>
            <w:shd w:val="clear" w:color="auto" w:fill="auto"/>
            <w:vAlign w:val="center"/>
          </w:tcPr>
          <w:p w14:paraId="3E005271">
            <w:pPr>
              <w:widowControl/>
              <w:spacing w:line="360" w:lineRule="auto"/>
              <w:jc w:val="both"/>
              <w:rPr>
                <w:rFonts w:hint="eastAsia" w:ascii="宋体" w:hAnsi="宋体" w:eastAsia="宋体" w:cs="宋体"/>
                <w:sz w:val="21"/>
                <w:szCs w:val="21"/>
                <w:lang w:val="en-US" w:eastAsia="zh-CN" w:bidi="ar-SA"/>
              </w:rPr>
            </w:pPr>
            <w:r>
              <w:rPr>
                <w:rFonts w:hint="eastAsia"/>
                <w:sz w:val="21"/>
                <w:szCs w:val="21"/>
                <w:lang w:val="en-US" w:eastAsia="zh-CN"/>
              </w:rPr>
              <w:t>采购要求</w:t>
            </w:r>
          </w:p>
        </w:tc>
        <w:tc>
          <w:tcPr>
            <w:tcW w:w="6275" w:type="dxa"/>
            <w:shd w:val="clear" w:color="auto" w:fill="auto"/>
            <w:vAlign w:val="center"/>
          </w:tcPr>
          <w:p w14:paraId="06380C76">
            <w:pPr>
              <w:widowControl/>
              <w:spacing w:line="360" w:lineRule="auto"/>
              <w:jc w:val="both"/>
              <w:rPr>
                <w:rFonts w:hint="default" w:ascii="宋体" w:hAnsi="宋体" w:eastAsia="宋体" w:cs="宋体"/>
                <w:sz w:val="21"/>
                <w:szCs w:val="21"/>
                <w:lang w:val="en-US" w:eastAsia="zh-CN" w:bidi="ar-SA"/>
              </w:rPr>
            </w:pPr>
            <w:r>
              <w:rPr>
                <w:rFonts w:ascii="Times New Roman" w:hAnsi="Times New Roman"/>
                <w:snapToGrid w:val="0"/>
                <w:color w:val="auto"/>
                <w:kern w:val="0"/>
                <w:sz w:val="21"/>
                <w:szCs w:val="21"/>
              </w:rPr>
              <w:t>▲</w:t>
            </w:r>
            <w:r>
              <w:rPr>
                <w:rFonts w:hint="eastAsia"/>
                <w:sz w:val="21"/>
                <w:szCs w:val="21"/>
                <w:lang w:val="en-US" w:eastAsia="zh-CN"/>
              </w:rPr>
              <w:t>提供现有2台深信服防火墙续费维保服务至2028年8月</w:t>
            </w:r>
          </w:p>
        </w:tc>
      </w:tr>
      <w:tr w14:paraId="3655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93" w:type="dxa"/>
            <w:shd w:val="clear" w:color="auto" w:fill="auto"/>
            <w:vAlign w:val="center"/>
          </w:tcPr>
          <w:p w14:paraId="123DE17D">
            <w:pPr>
              <w:keepNext w:val="0"/>
              <w:keepLines w:val="0"/>
              <w:widowControl/>
              <w:suppressLineNumbers w:val="0"/>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254" w:type="dxa"/>
            <w:vMerge w:val="restart"/>
            <w:shd w:val="clear" w:color="auto" w:fill="auto"/>
            <w:vAlign w:val="center"/>
          </w:tcPr>
          <w:p w14:paraId="5629A2C0">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路由功能</w:t>
            </w:r>
          </w:p>
        </w:tc>
        <w:tc>
          <w:tcPr>
            <w:tcW w:w="6275" w:type="dxa"/>
            <w:shd w:val="clear" w:color="auto" w:fill="auto"/>
            <w:vAlign w:val="center"/>
          </w:tcPr>
          <w:p w14:paraId="52D83B4E">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产品支持静态路由、策略路由和多播路由协议，并支持BGP、RIP、OSPF等动态路由协议。</w:t>
            </w:r>
          </w:p>
        </w:tc>
      </w:tr>
      <w:tr w14:paraId="65B1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93" w:type="dxa"/>
            <w:vAlign w:val="center"/>
          </w:tcPr>
          <w:p w14:paraId="4B5CEC0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254" w:type="dxa"/>
            <w:vMerge w:val="continue"/>
          </w:tcPr>
          <w:p w14:paraId="49A1AC98">
            <w:pPr>
              <w:widowControl w:val="0"/>
              <w:jc w:val="both"/>
              <w:rPr>
                <w:rFonts w:hint="eastAsia"/>
                <w:sz w:val="21"/>
                <w:szCs w:val="21"/>
                <w:vertAlign w:val="baseline"/>
                <w:lang w:val="en-US" w:eastAsia="zh-CN"/>
              </w:rPr>
            </w:pPr>
          </w:p>
        </w:tc>
        <w:tc>
          <w:tcPr>
            <w:tcW w:w="6275" w:type="dxa"/>
            <w:shd w:val="clear" w:color="auto" w:fill="auto"/>
            <w:vAlign w:val="center"/>
          </w:tcPr>
          <w:p w14:paraId="7BBE56E7">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产品支持路由类型、协议类型、网络对象、国家地区等条件进行自动选路的策略路由，支持不少于3种的调度算法，至少包括带宽比例、加权流量、线路优先等。</w:t>
            </w:r>
          </w:p>
        </w:tc>
      </w:tr>
      <w:tr w14:paraId="4126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93" w:type="dxa"/>
            <w:shd w:val="clear" w:color="auto" w:fill="auto"/>
            <w:vAlign w:val="center"/>
          </w:tcPr>
          <w:p w14:paraId="655CD1D5">
            <w:pPr>
              <w:keepNext w:val="0"/>
              <w:keepLines w:val="0"/>
              <w:widowControl/>
              <w:suppressLineNumbers w:val="0"/>
              <w:jc w:val="center"/>
              <w:textAlignment w:val="center"/>
              <w:rPr>
                <w:rFonts w:hint="eastAsia" w:ascii="宋体" w:hAnsi="宋体" w:cs="宋体" w:eastAsiaTheme="minorEastAsia"/>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254" w:type="dxa"/>
            <w:shd w:val="clear" w:color="auto" w:fill="auto"/>
            <w:vAlign w:val="center"/>
          </w:tcPr>
          <w:p w14:paraId="4F959B16">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应用识别</w:t>
            </w:r>
          </w:p>
        </w:tc>
        <w:tc>
          <w:tcPr>
            <w:tcW w:w="6275" w:type="dxa"/>
            <w:shd w:val="clear" w:color="auto" w:fill="auto"/>
            <w:vAlign w:val="center"/>
          </w:tcPr>
          <w:p w14:paraId="2EC3DD31">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产品支持对不少于9000种应用的识别和控制，应用类型包括游戏、购物、图书百科、工作招聘、P2P下载、聊天工具、旅游出行、股票软件等类型应用进行检测与控制。</w:t>
            </w:r>
          </w:p>
        </w:tc>
      </w:tr>
      <w:tr w14:paraId="1925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93" w:type="dxa"/>
            <w:shd w:val="clear" w:color="auto" w:fill="auto"/>
            <w:vAlign w:val="center"/>
          </w:tcPr>
          <w:p w14:paraId="0E41CCAD">
            <w:pPr>
              <w:keepNext w:val="0"/>
              <w:keepLines w:val="0"/>
              <w:widowControl/>
              <w:suppressLineNumbers w:val="0"/>
              <w:jc w:val="center"/>
              <w:textAlignment w:val="center"/>
              <w:rPr>
                <w:rFonts w:hint="eastAsia" w:ascii="宋体" w:hAnsi="宋体" w:cs="宋体" w:eastAsiaTheme="minorEastAsia"/>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254" w:type="dxa"/>
            <w:shd w:val="clear" w:color="auto" w:fill="auto"/>
            <w:vAlign w:val="center"/>
          </w:tcPr>
          <w:p w14:paraId="634BFEC1">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流量控制</w:t>
            </w:r>
          </w:p>
        </w:tc>
        <w:tc>
          <w:tcPr>
            <w:tcW w:w="6275" w:type="dxa"/>
            <w:shd w:val="clear" w:color="auto" w:fill="auto"/>
            <w:vAlign w:val="center"/>
          </w:tcPr>
          <w:p w14:paraId="4593D97E">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产品支持多维度流量控制功能，支持基于IP地址、用户、应用、时间设置流量控制策略，保证关键业务带宽日常需求。</w:t>
            </w:r>
          </w:p>
        </w:tc>
      </w:tr>
      <w:tr w14:paraId="2839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93" w:type="dxa"/>
            <w:shd w:val="clear" w:color="auto" w:fill="auto"/>
            <w:vAlign w:val="center"/>
          </w:tcPr>
          <w:p w14:paraId="03E43EEF">
            <w:pPr>
              <w:keepNext w:val="0"/>
              <w:keepLines w:val="0"/>
              <w:widowControl/>
              <w:suppressLineNumbers w:val="0"/>
              <w:jc w:val="center"/>
              <w:textAlignment w:val="center"/>
              <w:rPr>
                <w:rFonts w:hint="eastAsia" w:ascii="宋体" w:hAnsi="宋体" w:cs="宋体" w:eastAsiaTheme="minorEastAsia"/>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254" w:type="dxa"/>
            <w:shd w:val="clear" w:color="auto" w:fill="auto"/>
            <w:vAlign w:val="center"/>
          </w:tcPr>
          <w:p w14:paraId="498E83E8">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会话控制</w:t>
            </w:r>
          </w:p>
        </w:tc>
        <w:tc>
          <w:tcPr>
            <w:tcW w:w="6275" w:type="dxa"/>
            <w:shd w:val="clear" w:color="auto" w:fill="auto"/>
            <w:vAlign w:val="center"/>
          </w:tcPr>
          <w:p w14:paraId="12D512C6">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产品支持基于IP对象的会话控制策略，实现并发和新建连接数的合理限制。</w:t>
            </w:r>
          </w:p>
        </w:tc>
      </w:tr>
      <w:tr w14:paraId="3C34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93" w:type="dxa"/>
            <w:shd w:val="clear" w:color="auto" w:fill="auto"/>
            <w:vAlign w:val="center"/>
          </w:tcPr>
          <w:p w14:paraId="03898487">
            <w:pPr>
              <w:keepNext w:val="0"/>
              <w:keepLines w:val="0"/>
              <w:widowControl/>
              <w:suppressLineNumbers w:val="0"/>
              <w:jc w:val="center"/>
              <w:textAlignment w:val="center"/>
              <w:rPr>
                <w:rFonts w:hint="eastAsia" w:ascii="宋体" w:hAnsi="宋体" w:cs="宋体" w:eastAsiaTheme="minorEastAsia"/>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1254" w:type="dxa"/>
            <w:vMerge w:val="restart"/>
            <w:shd w:val="clear" w:color="auto" w:fill="auto"/>
            <w:vAlign w:val="center"/>
          </w:tcPr>
          <w:p w14:paraId="5C161EFC">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入侵攻击防御</w:t>
            </w:r>
          </w:p>
        </w:tc>
        <w:tc>
          <w:tcPr>
            <w:tcW w:w="6275" w:type="dxa"/>
            <w:shd w:val="clear" w:color="auto" w:fill="auto"/>
            <w:vAlign w:val="center"/>
          </w:tcPr>
          <w:p w14:paraId="69525BC7">
            <w:pPr>
              <w:widowControl/>
              <w:spacing w:line="360" w:lineRule="auto"/>
              <w:jc w:val="both"/>
              <w:rPr>
                <w:rFonts w:hint="eastAsia" w:ascii="宋体" w:hAnsi="宋体" w:eastAsia="宋体" w:cs="宋体"/>
                <w:sz w:val="21"/>
                <w:szCs w:val="21"/>
                <w:lang w:val="en-US" w:eastAsia="zh-CN" w:bidi="ar-SA"/>
              </w:rPr>
            </w:pPr>
            <w:r>
              <w:rPr>
                <w:rFonts w:hint="eastAsia"/>
                <w:sz w:val="21"/>
                <w:szCs w:val="21"/>
                <w:lang w:val="en-US" w:eastAsia="zh-CN"/>
              </w:rPr>
              <w:t>△</w:t>
            </w:r>
            <w:r>
              <w:rPr>
                <w:rFonts w:hint="default"/>
                <w:sz w:val="21"/>
                <w:szCs w:val="21"/>
                <w:lang w:val="en-US" w:eastAsia="zh-CN"/>
              </w:rPr>
              <w:t>产品内置不低于10800种漏洞规则，同时支持在控制台界面通过漏洞ID、漏洞名称、危险等级、漏洞CVE标识、漏洞描述等条件查询漏洞特征信息，支持用户自定义IPS规则。</w:t>
            </w:r>
          </w:p>
        </w:tc>
      </w:tr>
      <w:tr w14:paraId="4E3C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93" w:type="dxa"/>
            <w:vAlign w:val="center"/>
          </w:tcPr>
          <w:p w14:paraId="518D974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254" w:type="dxa"/>
            <w:vMerge w:val="continue"/>
          </w:tcPr>
          <w:p w14:paraId="7583CE57">
            <w:pPr>
              <w:widowControl w:val="0"/>
              <w:jc w:val="both"/>
              <w:rPr>
                <w:rFonts w:hint="eastAsia"/>
                <w:sz w:val="21"/>
                <w:szCs w:val="21"/>
                <w:vertAlign w:val="baseline"/>
                <w:lang w:val="en-US" w:eastAsia="zh-CN"/>
              </w:rPr>
            </w:pPr>
          </w:p>
        </w:tc>
        <w:tc>
          <w:tcPr>
            <w:tcW w:w="6275" w:type="dxa"/>
            <w:shd w:val="clear" w:color="auto" w:fill="auto"/>
            <w:vAlign w:val="center"/>
          </w:tcPr>
          <w:p w14:paraId="5CD6A763">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产品支持基于IMAP、FTP、RDP、VNC、SSH、TELNET、ORACLE、MYSQL、MSSQL等应用协议进行深度检测与防护。</w:t>
            </w:r>
          </w:p>
        </w:tc>
      </w:tr>
      <w:tr w14:paraId="5FC5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93" w:type="dxa"/>
            <w:vAlign w:val="center"/>
          </w:tcPr>
          <w:p w14:paraId="5BDC837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254" w:type="dxa"/>
            <w:vMerge w:val="continue"/>
          </w:tcPr>
          <w:p w14:paraId="793A5D1B">
            <w:pPr>
              <w:widowControl w:val="0"/>
              <w:jc w:val="both"/>
              <w:rPr>
                <w:rFonts w:hint="eastAsia"/>
                <w:sz w:val="21"/>
                <w:szCs w:val="21"/>
                <w:vertAlign w:val="baseline"/>
                <w:lang w:val="en-US" w:eastAsia="zh-CN"/>
              </w:rPr>
            </w:pPr>
          </w:p>
        </w:tc>
        <w:tc>
          <w:tcPr>
            <w:tcW w:w="6275" w:type="dxa"/>
            <w:shd w:val="clear" w:color="auto" w:fill="auto"/>
            <w:vAlign w:val="center"/>
          </w:tcPr>
          <w:p w14:paraId="38841BE0">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产品支持僵尸主机检测功能，产品内置僵尸网络特征库超过128万种，可识别主机的异常外联行为。</w:t>
            </w:r>
          </w:p>
        </w:tc>
      </w:tr>
      <w:tr w14:paraId="6793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993" w:type="dxa"/>
            <w:shd w:val="clear" w:color="auto" w:fill="auto"/>
            <w:vAlign w:val="center"/>
          </w:tcPr>
          <w:p w14:paraId="13FD917D">
            <w:pPr>
              <w:keepNext w:val="0"/>
              <w:keepLines w:val="0"/>
              <w:widowControl/>
              <w:suppressLineNumbers w:val="0"/>
              <w:jc w:val="center"/>
              <w:textAlignment w:val="center"/>
              <w:rPr>
                <w:rFonts w:hint="eastAsia" w:ascii="宋体" w:hAnsi="宋体" w:cs="宋体" w:eastAsiaTheme="minorEastAsia"/>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254" w:type="dxa"/>
            <w:shd w:val="clear" w:color="auto" w:fill="auto"/>
            <w:vAlign w:val="center"/>
          </w:tcPr>
          <w:p w14:paraId="7DD1A302">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策略有效性分析</w:t>
            </w:r>
          </w:p>
        </w:tc>
        <w:tc>
          <w:tcPr>
            <w:tcW w:w="6275" w:type="dxa"/>
            <w:shd w:val="clear" w:color="auto" w:fill="auto"/>
            <w:vAlign w:val="center"/>
          </w:tcPr>
          <w:p w14:paraId="016DD9A4">
            <w:pPr>
              <w:widowControl/>
              <w:spacing w:line="360" w:lineRule="auto"/>
              <w:jc w:val="both"/>
              <w:rPr>
                <w:rFonts w:hint="eastAsia" w:ascii="宋体" w:hAnsi="宋体" w:eastAsia="宋体" w:cs="宋体"/>
                <w:sz w:val="21"/>
                <w:szCs w:val="21"/>
                <w:lang w:val="en-US" w:eastAsia="zh-CN" w:bidi="ar-SA"/>
              </w:rPr>
            </w:pPr>
            <w:r>
              <w:rPr>
                <w:rFonts w:hint="eastAsia"/>
                <w:sz w:val="21"/>
                <w:szCs w:val="21"/>
                <w:lang w:val="en-US" w:eastAsia="zh-CN"/>
              </w:rPr>
              <w:t>★</w:t>
            </w:r>
            <w:r>
              <w:rPr>
                <w:rFonts w:hint="default"/>
                <w:sz w:val="21"/>
                <w:szCs w:val="21"/>
                <w:lang w:val="en-US" w:eastAsia="zh-CN"/>
              </w:rPr>
              <w:t>产品支持安全策略有效性分析功能，分析内容至少包括策略冗余分析、策略匹配分析、风险端口风险等内容，提供安全策略优化建议。（需提供产品功能截图证明并提供具备CMA/CNAS标识的第三方检测报告）</w:t>
            </w:r>
          </w:p>
        </w:tc>
      </w:tr>
      <w:tr w14:paraId="17C8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93" w:type="dxa"/>
            <w:shd w:val="clear" w:color="auto" w:fill="auto"/>
            <w:vAlign w:val="center"/>
          </w:tcPr>
          <w:p w14:paraId="743E1631">
            <w:pPr>
              <w:keepNext w:val="0"/>
              <w:keepLines w:val="0"/>
              <w:widowControl/>
              <w:suppressLineNumbers w:val="0"/>
              <w:jc w:val="center"/>
              <w:textAlignment w:val="center"/>
              <w:rPr>
                <w:rFonts w:hint="eastAsia" w:ascii="宋体" w:hAnsi="宋体" w:cs="宋体" w:eastAsiaTheme="minorEastAsia"/>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1254" w:type="dxa"/>
            <w:shd w:val="clear" w:color="auto" w:fill="auto"/>
            <w:vAlign w:val="center"/>
          </w:tcPr>
          <w:p w14:paraId="0EBD8B1F">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策略生命周期管理</w:t>
            </w:r>
          </w:p>
        </w:tc>
        <w:tc>
          <w:tcPr>
            <w:tcW w:w="6275" w:type="dxa"/>
            <w:shd w:val="clear" w:color="auto" w:fill="auto"/>
            <w:vAlign w:val="center"/>
          </w:tcPr>
          <w:p w14:paraId="7010191B">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产品支持策略生命周期管理功能，支持对安全策略修改的时间、原因、变更类型进行统一管理，便于策略的运维与管理。</w:t>
            </w:r>
          </w:p>
        </w:tc>
      </w:tr>
      <w:tr w14:paraId="5C2F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93" w:type="dxa"/>
            <w:shd w:val="clear" w:color="auto" w:fill="auto"/>
            <w:vAlign w:val="center"/>
          </w:tcPr>
          <w:p w14:paraId="71D82CC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12</w:t>
            </w:r>
          </w:p>
        </w:tc>
        <w:tc>
          <w:tcPr>
            <w:tcW w:w="1254" w:type="dxa"/>
            <w:shd w:val="clear" w:color="auto" w:fill="auto"/>
            <w:vAlign w:val="center"/>
          </w:tcPr>
          <w:p w14:paraId="33253810">
            <w:pPr>
              <w:widowControl/>
              <w:spacing w:line="360" w:lineRule="auto"/>
              <w:jc w:val="both"/>
              <w:rPr>
                <w:rFonts w:hint="default"/>
                <w:sz w:val="21"/>
                <w:szCs w:val="21"/>
                <w:lang w:val="en-US" w:eastAsia="zh-CN"/>
              </w:rPr>
            </w:pPr>
            <w:r>
              <w:rPr>
                <w:rFonts w:hint="eastAsia"/>
                <w:sz w:val="21"/>
                <w:szCs w:val="21"/>
                <w:lang w:val="en-US" w:eastAsia="zh-CN"/>
              </w:rPr>
              <w:t>服务承诺函</w:t>
            </w:r>
          </w:p>
        </w:tc>
        <w:tc>
          <w:tcPr>
            <w:tcW w:w="6275" w:type="dxa"/>
            <w:shd w:val="clear" w:color="auto" w:fill="auto"/>
            <w:vAlign w:val="center"/>
          </w:tcPr>
          <w:p w14:paraId="06539527">
            <w:pPr>
              <w:widowControl/>
              <w:spacing w:line="360" w:lineRule="auto"/>
              <w:jc w:val="both"/>
              <w:rPr>
                <w:rFonts w:hint="default"/>
                <w:sz w:val="21"/>
                <w:szCs w:val="21"/>
                <w:lang w:val="en-US" w:eastAsia="zh-CN"/>
              </w:rPr>
            </w:pPr>
            <w:r>
              <w:rPr>
                <w:rFonts w:hint="eastAsia"/>
                <w:sz w:val="21"/>
                <w:szCs w:val="21"/>
                <w:lang w:val="en-US" w:eastAsia="zh-CN"/>
              </w:rPr>
              <w:t>合同签订时，提供原厂商针对本项目的服务承诺函</w:t>
            </w:r>
          </w:p>
        </w:tc>
      </w:tr>
    </w:tbl>
    <w:p w14:paraId="44A7725E">
      <w:pPr>
        <w:rPr>
          <w:rFonts w:hint="eastAsia"/>
          <w:sz w:val="21"/>
          <w:szCs w:val="21"/>
        </w:rPr>
      </w:pPr>
    </w:p>
    <w:p w14:paraId="086F7CC1">
      <w:pPr>
        <w:pStyle w:val="5"/>
        <w:bidi w:val="0"/>
        <w:rPr>
          <w:rFonts w:hint="default" w:eastAsia="黑体"/>
          <w:sz w:val="21"/>
          <w:szCs w:val="21"/>
          <w:lang w:val="en-US" w:eastAsia="zh-CN"/>
        </w:rPr>
      </w:pPr>
      <w:r>
        <w:rPr>
          <w:rFonts w:hint="eastAsia"/>
          <w:sz w:val="21"/>
          <w:szCs w:val="21"/>
        </w:rPr>
        <w:t>AD设备续保</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300"/>
        <w:gridCol w:w="6293"/>
      </w:tblGrid>
      <w:tr w14:paraId="43FB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9" w:type="dxa"/>
          </w:tcPr>
          <w:p w14:paraId="78515E0A">
            <w:pPr>
              <w:widowControl w:val="0"/>
              <w:jc w:val="center"/>
              <w:rPr>
                <w:rFonts w:hint="eastAsia" w:eastAsia="宋体"/>
                <w:sz w:val="21"/>
                <w:szCs w:val="21"/>
                <w:vertAlign w:val="baseline"/>
                <w:lang w:val="en-US" w:eastAsia="zh-CN"/>
              </w:rPr>
            </w:pPr>
            <w:r>
              <w:rPr>
                <w:rFonts w:hint="eastAsia"/>
                <w:sz w:val="21"/>
                <w:szCs w:val="21"/>
                <w:vertAlign w:val="baseline"/>
                <w:lang w:val="en-US" w:eastAsia="zh-CN"/>
              </w:rPr>
              <w:t>序号</w:t>
            </w:r>
          </w:p>
        </w:tc>
        <w:tc>
          <w:tcPr>
            <w:tcW w:w="1300" w:type="dxa"/>
          </w:tcPr>
          <w:p w14:paraId="4C369DA6">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技术指标</w:t>
            </w:r>
          </w:p>
        </w:tc>
        <w:tc>
          <w:tcPr>
            <w:tcW w:w="6293" w:type="dxa"/>
          </w:tcPr>
          <w:p w14:paraId="59F8E9B5">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指标要求</w:t>
            </w:r>
          </w:p>
        </w:tc>
      </w:tr>
      <w:tr w14:paraId="5D65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9" w:type="dxa"/>
            <w:shd w:val="clear" w:color="auto" w:fill="auto"/>
            <w:vAlign w:val="center"/>
          </w:tcPr>
          <w:p w14:paraId="4016A995">
            <w:pPr>
              <w:keepNext w:val="0"/>
              <w:keepLines w:val="0"/>
              <w:widowControl/>
              <w:suppressLineNumbers w:val="0"/>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00" w:type="dxa"/>
            <w:shd w:val="clear" w:color="auto" w:fill="auto"/>
            <w:vAlign w:val="center"/>
          </w:tcPr>
          <w:p w14:paraId="348DAC77">
            <w:pPr>
              <w:widowControl/>
              <w:spacing w:line="360" w:lineRule="auto"/>
              <w:jc w:val="both"/>
              <w:rPr>
                <w:rFonts w:hint="eastAsia" w:ascii="宋体" w:hAnsi="宋体" w:eastAsia="宋体" w:cs="宋体"/>
                <w:sz w:val="21"/>
                <w:szCs w:val="21"/>
                <w:lang w:val="en-US" w:eastAsia="zh-CN" w:bidi="ar-SA"/>
              </w:rPr>
            </w:pPr>
            <w:r>
              <w:rPr>
                <w:rFonts w:hint="eastAsia"/>
                <w:sz w:val="21"/>
                <w:szCs w:val="21"/>
                <w:lang w:val="en-US" w:eastAsia="zh-CN"/>
              </w:rPr>
              <w:t>采购要求</w:t>
            </w:r>
          </w:p>
        </w:tc>
        <w:tc>
          <w:tcPr>
            <w:tcW w:w="6293" w:type="dxa"/>
            <w:shd w:val="clear" w:color="auto" w:fill="auto"/>
            <w:vAlign w:val="center"/>
          </w:tcPr>
          <w:p w14:paraId="06F858BA">
            <w:pPr>
              <w:widowControl/>
              <w:spacing w:line="360" w:lineRule="auto"/>
              <w:jc w:val="both"/>
              <w:rPr>
                <w:rFonts w:hint="eastAsia" w:ascii="宋体" w:hAnsi="宋体" w:eastAsia="宋体" w:cs="宋体"/>
                <w:sz w:val="21"/>
                <w:szCs w:val="21"/>
                <w:lang w:val="en-US" w:eastAsia="zh-CN" w:bidi="ar-SA"/>
              </w:rPr>
            </w:pPr>
            <w:r>
              <w:rPr>
                <w:rFonts w:ascii="Times New Roman" w:hAnsi="Times New Roman"/>
                <w:snapToGrid w:val="0"/>
                <w:color w:val="auto"/>
                <w:kern w:val="0"/>
                <w:sz w:val="21"/>
                <w:szCs w:val="21"/>
              </w:rPr>
              <w:t>▲</w:t>
            </w:r>
            <w:r>
              <w:rPr>
                <w:rFonts w:hint="eastAsia"/>
                <w:sz w:val="21"/>
                <w:szCs w:val="21"/>
                <w:lang w:val="en-US" w:eastAsia="zh-CN"/>
              </w:rPr>
              <w:t>提供现有1台深信服</w:t>
            </w:r>
            <w:r>
              <w:rPr>
                <w:rFonts w:hint="eastAsia"/>
                <w:sz w:val="21"/>
                <w:szCs w:val="21"/>
                <w:highlight w:val="none"/>
                <w:lang w:val="en-US" w:eastAsia="zh-CN"/>
              </w:rPr>
              <w:t>出口负载均衡AD设备</w:t>
            </w:r>
            <w:r>
              <w:rPr>
                <w:rFonts w:hint="eastAsia"/>
                <w:sz w:val="21"/>
                <w:szCs w:val="21"/>
                <w:lang w:val="en-US" w:eastAsia="zh-CN"/>
              </w:rPr>
              <w:t>续费维保服务至2028年8月</w:t>
            </w:r>
          </w:p>
        </w:tc>
      </w:tr>
      <w:tr w14:paraId="4E0E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9" w:type="dxa"/>
            <w:shd w:val="clear" w:color="auto" w:fill="auto"/>
            <w:vAlign w:val="center"/>
          </w:tcPr>
          <w:p w14:paraId="22C1A930">
            <w:pPr>
              <w:keepNext w:val="0"/>
              <w:keepLines w:val="0"/>
              <w:widowControl/>
              <w:suppressLineNumbers w:val="0"/>
              <w:jc w:val="center"/>
              <w:textAlignment w:val="center"/>
              <w:rPr>
                <w:rFonts w:hint="eastAsia" w:ascii="宋体" w:hAnsi="宋体" w:cs="宋体" w:eastAsiaTheme="minorEastAsia"/>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00" w:type="dxa"/>
            <w:shd w:val="clear" w:color="auto" w:fill="auto"/>
            <w:vAlign w:val="center"/>
          </w:tcPr>
          <w:p w14:paraId="3ECB4364">
            <w:pPr>
              <w:widowControl w:val="0"/>
              <w:spacing w:line="360" w:lineRule="auto"/>
              <w:ind w:right="-24" w:rightChars="-1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负载均衡算法</w:t>
            </w:r>
          </w:p>
        </w:tc>
        <w:tc>
          <w:tcPr>
            <w:tcW w:w="6293" w:type="dxa"/>
            <w:shd w:val="clear" w:color="auto" w:fill="auto"/>
            <w:vAlign w:val="top"/>
          </w:tcPr>
          <w:p w14:paraId="5BF97CBB">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支持轮询、加权轮询、按主机加权轮询、加权最小连接、按主机加权最小连接、动态反馈、最快响应、加权最小流量、按主机加权最小流量、加权源IP哈希、带宽比例、哈希、首个可用、优先级等算法。</w:t>
            </w:r>
          </w:p>
        </w:tc>
      </w:tr>
      <w:tr w14:paraId="5630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9" w:type="dxa"/>
            <w:shd w:val="clear" w:color="auto" w:fill="auto"/>
            <w:vAlign w:val="center"/>
          </w:tcPr>
          <w:p w14:paraId="2AE65352">
            <w:pPr>
              <w:keepNext w:val="0"/>
              <w:keepLines w:val="0"/>
              <w:widowControl/>
              <w:suppressLineNumbers w:val="0"/>
              <w:jc w:val="center"/>
              <w:textAlignment w:val="center"/>
              <w:rPr>
                <w:rFonts w:hint="eastAsia" w:ascii="宋体" w:hAnsi="宋体" w:cs="宋体" w:eastAsiaTheme="minorEastAsia"/>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300" w:type="dxa"/>
            <w:vMerge w:val="restart"/>
            <w:shd w:val="clear" w:color="auto" w:fill="auto"/>
            <w:vAlign w:val="center"/>
          </w:tcPr>
          <w:p w14:paraId="5B9FF66F">
            <w:pPr>
              <w:widowControl w:val="0"/>
              <w:spacing w:line="360" w:lineRule="auto"/>
              <w:ind w:right="-24" w:rightChars="-1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链路负载能力</w:t>
            </w:r>
          </w:p>
        </w:tc>
        <w:tc>
          <w:tcPr>
            <w:tcW w:w="6293" w:type="dxa"/>
            <w:shd w:val="clear" w:color="auto" w:fill="auto"/>
            <w:vAlign w:val="top"/>
          </w:tcPr>
          <w:p w14:paraId="0D6719A9">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支持智能DNS解析功能；支持DNS内网记录，支持A记录、CNAME记录、MX记录和TXT记录类型。</w:t>
            </w:r>
          </w:p>
        </w:tc>
      </w:tr>
      <w:tr w14:paraId="14DF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9" w:type="dxa"/>
            <w:vAlign w:val="center"/>
          </w:tcPr>
          <w:p w14:paraId="7B68E43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300" w:type="dxa"/>
            <w:vMerge w:val="continue"/>
          </w:tcPr>
          <w:p w14:paraId="47F45B2D">
            <w:pPr>
              <w:widowControl w:val="0"/>
              <w:jc w:val="both"/>
              <w:rPr>
                <w:rFonts w:hint="eastAsia"/>
                <w:sz w:val="21"/>
                <w:szCs w:val="21"/>
                <w:vertAlign w:val="baseline"/>
                <w:lang w:val="en-US" w:eastAsia="zh-CN"/>
              </w:rPr>
            </w:pPr>
          </w:p>
        </w:tc>
        <w:tc>
          <w:tcPr>
            <w:tcW w:w="6293" w:type="dxa"/>
            <w:shd w:val="clear" w:color="auto" w:fill="auto"/>
            <w:vAlign w:val="center"/>
          </w:tcPr>
          <w:p w14:paraId="37C113D6">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支持基于域名的流量调度，针对特定网站选择指定的链路转发。</w:t>
            </w:r>
          </w:p>
        </w:tc>
      </w:tr>
      <w:tr w14:paraId="6FDF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9" w:type="dxa"/>
            <w:vAlign w:val="center"/>
          </w:tcPr>
          <w:p w14:paraId="0365A923">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300" w:type="dxa"/>
            <w:vMerge w:val="continue"/>
          </w:tcPr>
          <w:p w14:paraId="7B6A28F0">
            <w:pPr>
              <w:widowControl w:val="0"/>
              <w:jc w:val="both"/>
              <w:rPr>
                <w:rFonts w:hint="eastAsia"/>
                <w:sz w:val="21"/>
                <w:szCs w:val="21"/>
                <w:vertAlign w:val="baseline"/>
                <w:lang w:val="en-US" w:eastAsia="zh-CN"/>
              </w:rPr>
            </w:pPr>
          </w:p>
        </w:tc>
        <w:tc>
          <w:tcPr>
            <w:tcW w:w="6293" w:type="dxa"/>
            <w:shd w:val="clear" w:color="auto" w:fill="auto"/>
            <w:vAlign w:val="top"/>
          </w:tcPr>
          <w:p w14:paraId="508F0F4E">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支持智能路由，根据用户需求定制负载策略，可基于访问目的域名选择出站链路，自定义时间段实现对智能路由的时间段控制。</w:t>
            </w:r>
          </w:p>
        </w:tc>
      </w:tr>
      <w:tr w14:paraId="1ED3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9" w:type="dxa"/>
            <w:vAlign w:val="center"/>
          </w:tcPr>
          <w:p w14:paraId="4B1AA08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300" w:type="dxa"/>
            <w:vMerge w:val="continue"/>
          </w:tcPr>
          <w:p w14:paraId="749926D8">
            <w:pPr>
              <w:widowControl w:val="0"/>
              <w:jc w:val="both"/>
              <w:rPr>
                <w:rFonts w:hint="eastAsia"/>
                <w:sz w:val="21"/>
                <w:szCs w:val="21"/>
                <w:vertAlign w:val="baseline"/>
                <w:lang w:val="en-US" w:eastAsia="zh-CN"/>
              </w:rPr>
            </w:pPr>
          </w:p>
        </w:tc>
        <w:tc>
          <w:tcPr>
            <w:tcW w:w="6293" w:type="dxa"/>
            <w:shd w:val="clear" w:color="auto" w:fill="auto"/>
            <w:vAlign w:val="center"/>
          </w:tcPr>
          <w:p w14:paraId="6854F5A2">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cs="宋体"/>
                <w:kern w:val="0"/>
                <w:sz w:val="21"/>
                <w:szCs w:val="21"/>
                <w:lang w:val="en-US" w:eastAsia="zh-CN" w:bidi="ar"/>
              </w:rPr>
              <w:t>△</w:t>
            </w:r>
            <w:r>
              <w:rPr>
                <w:rFonts w:hint="eastAsia" w:ascii="宋体" w:hAnsi="宋体" w:eastAsia="宋体" w:cs="宋体"/>
                <w:kern w:val="0"/>
                <w:sz w:val="21"/>
                <w:szCs w:val="21"/>
                <w:lang w:bidi="ar"/>
              </w:rPr>
              <w:t>支持基于</w:t>
            </w:r>
            <w:r>
              <w:rPr>
                <w:rFonts w:ascii="宋体" w:hAnsi="宋体" w:eastAsia="宋体" w:cs="宋体"/>
                <w:kern w:val="0"/>
                <w:sz w:val="21"/>
                <w:szCs w:val="21"/>
                <w:lang w:bidi="ar"/>
              </w:rPr>
              <w:t>URL</w:t>
            </w:r>
            <w:r>
              <w:rPr>
                <w:rFonts w:hint="eastAsia" w:ascii="宋体" w:hAnsi="宋体" w:eastAsia="宋体" w:cs="宋体"/>
                <w:kern w:val="0"/>
                <w:sz w:val="21"/>
                <w:szCs w:val="21"/>
                <w:lang w:bidi="ar"/>
              </w:rPr>
              <w:t>的链路调度功能，内置不少于</w:t>
            </w:r>
            <w:r>
              <w:rPr>
                <w:rFonts w:ascii="宋体" w:hAnsi="宋体" w:eastAsia="宋体" w:cs="宋体"/>
                <w:kern w:val="0"/>
                <w:sz w:val="21"/>
                <w:szCs w:val="21"/>
                <w:lang w:bidi="ar"/>
              </w:rPr>
              <w:t>10</w:t>
            </w:r>
            <w:r>
              <w:rPr>
                <w:rFonts w:hint="eastAsia" w:ascii="宋体" w:hAnsi="宋体" w:eastAsia="宋体" w:cs="宋体"/>
                <w:kern w:val="0"/>
                <w:sz w:val="21"/>
                <w:szCs w:val="21"/>
                <w:lang w:bidi="ar"/>
              </w:rPr>
              <w:t>万条的国外</w:t>
            </w:r>
            <w:r>
              <w:rPr>
                <w:rFonts w:ascii="宋体" w:hAnsi="宋体" w:eastAsia="宋体" w:cs="宋体"/>
                <w:kern w:val="0"/>
                <w:sz w:val="21"/>
                <w:szCs w:val="21"/>
                <w:lang w:bidi="ar"/>
              </w:rPr>
              <w:t>URL</w:t>
            </w:r>
            <w:r>
              <w:rPr>
                <w:rFonts w:hint="eastAsia" w:ascii="宋体" w:hAnsi="宋体" w:eastAsia="宋体" w:cs="宋体"/>
                <w:kern w:val="0"/>
                <w:sz w:val="21"/>
                <w:szCs w:val="21"/>
                <w:lang w:bidi="ar"/>
              </w:rPr>
              <w:t>网址库，无需手动导入并支持自动更新；可根据</w:t>
            </w:r>
            <w:r>
              <w:rPr>
                <w:rFonts w:ascii="宋体" w:hAnsi="宋体" w:eastAsia="宋体" w:cs="宋体"/>
                <w:kern w:val="0"/>
                <w:sz w:val="21"/>
                <w:szCs w:val="21"/>
                <w:lang w:bidi="ar"/>
              </w:rPr>
              <w:t>URL</w:t>
            </w:r>
            <w:r>
              <w:rPr>
                <w:rFonts w:hint="eastAsia" w:ascii="宋体" w:hAnsi="宋体" w:eastAsia="宋体" w:cs="宋体"/>
                <w:kern w:val="0"/>
                <w:sz w:val="21"/>
                <w:szCs w:val="21"/>
                <w:lang w:bidi="ar"/>
              </w:rPr>
              <w:t>将访问国外网站的请求调度到指定线路。</w:t>
            </w:r>
          </w:p>
        </w:tc>
      </w:tr>
      <w:tr w14:paraId="5BCF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9" w:type="dxa"/>
            <w:vAlign w:val="center"/>
          </w:tcPr>
          <w:p w14:paraId="00FE4F0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300" w:type="dxa"/>
            <w:vMerge w:val="continue"/>
          </w:tcPr>
          <w:p w14:paraId="1F521209">
            <w:pPr>
              <w:widowControl w:val="0"/>
              <w:jc w:val="both"/>
              <w:rPr>
                <w:rFonts w:hint="eastAsia"/>
                <w:sz w:val="21"/>
                <w:szCs w:val="21"/>
                <w:vertAlign w:val="baseline"/>
                <w:lang w:val="en-US" w:eastAsia="zh-CN"/>
              </w:rPr>
            </w:pPr>
          </w:p>
        </w:tc>
        <w:tc>
          <w:tcPr>
            <w:tcW w:w="6293" w:type="dxa"/>
            <w:shd w:val="clear" w:color="auto" w:fill="auto"/>
            <w:vAlign w:val="center"/>
          </w:tcPr>
          <w:p w14:paraId="5533DC9B">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cs="宋体"/>
                <w:kern w:val="0"/>
                <w:sz w:val="21"/>
                <w:szCs w:val="21"/>
                <w:lang w:val="en-US" w:eastAsia="zh-CN" w:bidi="ar"/>
              </w:rPr>
              <w:t>△</w:t>
            </w:r>
            <w:r>
              <w:rPr>
                <w:rFonts w:hint="eastAsia" w:ascii="宋体" w:hAnsi="宋体" w:eastAsia="宋体" w:cs="宋体"/>
                <w:kern w:val="0"/>
                <w:sz w:val="21"/>
                <w:szCs w:val="21"/>
                <w:lang w:bidi="ar"/>
              </w:rPr>
              <w:t>支持链路负载投屏展示，能够分别基于链路监测、应用选路和</w:t>
            </w:r>
            <w:r>
              <w:rPr>
                <w:rFonts w:ascii="宋体" w:hAnsi="宋体" w:eastAsia="宋体" w:cs="宋体"/>
                <w:kern w:val="0"/>
                <w:sz w:val="21"/>
                <w:szCs w:val="21"/>
                <w:lang w:bidi="ar"/>
              </w:rPr>
              <w:t>ISP</w:t>
            </w:r>
            <w:r>
              <w:rPr>
                <w:rFonts w:hint="eastAsia" w:ascii="宋体" w:hAnsi="宋体" w:eastAsia="宋体" w:cs="宋体"/>
                <w:kern w:val="0"/>
                <w:sz w:val="21"/>
                <w:szCs w:val="21"/>
                <w:lang w:bidi="ar"/>
              </w:rPr>
              <w:t>流量进行投屏展示分析。链路监测展示链路的健康状态、上下行带宽、总带宽、新建连接数、并发连接数和吞吐量；应用选路展示基于应用分类选择相应链路的示意图；</w:t>
            </w:r>
            <w:r>
              <w:rPr>
                <w:rFonts w:ascii="宋体" w:hAnsi="宋体" w:eastAsia="宋体" w:cs="宋体"/>
                <w:kern w:val="0"/>
                <w:sz w:val="21"/>
                <w:szCs w:val="21"/>
                <w:lang w:bidi="ar"/>
              </w:rPr>
              <w:t>ISP</w:t>
            </w:r>
            <w:r>
              <w:rPr>
                <w:rFonts w:hint="eastAsia" w:ascii="宋体" w:hAnsi="宋体" w:eastAsia="宋体" w:cs="宋体"/>
                <w:kern w:val="0"/>
                <w:sz w:val="21"/>
                <w:szCs w:val="21"/>
                <w:lang w:bidi="ar"/>
              </w:rPr>
              <w:t>展示基于运营商分类选择链路的示意图。</w:t>
            </w:r>
          </w:p>
        </w:tc>
      </w:tr>
      <w:tr w14:paraId="28A5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9" w:type="dxa"/>
            <w:vAlign w:val="center"/>
          </w:tcPr>
          <w:p w14:paraId="2D5FE86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300" w:type="dxa"/>
            <w:vMerge w:val="continue"/>
          </w:tcPr>
          <w:p w14:paraId="58FA1CD9">
            <w:pPr>
              <w:widowControl w:val="0"/>
              <w:jc w:val="both"/>
              <w:rPr>
                <w:rFonts w:hint="eastAsia"/>
                <w:sz w:val="21"/>
                <w:szCs w:val="21"/>
                <w:vertAlign w:val="baseline"/>
                <w:lang w:val="en-US" w:eastAsia="zh-CN"/>
              </w:rPr>
            </w:pPr>
          </w:p>
        </w:tc>
        <w:tc>
          <w:tcPr>
            <w:tcW w:w="6293" w:type="dxa"/>
            <w:shd w:val="clear" w:color="auto" w:fill="auto"/>
            <w:vAlign w:val="center"/>
          </w:tcPr>
          <w:p w14:paraId="404CEB94">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支持三明治架构，对防火墙、</w:t>
            </w:r>
            <w:r>
              <w:rPr>
                <w:rFonts w:ascii="宋体" w:hAnsi="宋体" w:eastAsia="宋体" w:cs="宋体"/>
                <w:kern w:val="0"/>
                <w:sz w:val="21"/>
                <w:szCs w:val="21"/>
                <w:lang w:bidi="ar"/>
              </w:rPr>
              <w:t>IPS</w:t>
            </w:r>
            <w:r>
              <w:rPr>
                <w:rFonts w:hint="eastAsia" w:ascii="宋体" w:hAnsi="宋体" w:eastAsia="宋体" w:cs="宋体"/>
                <w:kern w:val="0"/>
                <w:sz w:val="21"/>
                <w:szCs w:val="21"/>
                <w:lang w:bidi="ar"/>
              </w:rPr>
              <w:t>、行为管理等网络设备进行流量负载均衡和故障切换，使以上网络设备获得</w:t>
            </w:r>
            <w:r>
              <w:rPr>
                <w:rFonts w:ascii="宋体" w:hAnsi="宋体" w:eastAsia="宋体" w:cs="宋体"/>
                <w:kern w:val="0"/>
                <w:sz w:val="21"/>
                <w:szCs w:val="21"/>
                <w:lang w:bidi="ar"/>
              </w:rPr>
              <w:t>Active-Active</w:t>
            </w:r>
            <w:r>
              <w:rPr>
                <w:rFonts w:hint="eastAsia" w:ascii="宋体" w:hAnsi="宋体" w:eastAsia="宋体" w:cs="宋体"/>
                <w:kern w:val="0"/>
                <w:sz w:val="21"/>
                <w:szCs w:val="21"/>
                <w:lang w:bidi="ar"/>
              </w:rPr>
              <w:t>运行的能力。</w:t>
            </w:r>
          </w:p>
        </w:tc>
      </w:tr>
      <w:tr w14:paraId="66F5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9" w:type="dxa"/>
            <w:vAlign w:val="center"/>
          </w:tcPr>
          <w:p w14:paraId="3E39608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300" w:type="dxa"/>
            <w:vMerge w:val="continue"/>
          </w:tcPr>
          <w:p w14:paraId="6494DC22">
            <w:pPr>
              <w:widowControl w:val="0"/>
              <w:jc w:val="both"/>
              <w:rPr>
                <w:rFonts w:hint="eastAsia"/>
                <w:sz w:val="21"/>
                <w:szCs w:val="21"/>
                <w:vertAlign w:val="baseline"/>
                <w:lang w:val="en-US" w:eastAsia="zh-CN"/>
              </w:rPr>
            </w:pPr>
          </w:p>
        </w:tc>
        <w:tc>
          <w:tcPr>
            <w:tcW w:w="6293" w:type="dxa"/>
            <w:shd w:val="clear" w:color="auto" w:fill="auto"/>
            <w:vAlign w:val="center"/>
          </w:tcPr>
          <w:p w14:paraId="3F340F29">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支持通过Web页面进行智能选路的路由测试功能。</w:t>
            </w:r>
          </w:p>
        </w:tc>
      </w:tr>
      <w:tr w14:paraId="0C03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9" w:type="dxa"/>
            <w:vAlign w:val="center"/>
          </w:tcPr>
          <w:p w14:paraId="7782ECD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300" w:type="dxa"/>
            <w:vMerge w:val="continue"/>
          </w:tcPr>
          <w:p w14:paraId="00988A97">
            <w:pPr>
              <w:widowControl w:val="0"/>
              <w:jc w:val="both"/>
              <w:rPr>
                <w:rFonts w:hint="eastAsia"/>
                <w:sz w:val="21"/>
                <w:szCs w:val="21"/>
                <w:vertAlign w:val="baseline"/>
                <w:lang w:val="en-US" w:eastAsia="zh-CN"/>
              </w:rPr>
            </w:pPr>
          </w:p>
        </w:tc>
        <w:tc>
          <w:tcPr>
            <w:tcW w:w="6293" w:type="dxa"/>
            <w:shd w:val="clear" w:color="auto" w:fill="auto"/>
            <w:vAlign w:val="center"/>
          </w:tcPr>
          <w:p w14:paraId="2D9D232F">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支持</w:t>
            </w:r>
            <w:r>
              <w:rPr>
                <w:rFonts w:ascii="宋体" w:hAnsi="宋体" w:eastAsia="宋体" w:cs="宋体"/>
                <w:kern w:val="0"/>
                <w:sz w:val="21"/>
                <w:szCs w:val="21"/>
                <w:lang w:bidi="ar"/>
              </w:rPr>
              <w:t>DNS</w:t>
            </w:r>
            <w:r>
              <w:rPr>
                <w:rFonts w:hint="eastAsia" w:ascii="宋体" w:hAnsi="宋体" w:eastAsia="宋体" w:cs="宋体"/>
                <w:kern w:val="0"/>
                <w:sz w:val="21"/>
                <w:szCs w:val="21"/>
                <w:lang w:bidi="ar"/>
              </w:rPr>
              <w:t>透明代理技术，解决链路使用不均衡问题，提升链路利用率。</w:t>
            </w:r>
          </w:p>
        </w:tc>
      </w:tr>
      <w:tr w14:paraId="376D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9" w:type="dxa"/>
            <w:vAlign w:val="center"/>
          </w:tcPr>
          <w:p w14:paraId="2D55032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300" w:type="dxa"/>
            <w:vMerge w:val="continue"/>
          </w:tcPr>
          <w:p w14:paraId="3C4E4FEF">
            <w:pPr>
              <w:widowControl w:val="0"/>
              <w:jc w:val="both"/>
              <w:rPr>
                <w:rFonts w:hint="eastAsia"/>
                <w:sz w:val="21"/>
                <w:szCs w:val="21"/>
                <w:vertAlign w:val="baseline"/>
                <w:lang w:val="en-US" w:eastAsia="zh-CN"/>
              </w:rPr>
            </w:pPr>
          </w:p>
        </w:tc>
        <w:tc>
          <w:tcPr>
            <w:tcW w:w="6293" w:type="dxa"/>
            <w:shd w:val="clear" w:color="auto" w:fill="auto"/>
            <w:vAlign w:val="center"/>
          </w:tcPr>
          <w:p w14:paraId="7B893408">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针对多条</w:t>
            </w:r>
            <w:r>
              <w:rPr>
                <w:rFonts w:ascii="宋体" w:hAnsi="宋体" w:eastAsia="宋体" w:cs="宋体"/>
                <w:kern w:val="0"/>
                <w:sz w:val="21"/>
                <w:szCs w:val="21"/>
                <w:lang w:bidi="ar"/>
              </w:rPr>
              <w:t>ISP</w:t>
            </w:r>
            <w:r>
              <w:rPr>
                <w:rFonts w:hint="eastAsia" w:ascii="宋体" w:hAnsi="宋体" w:eastAsia="宋体" w:cs="宋体"/>
                <w:kern w:val="0"/>
                <w:sz w:val="21"/>
                <w:szCs w:val="21"/>
                <w:lang w:bidi="ar"/>
              </w:rPr>
              <w:t>链路，同时支持动态检测网络就近性和以地址段判断的静态就近性判断，并以此为依据选择最优的</w:t>
            </w:r>
            <w:r>
              <w:rPr>
                <w:rFonts w:ascii="宋体" w:hAnsi="宋体" w:eastAsia="宋体" w:cs="宋体"/>
                <w:kern w:val="0"/>
                <w:sz w:val="21"/>
                <w:szCs w:val="21"/>
                <w:lang w:bidi="ar"/>
              </w:rPr>
              <w:t>ISP</w:t>
            </w:r>
            <w:r>
              <w:rPr>
                <w:rFonts w:hint="eastAsia" w:ascii="宋体" w:hAnsi="宋体" w:eastAsia="宋体" w:cs="宋体"/>
                <w:kern w:val="0"/>
                <w:sz w:val="21"/>
                <w:szCs w:val="21"/>
                <w:lang w:bidi="ar"/>
              </w:rPr>
              <w:t>链路。</w:t>
            </w:r>
          </w:p>
        </w:tc>
      </w:tr>
      <w:tr w14:paraId="6E7F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9" w:type="dxa"/>
            <w:vAlign w:val="center"/>
          </w:tcPr>
          <w:p w14:paraId="166B963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12</w:t>
            </w:r>
          </w:p>
        </w:tc>
        <w:tc>
          <w:tcPr>
            <w:tcW w:w="1300" w:type="dxa"/>
          </w:tcPr>
          <w:p w14:paraId="25FC401E">
            <w:pPr>
              <w:widowControl w:val="0"/>
              <w:jc w:val="both"/>
              <w:rPr>
                <w:rFonts w:hint="eastAsia"/>
                <w:sz w:val="21"/>
                <w:szCs w:val="21"/>
                <w:vertAlign w:val="baseline"/>
                <w:lang w:val="en-US" w:eastAsia="zh-CN"/>
              </w:rPr>
            </w:pPr>
            <w:r>
              <w:rPr>
                <w:rFonts w:hint="eastAsia"/>
                <w:sz w:val="21"/>
                <w:szCs w:val="21"/>
                <w:lang w:val="en-US" w:eastAsia="zh-CN"/>
              </w:rPr>
              <w:t>服务承诺函</w:t>
            </w:r>
          </w:p>
        </w:tc>
        <w:tc>
          <w:tcPr>
            <w:tcW w:w="6293" w:type="dxa"/>
            <w:shd w:val="clear" w:color="auto" w:fill="auto"/>
            <w:vAlign w:val="center"/>
          </w:tcPr>
          <w:p w14:paraId="7CFC3384">
            <w:pPr>
              <w:widowControl w:val="0"/>
              <w:spacing w:line="360" w:lineRule="auto"/>
              <w:ind w:right="-24" w:rightChars="-10"/>
              <w:jc w:val="left"/>
              <w:rPr>
                <w:rFonts w:hint="eastAsia" w:ascii="宋体" w:hAnsi="宋体" w:eastAsia="宋体" w:cs="宋体"/>
                <w:kern w:val="0"/>
                <w:sz w:val="21"/>
                <w:szCs w:val="21"/>
                <w:lang w:bidi="ar"/>
              </w:rPr>
            </w:pPr>
            <w:r>
              <w:rPr>
                <w:rFonts w:hint="eastAsia"/>
                <w:sz w:val="21"/>
                <w:szCs w:val="21"/>
                <w:lang w:val="en-US" w:eastAsia="zh-CN"/>
              </w:rPr>
              <w:t>合同签订时，提供原厂商针对本项目的服务承诺函</w:t>
            </w:r>
          </w:p>
        </w:tc>
      </w:tr>
    </w:tbl>
    <w:p w14:paraId="67438232">
      <w:pPr>
        <w:rPr>
          <w:rFonts w:hint="eastAsia"/>
          <w:sz w:val="21"/>
          <w:szCs w:val="21"/>
        </w:rPr>
      </w:pPr>
    </w:p>
    <w:p w14:paraId="2A69F982">
      <w:pPr>
        <w:pStyle w:val="5"/>
        <w:bidi w:val="0"/>
        <w:rPr>
          <w:rFonts w:hint="default" w:eastAsia="黑体"/>
          <w:sz w:val="21"/>
          <w:szCs w:val="21"/>
          <w:lang w:val="en-US" w:eastAsia="zh-CN"/>
        </w:rPr>
      </w:pPr>
      <w:r>
        <w:rPr>
          <w:rFonts w:hint="eastAsia"/>
          <w:sz w:val="21"/>
          <w:szCs w:val="21"/>
        </w:rPr>
        <w:t>aTrust续保</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273"/>
        <w:gridCol w:w="6329"/>
      </w:tblGrid>
      <w:tr w14:paraId="6BA1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920" w:type="dxa"/>
          </w:tcPr>
          <w:p w14:paraId="7D7454C1">
            <w:pPr>
              <w:widowControl w:val="0"/>
              <w:jc w:val="center"/>
              <w:rPr>
                <w:rFonts w:hint="eastAsia" w:eastAsia="宋体"/>
                <w:sz w:val="21"/>
                <w:szCs w:val="21"/>
                <w:vertAlign w:val="baseline"/>
                <w:lang w:val="en-US" w:eastAsia="zh-CN"/>
              </w:rPr>
            </w:pPr>
            <w:r>
              <w:rPr>
                <w:rFonts w:hint="eastAsia"/>
                <w:sz w:val="21"/>
                <w:szCs w:val="21"/>
                <w:vertAlign w:val="baseline"/>
                <w:lang w:val="en-US" w:eastAsia="zh-CN"/>
              </w:rPr>
              <w:t>序号</w:t>
            </w:r>
          </w:p>
        </w:tc>
        <w:tc>
          <w:tcPr>
            <w:tcW w:w="1273" w:type="dxa"/>
          </w:tcPr>
          <w:p w14:paraId="0112AEB8">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技术指标</w:t>
            </w:r>
          </w:p>
        </w:tc>
        <w:tc>
          <w:tcPr>
            <w:tcW w:w="6329" w:type="dxa"/>
          </w:tcPr>
          <w:p w14:paraId="7503D40A">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指标要求</w:t>
            </w:r>
          </w:p>
        </w:tc>
      </w:tr>
      <w:tr w14:paraId="7222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0" w:type="dxa"/>
            <w:shd w:val="clear" w:color="auto" w:fill="auto"/>
            <w:vAlign w:val="center"/>
          </w:tcPr>
          <w:p w14:paraId="72A4DDB4">
            <w:pPr>
              <w:keepNext w:val="0"/>
              <w:keepLines w:val="0"/>
              <w:widowControl/>
              <w:suppressLineNumbers w:val="0"/>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273" w:type="dxa"/>
            <w:shd w:val="clear" w:color="auto" w:fill="auto"/>
            <w:vAlign w:val="center"/>
          </w:tcPr>
          <w:p w14:paraId="1DC5F3B1">
            <w:pPr>
              <w:widowControl/>
              <w:spacing w:line="360" w:lineRule="auto"/>
              <w:jc w:val="both"/>
              <w:rPr>
                <w:rFonts w:hint="eastAsia" w:ascii="宋体" w:hAnsi="宋体" w:eastAsia="宋体" w:cs="宋体"/>
                <w:sz w:val="21"/>
                <w:szCs w:val="21"/>
                <w:lang w:val="en-US" w:eastAsia="zh-CN" w:bidi="ar-SA"/>
              </w:rPr>
            </w:pPr>
            <w:r>
              <w:rPr>
                <w:rFonts w:hint="eastAsia"/>
                <w:sz w:val="21"/>
                <w:szCs w:val="21"/>
                <w:lang w:val="en-US" w:eastAsia="zh-CN"/>
              </w:rPr>
              <w:t>采购要求</w:t>
            </w:r>
          </w:p>
        </w:tc>
        <w:tc>
          <w:tcPr>
            <w:tcW w:w="6329" w:type="dxa"/>
            <w:shd w:val="clear" w:color="auto" w:fill="auto"/>
            <w:vAlign w:val="center"/>
          </w:tcPr>
          <w:p w14:paraId="7CE519A7">
            <w:pPr>
              <w:widowControl/>
              <w:spacing w:line="360" w:lineRule="auto"/>
              <w:jc w:val="both"/>
              <w:rPr>
                <w:rFonts w:hint="eastAsia" w:ascii="宋体" w:hAnsi="宋体" w:eastAsia="宋体" w:cs="宋体"/>
                <w:sz w:val="21"/>
                <w:szCs w:val="21"/>
                <w:lang w:val="en-US" w:eastAsia="zh-CN" w:bidi="ar-SA"/>
              </w:rPr>
            </w:pPr>
            <w:r>
              <w:rPr>
                <w:rFonts w:ascii="Times New Roman" w:hAnsi="Times New Roman"/>
                <w:snapToGrid w:val="0"/>
                <w:color w:val="auto"/>
                <w:kern w:val="0"/>
                <w:sz w:val="21"/>
                <w:szCs w:val="21"/>
              </w:rPr>
              <w:t>▲</w:t>
            </w:r>
            <w:r>
              <w:rPr>
                <w:rFonts w:hint="eastAsia"/>
                <w:sz w:val="21"/>
                <w:szCs w:val="21"/>
                <w:lang w:val="en-US" w:eastAsia="zh-CN"/>
              </w:rPr>
              <w:t>提供现有1台深信服</w:t>
            </w:r>
            <w:r>
              <w:rPr>
                <w:rFonts w:hint="eastAsia"/>
                <w:color w:val="auto"/>
                <w:sz w:val="21"/>
                <w:szCs w:val="21"/>
                <w:highlight w:val="none"/>
                <w:lang w:val="en-US" w:eastAsia="zh-CN"/>
              </w:rPr>
              <w:t>零信任</w:t>
            </w:r>
            <w:r>
              <w:rPr>
                <w:rFonts w:hint="eastAsia"/>
                <w:sz w:val="21"/>
                <w:szCs w:val="21"/>
                <w:highlight w:val="none"/>
              </w:rPr>
              <w:t>aTrust</w:t>
            </w:r>
            <w:r>
              <w:rPr>
                <w:rFonts w:hint="eastAsia"/>
                <w:sz w:val="21"/>
                <w:szCs w:val="21"/>
                <w:highlight w:val="none"/>
                <w:lang w:val="en-US" w:eastAsia="zh-CN"/>
              </w:rPr>
              <w:t>设备</w:t>
            </w:r>
            <w:r>
              <w:rPr>
                <w:rFonts w:hint="eastAsia"/>
                <w:sz w:val="21"/>
                <w:szCs w:val="21"/>
                <w:lang w:val="en-US" w:eastAsia="zh-CN"/>
              </w:rPr>
              <w:t>续费维保服务至2028年8月</w:t>
            </w:r>
          </w:p>
        </w:tc>
      </w:tr>
      <w:tr w14:paraId="2902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0" w:type="dxa"/>
            <w:shd w:val="clear" w:color="auto" w:fill="auto"/>
            <w:vAlign w:val="center"/>
          </w:tcPr>
          <w:p w14:paraId="551BFC28">
            <w:pPr>
              <w:keepNext w:val="0"/>
              <w:keepLines w:val="0"/>
              <w:widowControl/>
              <w:suppressLineNumbers w:val="0"/>
              <w:jc w:val="center"/>
              <w:textAlignment w:val="center"/>
              <w:rPr>
                <w:rFonts w:hint="eastAsia" w:ascii="宋体" w:hAnsi="宋体" w:cs="宋体" w:eastAsiaTheme="minorEastAsia"/>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273" w:type="dxa"/>
            <w:vMerge w:val="restart"/>
            <w:shd w:val="clear" w:color="auto" w:fill="auto"/>
            <w:vAlign w:val="center"/>
          </w:tcPr>
          <w:p w14:paraId="5F24B70D">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资源发布能力</w:t>
            </w:r>
          </w:p>
        </w:tc>
        <w:tc>
          <w:tcPr>
            <w:tcW w:w="6329" w:type="dxa"/>
            <w:shd w:val="clear" w:color="auto" w:fill="auto"/>
            <w:vAlign w:val="top"/>
          </w:tcPr>
          <w:p w14:paraId="5A3D0E63">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通过隧道模式，可以支持基于TCP、UDP、ICMP等协议代理访问业务资源，支持发布IP、IP范围、IP段、具体域名及通配符域名等形式的服务器地址，满足常见办公业务的代理，收缩业务暴露面。为简化资源发布配置，隧道模式应支持同一个资源发布多个服务器地址；管理员还可基于业务的特殊性，自主选择优先使用长连接或短连接进行业务代理。</w:t>
            </w:r>
          </w:p>
        </w:tc>
      </w:tr>
      <w:tr w14:paraId="4742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0" w:type="dxa"/>
            <w:vAlign w:val="center"/>
          </w:tcPr>
          <w:p w14:paraId="156951E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273" w:type="dxa"/>
            <w:vMerge w:val="continue"/>
          </w:tcPr>
          <w:p w14:paraId="401D5D14">
            <w:pPr>
              <w:widowControl w:val="0"/>
              <w:jc w:val="both"/>
              <w:rPr>
                <w:rFonts w:hint="eastAsia"/>
                <w:sz w:val="21"/>
                <w:szCs w:val="21"/>
                <w:vertAlign w:val="baseline"/>
                <w:lang w:val="en-US" w:eastAsia="zh-CN"/>
              </w:rPr>
            </w:pPr>
          </w:p>
        </w:tc>
        <w:tc>
          <w:tcPr>
            <w:tcW w:w="6329" w:type="dxa"/>
            <w:shd w:val="clear" w:color="auto" w:fill="auto"/>
            <w:vAlign w:val="top"/>
          </w:tcPr>
          <w:p w14:paraId="083876DB">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通过WEB模式，可以支持基于http或https协议代理访问业务资源，支持发布IP或域名形式的后端服务器地址，可配置业务应用的具体访问URL路径。为了保持用户访问应用体验的一致性，后端服务器地址需支持多地址配置；为适应较复杂的内外网访问场景，WEB应用的前端访问地址应支持多地址访问。存在前置代理设备的场景，还应支持从XFF字段获取源IP。</w:t>
            </w:r>
          </w:p>
        </w:tc>
      </w:tr>
      <w:tr w14:paraId="559E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0" w:type="dxa"/>
            <w:vAlign w:val="center"/>
          </w:tcPr>
          <w:p w14:paraId="61B7BE8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273" w:type="dxa"/>
            <w:vMerge w:val="continue"/>
          </w:tcPr>
          <w:p w14:paraId="33275898">
            <w:pPr>
              <w:widowControl w:val="0"/>
              <w:jc w:val="both"/>
              <w:rPr>
                <w:rFonts w:hint="eastAsia"/>
                <w:sz w:val="21"/>
                <w:szCs w:val="21"/>
                <w:vertAlign w:val="baseline"/>
                <w:lang w:val="en-US" w:eastAsia="zh-CN"/>
              </w:rPr>
            </w:pPr>
          </w:p>
        </w:tc>
        <w:tc>
          <w:tcPr>
            <w:tcW w:w="6329" w:type="dxa"/>
            <w:shd w:val="clear" w:color="auto" w:fill="auto"/>
            <w:vAlign w:val="top"/>
          </w:tcPr>
          <w:p w14:paraId="312E8727">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为提升业务应用的数据安全性，零信任系统应支持针对发布的WEB应用开启WEB水印，水印内容至少包括：用户名+当前年月日，起到威慑与溯源作用，有效预防数据泄露。</w:t>
            </w:r>
          </w:p>
        </w:tc>
      </w:tr>
      <w:tr w14:paraId="1EA1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0" w:type="dxa"/>
            <w:vAlign w:val="center"/>
          </w:tcPr>
          <w:p w14:paraId="6B35305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73" w:type="dxa"/>
            <w:vMerge w:val="continue"/>
          </w:tcPr>
          <w:p w14:paraId="252BAF4F">
            <w:pPr>
              <w:widowControl w:val="0"/>
              <w:jc w:val="both"/>
              <w:rPr>
                <w:rFonts w:hint="eastAsia"/>
                <w:sz w:val="21"/>
                <w:szCs w:val="21"/>
                <w:vertAlign w:val="baseline"/>
                <w:lang w:val="en-US" w:eastAsia="zh-CN"/>
              </w:rPr>
            </w:pPr>
          </w:p>
        </w:tc>
        <w:tc>
          <w:tcPr>
            <w:tcW w:w="6329" w:type="dxa"/>
            <w:shd w:val="clear" w:color="auto" w:fill="auto"/>
            <w:vAlign w:val="top"/>
          </w:tcPr>
          <w:p w14:paraId="7FB091CD">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在业务应用兼容性良好的情况下，支持以隧道模式发布http/https协议的资源，以增加在隧道模式下发布的资源的URL级别审计能力，同时支持为隧道资源添加WEB水印以及单点登录功能。</w:t>
            </w:r>
          </w:p>
        </w:tc>
      </w:tr>
      <w:tr w14:paraId="5523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0" w:type="dxa"/>
            <w:vAlign w:val="center"/>
          </w:tcPr>
          <w:p w14:paraId="6B7EF3D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273" w:type="dxa"/>
            <w:vMerge w:val="continue"/>
          </w:tcPr>
          <w:p w14:paraId="52693B44">
            <w:pPr>
              <w:widowControl w:val="0"/>
              <w:jc w:val="both"/>
              <w:rPr>
                <w:rFonts w:hint="eastAsia"/>
                <w:sz w:val="21"/>
                <w:szCs w:val="21"/>
                <w:vertAlign w:val="baseline"/>
                <w:lang w:val="en-US" w:eastAsia="zh-CN"/>
              </w:rPr>
            </w:pPr>
          </w:p>
        </w:tc>
        <w:tc>
          <w:tcPr>
            <w:tcW w:w="6329" w:type="dxa"/>
            <w:shd w:val="clear" w:color="auto" w:fill="auto"/>
            <w:vAlign w:val="top"/>
          </w:tcPr>
          <w:p w14:paraId="57EC8187">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cs="宋体"/>
                <w:kern w:val="0"/>
                <w:sz w:val="21"/>
                <w:szCs w:val="21"/>
                <w:lang w:val="en-US" w:eastAsia="zh-CN" w:bidi="ar"/>
              </w:rPr>
              <w:t>△</w:t>
            </w:r>
            <w:r>
              <w:rPr>
                <w:rFonts w:hint="eastAsia" w:ascii="宋体" w:hAnsi="宋体" w:eastAsia="宋体" w:cs="宋体"/>
                <w:kern w:val="0"/>
                <w:sz w:val="21"/>
                <w:szCs w:val="21"/>
                <w:lang w:bidi="ar"/>
              </w:rPr>
              <w:t>支持以私有DNS发布企业资源，无需额外购买DNS服务即可使用域名访问内网资源，支持管理员自主配置是否允许从具体网络区域（局域网/互联网）接入时使用此私有DNS解析地址。</w:t>
            </w:r>
          </w:p>
        </w:tc>
      </w:tr>
      <w:tr w14:paraId="4618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0" w:type="dxa"/>
            <w:vAlign w:val="center"/>
          </w:tcPr>
          <w:p w14:paraId="53AF7CE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273" w:type="dxa"/>
            <w:vMerge w:val="continue"/>
          </w:tcPr>
          <w:p w14:paraId="451DE7A2">
            <w:pPr>
              <w:widowControl w:val="0"/>
              <w:jc w:val="both"/>
              <w:rPr>
                <w:rFonts w:hint="eastAsia"/>
                <w:sz w:val="21"/>
                <w:szCs w:val="21"/>
                <w:vertAlign w:val="baseline"/>
                <w:lang w:val="en-US" w:eastAsia="zh-CN"/>
              </w:rPr>
            </w:pPr>
          </w:p>
        </w:tc>
        <w:tc>
          <w:tcPr>
            <w:tcW w:w="6329" w:type="dxa"/>
            <w:shd w:val="clear" w:color="auto" w:fill="auto"/>
            <w:vAlign w:val="top"/>
          </w:tcPr>
          <w:p w14:paraId="1B520CDA">
            <w:pPr>
              <w:widowControl w:val="0"/>
              <w:spacing w:line="360" w:lineRule="auto"/>
              <w:ind w:right="-24" w:rightChars="-10"/>
              <w:jc w:val="lef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为符合单位合规性要求，管理员可自主编辑用户访问未授权应用时的告警内容；</w:t>
            </w:r>
          </w:p>
          <w:p w14:paraId="4C253782">
            <w:pPr>
              <w:widowControl w:val="0"/>
              <w:spacing w:line="360" w:lineRule="auto"/>
              <w:ind w:right="-24" w:rightChars="-10"/>
              <w:jc w:val="lef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支持配置是否允许用户自助申请应用访问权限，启用后，管理员可以在控制台根据审批状态查看应用申请详情，包括但不限于：申请时间、用户名、所属组织架构、角色、应用名称、应用访问地址、申请理由、申请有效期等。</w:t>
            </w:r>
          </w:p>
          <w:p w14:paraId="3075CD87">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应用管理员可对待审批的应用进行批准或驳回操作，支持批量操作。</w:t>
            </w:r>
          </w:p>
        </w:tc>
      </w:tr>
      <w:tr w14:paraId="5432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0" w:type="dxa"/>
            <w:shd w:val="clear" w:color="auto" w:fill="auto"/>
            <w:vAlign w:val="center"/>
          </w:tcPr>
          <w:p w14:paraId="49B113F5">
            <w:pPr>
              <w:keepNext w:val="0"/>
              <w:keepLines w:val="0"/>
              <w:widowControl/>
              <w:suppressLineNumbers w:val="0"/>
              <w:jc w:val="center"/>
              <w:textAlignment w:val="center"/>
              <w:rPr>
                <w:rFonts w:hint="eastAsia" w:ascii="宋体" w:hAnsi="宋体" w:cs="宋体" w:eastAsiaTheme="minorEastAsia"/>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273" w:type="dxa"/>
            <w:vMerge w:val="restart"/>
            <w:shd w:val="clear" w:color="auto" w:fill="auto"/>
            <w:vAlign w:val="center"/>
          </w:tcPr>
          <w:p w14:paraId="4E4CA468">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认证管理</w:t>
            </w:r>
          </w:p>
        </w:tc>
        <w:tc>
          <w:tcPr>
            <w:tcW w:w="6329" w:type="dxa"/>
            <w:shd w:val="clear" w:color="auto" w:fill="auto"/>
            <w:vAlign w:val="top"/>
          </w:tcPr>
          <w:p w14:paraId="65310D79">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为满足单位多样化安全便捷认证需求，支持以下认证方式：本地账号密码认证、LDAP/AD认证、OAuth2.0标准协议的票据认证、CAS标准协议的票据认证、Radius账号认证、HTTPS帐号认证、证书主认证、证书辅认证、短信主认证、短信辅认证、标准Radius令牌认证、第三方令牌认证、TOTP动态令牌认证等认证方式，并可与企业微信、阿里钉钉、飞书结合实现扫码认证，支持飞书用户或个人微信企业号通过H5接入。其中短信认证支持配置HTTPS短信网关、腾讯云短信网关、阿里云短信网关及Socket短信网关等网关类型。</w:t>
            </w:r>
          </w:p>
        </w:tc>
      </w:tr>
      <w:tr w14:paraId="792A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0" w:type="dxa"/>
            <w:vAlign w:val="center"/>
          </w:tcPr>
          <w:p w14:paraId="4629272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273" w:type="dxa"/>
            <w:vMerge w:val="continue"/>
          </w:tcPr>
          <w:p w14:paraId="37668633">
            <w:pPr>
              <w:widowControl w:val="0"/>
              <w:jc w:val="both"/>
              <w:rPr>
                <w:rFonts w:hint="eastAsia"/>
                <w:sz w:val="21"/>
                <w:szCs w:val="21"/>
                <w:vertAlign w:val="baseline"/>
                <w:lang w:val="en-US" w:eastAsia="zh-CN"/>
              </w:rPr>
            </w:pPr>
          </w:p>
        </w:tc>
        <w:tc>
          <w:tcPr>
            <w:tcW w:w="6329" w:type="dxa"/>
            <w:shd w:val="clear" w:color="auto" w:fill="auto"/>
            <w:vAlign w:val="top"/>
          </w:tcPr>
          <w:p w14:paraId="70F76FAE">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为了进一步保障用户身份安全，需支持多因素认证，支持管理员结合已对接的主认证和辅认证类型进行设置，可自由选择采用首次认证+二次认证+终端认证+增强认证等方式。</w:t>
            </w:r>
          </w:p>
        </w:tc>
      </w:tr>
      <w:tr w14:paraId="23C7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0" w:type="dxa"/>
            <w:vAlign w:val="center"/>
          </w:tcPr>
          <w:p w14:paraId="0F924AD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273" w:type="dxa"/>
            <w:vMerge w:val="continue"/>
          </w:tcPr>
          <w:p w14:paraId="310428F1">
            <w:pPr>
              <w:widowControl w:val="0"/>
              <w:jc w:val="both"/>
              <w:rPr>
                <w:rFonts w:hint="eastAsia"/>
                <w:sz w:val="21"/>
                <w:szCs w:val="21"/>
                <w:vertAlign w:val="baseline"/>
                <w:lang w:val="en-US" w:eastAsia="zh-CN"/>
              </w:rPr>
            </w:pPr>
          </w:p>
        </w:tc>
        <w:tc>
          <w:tcPr>
            <w:tcW w:w="6329" w:type="dxa"/>
            <w:shd w:val="clear" w:color="auto" w:fill="auto"/>
            <w:vAlign w:val="top"/>
          </w:tcPr>
          <w:p w14:paraId="57022000">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cs="宋体"/>
                <w:kern w:val="0"/>
                <w:sz w:val="21"/>
                <w:szCs w:val="21"/>
                <w:lang w:val="en-US" w:eastAsia="zh-CN" w:bidi="ar"/>
              </w:rPr>
              <w:t>△</w:t>
            </w:r>
            <w:r>
              <w:rPr>
                <w:rFonts w:hint="eastAsia" w:ascii="宋体" w:hAnsi="宋体" w:eastAsia="宋体" w:cs="宋体"/>
                <w:kern w:val="0"/>
                <w:sz w:val="21"/>
                <w:szCs w:val="21"/>
                <w:lang w:bidi="ar"/>
              </w:rPr>
              <w:t>为强化系统认证安全性，可配置在触发异常环境的条件时，用户需完成增强认证才可登录。可配置的异常环境包括但不限于：帐号首次登录、帐号在该终端首次登录、闲置帐号登录、弱密码登录、异常时间登录、非常用地点登录等。</w:t>
            </w:r>
          </w:p>
        </w:tc>
      </w:tr>
      <w:tr w14:paraId="7C64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0" w:type="dxa"/>
            <w:shd w:val="clear" w:color="auto" w:fill="auto"/>
            <w:vAlign w:val="center"/>
          </w:tcPr>
          <w:p w14:paraId="66E571B5">
            <w:pPr>
              <w:keepNext w:val="0"/>
              <w:keepLines w:val="0"/>
              <w:widowControl/>
              <w:suppressLineNumbers w:val="0"/>
              <w:jc w:val="center"/>
              <w:textAlignment w:val="center"/>
              <w:rPr>
                <w:rFonts w:hint="eastAsia" w:ascii="宋体" w:hAnsi="宋体" w:cs="宋体" w:eastAsiaTheme="minorEastAsia"/>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1273" w:type="dxa"/>
            <w:shd w:val="clear" w:color="auto" w:fill="auto"/>
            <w:vAlign w:val="center"/>
          </w:tcPr>
          <w:p w14:paraId="7C69419C">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管理员账号权限管控</w:t>
            </w:r>
          </w:p>
        </w:tc>
        <w:tc>
          <w:tcPr>
            <w:tcW w:w="6329" w:type="dxa"/>
            <w:shd w:val="clear" w:color="auto" w:fill="auto"/>
            <w:vAlign w:val="top"/>
          </w:tcPr>
          <w:p w14:paraId="1830A449">
            <w:pPr>
              <w:widowControl w:val="0"/>
              <w:spacing w:line="360" w:lineRule="auto"/>
              <w:ind w:right="-24" w:rightChars="-1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产品支持管理员三权分立功能，根据管理员权限分为安全管理员、安全审计员、系统管理员三种角色。</w:t>
            </w:r>
          </w:p>
        </w:tc>
      </w:tr>
      <w:tr w14:paraId="5EA4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0" w:type="dxa"/>
            <w:shd w:val="clear" w:color="auto" w:fill="auto"/>
            <w:vAlign w:val="center"/>
          </w:tcPr>
          <w:p w14:paraId="4B4021E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12</w:t>
            </w:r>
          </w:p>
        </w:tc>
        <w:tc>
          <w:tcPr>
            <w:tcW w:w="1273" w:type="dxa"/>
            <w:shd w:val="clear" w:color="auto" w:fill="auto"/>
            <w:vAlign w:val="center"/>
          </w:tcPr>
          <w:p w14:paraId="1CA98DAD">
            <w:pPr>
              <w:widowControl w:val="0"/>
              <w:spacing w:line="360" w:lineRule="auto"/>
              <w:ind w:right="-24" w:rightChars="-10"/>
              <w:jc w:val="left"/>
              <w:rPr>
                <w:rFonts w:hint="eastAsia" w:ascii="宋体" w:hAnsi="宋体" w:eastAsia="宋体" w:cs="宋体"/>
                <w:kern w:val="0"/>
                <w:sz w:val="21"/>
                <w:szCs w:val="21"/>
                <w:lang w:bidi="ar"/>
              </w:rPr>
            </w:pPr>
            <w:r>
              <w:rPr>
                <w:rFonts w:hint="eastAsia"/>
                <w:sz w:val="21"/>
                <w:szCs w:val="21"/>
                <w:lang w:val="en-US" w:eastAsia="zh-CN"/>
              </w:rPr>
              <w:t>服务承诺函</w:t>
            </w:r>
          </w:p>
        </w:tc>
        <w:tc>
          <w:tcPr>
            <w:tcW w:w="6329" w:type="dxa"/>
            <w:shd w:val="clear" w:color="auto" w:fill="auto"/>
            <w:vAlign w:val="top"/>
          </w:tcPr>
          <w:p w14:paraId="77776C26">
            <w:pPr>
              <w:widowControl w:val="0"/>
              <w:spacing w:line="360" w:lineRule="auto"/>
              <w:ind w:right="-24" w:rightChars="-10"/>
              <w:jc w:val="left"/>
              <w:rPr>
                <w:rFonts w:hint="eastAsia" w:ascii="宋体" w:hAnsi="宋体" w:eastAsia="宋体" w:cs="宋体"/>
                <w:kern w:val="0"/>
                <w:sz w:val="21"/>
                <w:szCs w:val="21"/>
                <w:lang w:bidi="ar"/>
              </w:rPr>
            </w:pPr>
            <w:r>
              <w:rPr>
                <w:rFonts w:hint="eastAsia"/>
                <w:sz w:val="21"/>
                <w:szCs w:val="21"/>
                <w:lang w:val="en-US" w:eastAsia="zh-CN"/>
              </w:rPr>
              <w:t>合同签订时，提供原厂商针对本项目的服务承诺函</w:t>
            </w:r>
          </w:p>
        </w:tc>
      </w:tr>
    </w:tbl>
    <w:p w14:paraId="4E9BE08E">
      <w:pPr>
        <w:rPr>
          <w:rFonts w:hint="eastAsia"/>
          <w:sz w:val="21"/>
          <w:szCs w:val="21"/>
        </w:rPr>
      </w:pPr>
    </w:p>
    <w:p w14:paraId="1CB1C456">
      <w:pPr>
        <w:pStyle w:val="5"/>
        <w:bidi w:val="0"/>
        <w:rPr>
          <w:rFonts w:hint="default" w:eastAsia="黑体"/>
          <w:sz w:val="21"/>
          <w:szCs w:val="21"/>
          <w:lang w:val="en-US" w:eastAsia="zh-CN"/>
        </w:rPr>
      </w:pPr>
      <w:r>
        <w:rPr>
          <w:rFonts w:hint="eastAsia"/>
          <w:sz w:val="21"/>
          <w:szCs w:val="21"/>
        </w:rPr>
        <w:t>AES服务器扩容授权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264"/>
        <w:gridCol w:w="6402"/>
      </w:tblGrid>
      <w:tr w14:paraId="31E1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dxa"/>
          </w:tcPr>
          <w:p w14:paraId="594B7815">
            <w:pPr>
              <w:widowControl w:val="0"/>
              <w:jc w:val="center"/>
              <w:rPr>
                <w:rFonts w:hint="eastAsia" w:eastAsia="宋体"/>
                <w:sz w:val="21"/>
                <w:szCs w:val="21"/>
                <w:vertAlign w:val="baseline"/>
                <w:lang w:val="en-US" w:eastAsia="zh-CN"/>
              </w:rPr>
            </w:pPr>
            <w:r>
              <w:rPr>
                <w:rFonts w:hint="eastAsia"/>
                <w:sz w:val="21"/>
                <w:szCs w:val="21"/>
                <w:vertAlign w:val="baseline"/>
                <w:lang w:val="en-US" w:eastAsia="zh-CN"/>
              </w:rPr>
              <w:t>序号</w:t>
            </w:r>
          </w:p>
        </w:tc>
        <w:tc>
          <w:tcPr>
            <w:tcW w:w="1264" w:type="dxa"/>
          </w:tcPr>
          <w:p w14:paraId="46A55B61">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技术指标</w:t>
            </w:r>
          </w:p>
        </w:tc>
        <w:tc>
          <w:tcPr>
            <w:tcW w:w="6402" w:type="dxa"/>
          </w:tcPr>
          <w:p w14:paraId="5D2BEBE2">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指标要求</w:t>
            </w:r>
          </w:p>
        </w:tc>
      </w:tr>
      <w:tr w14:paraId="5DDD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dxa"/>
            <w:shd w:val="clear" w:color="auto" w:fill="auto"/>
            <w:vAlign w:val="center"/>
          </w:tcPr>
          <w:p w14:paraId="65BCF63D">
            <w:pPr>
              <w:keepNext w:val="0"/>
              <w:keepLines w:val="0"/>
              <w:widowControl/>
              <w:suppressLineNumbers w:val="0"/>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264" w:type="dxa"/>
            <w:shd w:val="clear" w:color="auto" w:fill="auto"/>
            <w:vAlign w:val="center"/>
          </w:tcPr>
          <w:p w14:paraId="520175E5">
            <w:pPr>
              <w:widowControl/>
              <w:spacing w:line="360" w:lineRule="auto"/>
              <w:jc w:val="both"/>
              <w:rPr>
                <w:rFonts w:hint="eastAsia" w:ascii="宋体" w:hAnsi="宋体" w:eastAsia="宋体" w:cs="宋体"/>
                <w:sz w:val="21"/>
                <w:szCs w:val="21"/>
                <w:lang w:val="en-US" w:eastAsia="zh-CN" w:bidi="ar-SA"/>
              </w:rPr>
            </w:pPr>
            <w:r>
              <w:rPr>
                <w:rFonts w:hint="eastAsia"/>
                <w:sz w:val="21"/>
                <w:szCs w:val="21"/>
                <w:lang w:val="en-US" w:eastAsia="zh-CN"/>
              </w:rPr>
              <w:t>采购要求</w:t>
            </w:r>
          </w:p>
        </w:tc>
        <w:tc>
          <w:tcPr>
            <w:tcW w:w="6402" w:type="dxa"/>
            <w:shd w:val="clear" w:color="auto" w:fill="auto"/>
            <w:vAlign w:val="center"/>
          </w:tcPr>
          <w:p w14:paraId="73B67235">
            <w:pPr>
              <w:widowControl/>
              <w:spacing w:line="360" w:lineRule="auto"/>
              <w:jc w:val="both"/>
              <w:rPr>
                <w:rFonts w:hint="eastAsia" w:ascii="宋体" w:hAnsi="宋体" w:eastAsia="宋体" w:cs="宋体"/>
                <w:sz w:val="21"/>
                <w:szCs w:val="21"/>
                <w:lang w:val="en-US" w:eastAsia="zh-CN" w:bidi="ar-SA"/>
              </w:rPr>
            </w:pPr>
            <w:r>
              <w:rPr>
                <w:rFonts w:ascii="Times New Roman" w:hAnsi="Times New Roman"/>
                <w:snapToGrid w:val="0"/>
                <w:color w:val="auto"/>
                <w:kern w:val="0"/>
                <w:sz w:val="21"/>
                <w:szCs w:val="21"/>
              </w:rPr>
              <w:t>▲</w:t>
            </w:r>
            <w:r>
              <w:rPr>
                <w:rFonts w:hint="eastAsia"/>
                <w:sz w:val="21"/>
                <w:szCs w:val="21"/>
                <w:lang w:val="en-US" w:eastAsia="zh-CN"/>
              </w:rPr>
              <w:t>提供现有深信服</w:t>
            </w:r>
            <w:r>
              <w:rPr>
                <w:rFonts w:hint="default"/>
                <w:sz w:val="21"/>
                <w:szCs w:val="21"/>
                <w:highlight w:val="none"/>
                <w:lang w:val="en-US" w:eastAsia="zh-CN"/>
              </w:rPr>
              <w:t>统一端点安全管理系统</w:t>
            </w:r>
            <w:r>
              <w:rPr>
                <w:rFonts w:hint="eastAsia"/>
                <w:sz w:val="21"/>
                <w:szCs w:val="21"/>
                <w:highlight w:val="none"/>
                <w:lang w:val="en-US" w:eastAsia="zh-CN"/>
              </w:rPr>
              <w:t>（AES）</w:t>
            </w:r>
            <w:r>
              <w:rPr>
                <w:rFonts w:hint="default"/>
                <w:sz w:val="21"/>
                <w:szCs w:val="21"/>
                <w:highlight w:val="none"/>
                <w:lang w:val="en-US" w:eastAsia="zh-CN"/>
              </w:rPr>
              <w:t>扩容</w:t>
            </w:r>
            <w:r>
              <w:rPr>
                <w:rFonts w:hint="eastAsia"/>
                <w:sz w:val="21"/>
                <w:szCs w:val="21"/>
                <w:highlight w:val="none"/>
                <w:lang w:val="en-US" w:eastAsia="zh-CN"/>
              </w:rPr>
              <w:t>至少</w:t>
            </w:r>
            <w:r>
              <w:rPr>
                <w:rFonts w:hint="default"/>
                <w:sz w:val="21"/>
                <w:szCs w:val="21"/>
                <w:highlight w:val="none"/>
                <w:lang w:val="en-US" w:eastAsia="zh-CN"/>
              </w:rPr>
              <w:t>100个</w:t>
            </w:r>
            <w:r>
              <w:rPr>
                <w:rFonts w:hint="eastAsia"/>
                <w:sz w:val="21"/>
                <w:szCs w:val="21"/>
                <w:highlight w:val="none"/>
                <w:lang w:val="en-US" w:eastAsia="zh-CN"/>
              </w:rPr>
              <w:t>信创</w:t>
            </w:r>
            <w:r>
              <w:rPr>
                <w:rFonts w:hint="default"/>
                <w:sz w:val="21"/>
                <w:szCs w:val="21"/>
                <w:highlight w:val="none"/>
                <w:lang w:val="en-US" w:eastAsia="zh-CN"/>
              </w:rPr>
              <w:t>服务器授权</w:t>
            </w:r>
          </w:p>
        </w:tc>
      </w:tr>
      <w:tr w14:paraId="3CE5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dxa"/>
            <w:shd w:val="clear" w:color="auto" w:fill="auto"/>
            <w:vAlign w:val="center"/>
          </w:tcPr>
          <w:p w14:paraId="42FE3DA1">
            <w:pPr>
              <w:keepNext w:val="0"/>
              <w:keepLines w:val="0"/>
              <w:widowControl/>
              <w:suppressLineNumbers w:val="0"/>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264" w:type="dxa"/>
            <w:shd w:val="clear" w:color="auto" w:fill="auto"/>
            <w:vAlign w:val="center"/>
          </w:tcPr>
          <w:p w14:paraId="1BF6AC76">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多维度威胁展示</w:t>
            </w:r>
          </w:p>
        </w:tc>
        <w:tc>
          <w:tcPr>
            <w:tcW w:w="6402" w:type="dxa"/>
            <w:shd w:val="clear" w:color="auto" w:fill="auto"/>
            <w:vAlign w:val="center"/>
          </w:tcPr>
          <w:p w14:paraId="3A9CD891">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提供勒索病毒整体防护体系入口，直观展示最近七天勒索病毒防护效果，包括已处置的恶意文件数量、已拦截可疑行为次数、已阻止的未知进程操作次数、已阻止的暴力破解攻击次数</w:t>
            </w:r>
          </w:p>
        </w:tc>
      </w:tr>
      <w:tr w14:paraId="002A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dxa"/>
            <w:shd w:val="clear" w:color="auto" w:fill="auto"/>
            <w:vAlign w:val="center"/>
          </w:tcPr>
          <w:p w14:paraId="440700E3">
            <w:pPr>
              <w:keepNext w:val="0"/>
              <w:keepLines w:val="0"/>
              <w:widowControl/>
              <w:suppressLineNumbers w:val="0"/>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264" w:type="dxa"/>
            <w:shd w:val="clear" w:color="auto" w:fill="auto"/>
            <w:vAlign w:val="center"/>
          </w:tcPr>
          <w:p w14:paraId="0F826CA0">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云端威胁分析</w:t>
            </w:r>
          </w:p>
        </w:tc>
        <w:tc>
          <w:tcPr>
            <w:tcW w:w="6402" w:type="dxa"/>
            <w:shd w:val="clear" w:color="auto" w:fill="auto"/>
            <w:vAlign w:val="center"/>
          </w:tcPr>
          <w:p w14:paraId="51407B91">
            <w:pPr>
              <w:widowControl/>
              <w:spacing w:line="360" w:lineRule="auto"/>
              <w:jc w:val="both"/>
              <w:rPr>
                <w:rFonts w:hint="eastAsia" w:ascii="宋体" w:hAnsi="宋体" w:eastAsia="宋体" w:cs="宋体"/>
                <w:sz w:val="21"/>
                <w:szCs w:val="21"/>
                <w:lang w:val="en-US" w:eastAsia="zh-CN" w:bidi="ar-SA"/>
              </w:rPr>
            </w:pPr>
            <w:r>
              <w:rPr>
                <w:rFonts w:hint="eastAsia"/>
                <w:sz w:val="21"/>
                <w:szCs w:val="21"/>
                <w:lang w:val="en-US" w:eastAsia="zh-CN"/>
              </w:rPr>
              <w:t>△</w:t>
            </w:r>
            <w:r>
              <w:rPr>
                <w:rFonts w:hint="default"/>
                <w:sz w:val="21"/>
                <w:szCs w:val="21"/>
                <w:lang w:val="en-US" w:eastAsia="zh-CN"/>
              </w:rPr>
              <w:t>支持跳转链接至云端威胁情报中心，针对已发生的威胁提供详细的分析结果，包含威胁分析、网络行为、静态分析、分析环境和影响分析。</w:t>
            </w:r>
          </w:p>
        </w:tc>
      </w:tr>
      <w:tr w14:paraId="3C17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dxa"/>
            <w:shd w:val="clear" w:color="auto" w:fill="auto"/>
            <w:vAlign w:val="center"/>
          </w:tcPr>
          <w:p w14:paraId="59662A36">
            <w:pPr>
              <w:keepNext w:val="0"/>
              <w:keepLines w:val="0"/>
              <w:widowControl/>
              <w:suppressLineNumbers w:val="0"/>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264" w:type="dxa"/>
            <w:shd w:val="clear" w:color="auto" w:fill="auto"/>
            <w:vAlign w:val="center"/>
          </w:tcPr>
          <w:p w14:paraId="29DF0D80">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自动分组</w:t>
            </w:r>
          </w:p>
        </w:tc>
        <w:tc>
          <w:tcPr>
            <w:tcW w:w="6402" w:type="dxa"/>
            <w:shd w:val="clear" w:color="auto" w:fill="auto"/>
            <w:vAlign w:val="center"/>
          </w:tcPr>
          <w:p w14:paraId="730FE2A1">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支持终端自动分组管理，新接入的终端可以根据网段自动分配到对应的分组</w:t>
            </w:r>
          </w:p>
        </w:tc>
      </w:tr>
      <w:tr w14:paraId="2AC8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dxa"/>
            <w:shd w:val="clear" w:color="auto" w:fill="auto"/>
            <w:vAlign w:val="center"/>
          </w:tcPr>
          <w:p w14:paraId="3BF25313">
            <w:pPr>
              <w:keepNext w:val="0"/>
              <w:keepLines w:val="0"/>
              <w:widowControl/>
              <w:suppressLineNumbers w:val="0"/>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264" w:type="dxa"/>
            <w:shd w:val="clear" w:color="auto" w:fill="auto"/>
            <w:vAlign w:val="center"/>
          </w:tcPr>
          <w:p w14:paraId="4D4E3685">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影子终端发现</w:t>
            </w:r>
          </w:p>
        </w:tc>
        <w:tc>
          <w:tcPr>
            <w:tcW w:w="6402" w:type="dxa"/>
            <w:shd w:val="clear" w:color="auto" w:fill="auto"/>
            <w:vAlign w:val="center"/>
          </w:tcPr>
          <w:p w14:paraId="275A5924">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支持按照扫描网段、扫描方式、扫描协议、扫描端口对终端进行扫描，及时发现尚未纳入管控的终端</w:t>
            </w:r>
          </w:p>
        </w:tc>
      </w:tr>
      <w:tr w14:paraId="6852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dxa"/>
            <w:shd w:val="clear" w:color="auto" w:fill="auto"/>
            <w:vAlign w:val="center"/>
          </w:tcPr>
          <w:p w14:paraId="499BADCA">
            <w:pPr>
              <w:keepNext w:val="0"/>
              <w:keepLines w:val="0"/>
              <w:widowControl/>
              <w:suppressLineNumbers w:val="0"/>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264" w:type="dxa"/>
            <w:shd w:val="clear" w:color="auto" w:fill="auto"/>
            <w:vAlign w:val="center"/>
          </w:tcPr>
          <w:p w14:paraId="34A4395F">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策略管理</w:t>
            </w:r>
          </w:p>
        </w:tc>
        <w:tc>
          <w:tcPr>
            <w:tcW w:w="6402" w:type="dxa"/>
            <w:shd w:val="clear" w:color="auto" w:fill="auto"/>
            <w:vAlign w:val="center"/>
          </w:tcPr>
          <w:p w14:paraId="28D1D973">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支持安全策略一体化配置，通过单一策略即可实现不同安全功能的配置，包括：终端病毒查杀的文件扫描配置、文件实时监控的参数配置、WebShell检测和威胁处置方式、暴力破解的威胁处置方式和Windows白名单信任目录</w:t>
            </w:r>
          </w:p>
        </w:tc>
      </w:tr>
      <w:tr w14:paraId="30DB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dxa"/>
            <w:shd w:val="clear" w:color="auto" w:fill="auto"/>
            <w:vAlign w:val="center"/>
          </w:tcPr>
          <w:p w14:paraId="3170A765">
            <w:pPr>
              <w:keepNext w:val="0"/>
              <w:keepLines w:val="0"/>
              <w:widowControl/>
              <w:suppressLineNumbers w:val="0"/>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1264" w:type="dxa"/>
            <w:vMerge w:val="restart"/>
            <w:shd w:val="clear" w:color="auto" w:fill="auto"/>
            <w:vAlign w:val="center"/>
          </w:tcPr>
          <w:p w14:paraId="140B1D3D">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资产管理</w:t>
            </w:r>
          </w:p>
        </w:tc>
        <w:tc>
          <w:tcPr>
            <w:tcW w:w="6402" w:type="dxa"/>
            <w:shd w:val="clear" w:color="auto" w:fill="auto"/>
            <w:vAlign w:val="center"/>
          </w:tcPr>
          <w:p w14:paraId="1EFDDE49">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支持系统信息的清点，包括操作系统及其版本、环境变量、内核模块、运行服务、启动项、计划任务、注册表、网络连接、开放共享以及国产化终端替代率（真替真用）</w:t>
            </w:r>
          </w:p>
        </w:tc>
      </w:tr>
      <w:tr w14:paraId="528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dxa"/>
            <w:vAlign w:val="center"/>
          </w:tcPr>
          <w:p w14:paraId="0D22A51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264" w:type="dxa"/>
            <w:vMerge w:val="continue"/>
          </w:tcPr>
          <w:p w14:paraId="5FA76DBE">
            <w:pPr>
              <w:widowControl w:val="0"/>
              <w:jc w:val="both"/>
              <w:rPr>
                <w:rFonts w:hint="eastAsia"/>
                <w:sz w:val="21"/>
                <w:szCs w:val="21"/>
                <w:vertAlign w:val="baseline"/>
                <w:lang w:val="en-US" w:eastAsia="zh-CN"/>
              </w:rPr>
            </w:pPr>
          </w:p>
        </w:tc>
        <w:tc>
          <w:tcPr>
            <w:tcW w:w="6402" w:type="dxa"/>
            <w:shd w:val="clear" w:color="auto" w:fill="auto"/>
            <w:vAlign w:val="center"/>
          </w:tcPr>
          <w:p w14:paraId="288781A9">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支持清点系统上的安装包与类库、应用资产的清点，安装包与类库包括系统安装包、Jar包、Python包、Npm包，应用资产包括系统软件、浏览器、office办公等软件以及数据库和中间件</w:t>
            </w:r>
          </w:p>
        </w:tc>
      </w:tr>
      <w:tr w14:paraId="1A06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dxa"/>
            <w:vAlign w:val="center"/>
          </w:tcPr>
          <w:p w14:paraId="0FF31D4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264" w:type="dxa"/>
            <w:vMerge w:val="continue"/>
          </w:tcPr>
          <w:p w14:paraId="03FDABDC">
            <w:pPr>
              <w:widowControl w:val="0"/>
              <w:jc w:val="both"/>
              <w:rPr>
                <w:rFonts w:hint="eastAsia"/>
                <w:sz w:val="21"/>
                <w:szCs w:val="21"/>
                <w:vertAlign w:val="baseline"/>
                <w:lang w:val="en-US" w:eastAsia="zh-CN"/>
              </w:rPr>
            </w:pPr>
          </w:p>
        </w:tc>
        <w:tc>
          <w:tcPr>
            <w:tcW w:w="6402" w:type="dxa"/>
            <w:shd w:val="clear" w:color="auto" w:fill="auto"/>
            <w:vAlign w:val="center"/>
          </w:tcPr>
          <w:p w14:paraId="41060464">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支持全网视角的端口和运行进程的清点，在监听端口视角，可以识别风险端口，并支持一键封堵端口和解除封堵</w:t>
            </w:r>
          </w:p>
        </w:tc>
      </w:tr>
      <w:tr w14:paraId="0E5A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dxa"/>
            <w:vAlign w:val="center"/>
          </w:tcPr>
          <w:p w14:paraId="0498484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264" w:type="dxa"/>
            <w:vMerge w:val="continue"/>
          </w:tcPr>
          <w:p w14:paraId="11EE4D75">
            <w:pPr>
              <w:widowControl w:val="0"/>
              <w:jc w:val="both"/>
              <w:rPr>
                <w:rFonts w:hint="eastAsia"/>
                <w:sz w:val="21"/>
                <w:szCs w:val="21"/>
                <w:vertAlign w:val="baseline"/>
                <w:lang w:val="en-US" w:eastAsia="zh-CN"/>
              </w:rPr>
            </w:pPr>
          </w:p>
        </w:tc>
        <w:tc>
          <w:tcPr>
            <w:tcW w:w="6402" w:type="dxa"/>
            <w:shd w:val="clear" w:color="auto" w:fill="auto"/>
            <w:vAlign w:val="center"/>
          </w:tcPr>
          <w:p w14:paraId="7AA11F85">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支持按Web站点、服务、应用、框架等多层次来清点主机上的Web应用的资产信息</w:t>
            </w:r>
          </w:p>
        </w:tc>
      </w:tr>
      <w:tr w14:paraId="6DA6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dxa"/>
            <w:vAlign w:val="center"/>
          </w:tcPr>
          <w:p w14:paraId="7DCCA7E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264" w:type="dxa"/>
            <w:vMerge w:val="continue"/>
          </w:tcPr>
          <w:p w14:paraId="1EEA2D48">
            <w:pPr>
              <w:widowControl w:val="0"/>
              <w:jc w:val="both"/>
              <w:rPr>
                <w:rFonts w:hint="eastAsia"/>
                <w:sz w:val="21"/>
                <w:szCs w:val="21"/>
                <w:vertAlign w:val="baseline"/>
                <w:lang w:val="en-US" w:eastAsia="zh-CN"/>
              </w:rPr>
            </w:pPr>
          </w:p>
        </w:tc>
        <w:tc>
          <w:tcPr>
            <w:tcW w:w="6402" w:type="dxa"/>
            <w:shd w:val="clear" w:color="auto" w:fill="auto"/>
            <w:vAlign w:val="center"/>
          </w:tcPr>
          <w:p w14:paraId="6C5067CB">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支持基于单个终端视角的运行状态的监控，包括但不限于进程、服务、网络连接、计划任务和开放共享信息</w:t>
            </w:r>
          </w:p>
        </w:tc>
      </w:tr>
      <w:tr w14:paraId="7709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dxa"/>
            <w:vAlign w:val="center"/>
          </w:tcPr>
          <w:p w14:paraId="68BA3FE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264" w:type="dxa"/>
            <w:vMerge w:val="continue"/>
          </w:tcPr>
          <w:p w14:paraId="770090B7">
            <w:pPr>
              <w:widowControl w:val="0"/>
              <w:jc w:val="both"/>
              <w:rPr>
                <w:rFonts w:hint="eastAsia"/>
                <w:sz w:val="21"/>
                <w:szCs w:val="21"/>
                <w:vertAlign w:val="baseline"/>
                <w:lang w:val="en-US" w:eastAsia="zh-CN"/>
              </w:rPr>
            </w:pPr>
          </w:p>
        </w:tc>
        <w:tc>
          <w:tcPr>
            <w:tcW w:w="6402" w:type="dxa"/>
            <w:shd w:val="clear" w:color="auto" w:fill="auto"/>
            <w:vAlign w:val="center"/>
          </w:tcPr>
          <w:p w14:paraId="2BE940A0">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支持对终端账户信息进行梳理，了解账号权限分布概况以及风险账号分布情况，可按照隐藏账号、可疑root权限账号、长期未使用账号、夜间登录、多IP登录进行账号分类查看，支持统计最近一年未修改密码的账户</w:t>
            </w:r>
          </w:p>
        </w:tc>
      </w:tr>
      <w:tr w14:paraId="7650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dxa"/>
            <w:shd w:val="clear" w:color="auto" w:fill="auto"/>
            <w:vAlign w:val="center"/>
          </w:tcPr>
          <w:p w14:paraId="74B6702E">
            <w:pPr>
              <w:keepNext w:val="0"/>
              <w:keepLines w:val="0"/>
              <w:widowControl/>
              <w:suppressLineNumbers w:val="0"/>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1264" w:type="dxa"/>
            <w:shd w:val="clear" w:color="auto" w:fill="auto"/>
            <w:vAlign w:val="center"/>
          </w:tcPr>
          <w:p w14:paraId="42983004">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终端日志报表</w:t>
            </w:r>
          </w:p>
        </w:tc>
        <w:tc>
          <w:tcPr>
            <w:tcW w:w="6402" w:type="dxa"/>
            <w:shd w:val="clear" w:color="auto" w:fill="auto"/>
            <w:vAlign w:val="center"/>
          </w:tcPr>
          <w:p w14:paraId="4E6C39C5">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支持根据统计周期、终端名称、IP地址，补丁信息和漏洞等级等多维度的入侵检测日志，杀毒扫描日志，合规检测日志，管理员操作日志，运维日志，联动日志等的日志查询和检测</w:t>
            </w:r>
          </w:p>
        </w:tc>
      </w:tr>
      <w:tr w14:paraId="07C9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dxa"/>
            <w:shd w:val="clear" w:color="auto" w:fill="auto"/>
            <w:vAlign w:val="center"/>
          </w:tcPr>
          <w:p w14:paraId="0CB6D184">
            <w:pPr>
              <w:keepNext w:val="0"/>
              <w:keepLines w:val="0"/>
              <w:widowControl/>
              <w:suppressLineNumbers w:val="0"/>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1264" w:type="dxa"/>
            <w:shd w:val="clear" w:color="auto" w:fill="auto"/>
            <w:vAlign w:val="center"/>
          </w:tcPr>
          <w:p w14:paraId="655B9F91">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升级管理</w:t>
            </w:r>
          </w:p>
        </w:tc>
        <w:tc>
          <w:tcPr>
            <w:tcW w:w="6402" w:type="dxa"/>
            <w:shd w:val="clear" w:color="auto" w:fill="auto"/>
            <w:vAlign w:val="center"/>
          </w:tcPr>
          <w:p w14:paraId="5E6A0504">
            <w:pPr>
              <w:widowControl/>
              <w:spacing w:line="360" w:lineRule="auto"/>
              <w:jc w:val="both"/>
              <w:rPr>
                <w:rFonts w:hint="eastAsia" w:ascii="宋体" w:hAnsi="宋体" w:eastAsia="宋体" w:cs="宋体"/>
                <w:sz w:val="21"/>
                <w:szCs w:val="21"/>
                <w:lang w:val="en-US" w:eastAsia="zh-CN" w:bidi="ar-SA"/>
              </w:rPr>
            </w:pPr>
            <w:r>
              <w:rPr>
                <w:rFonts w:hint="default"/>
                <w:sz w:val="21"/>
                <w:szCs w:val="21"/>
                <w:lang w:val="en-US" w:eastAsia="zh-CN"/>
              </w:rPr>
              <w:t>支持客户端的错峰升级，可根据实际情况控制客户端同时升级的最大数量，避免大量终端程序同时更新造成网络拥堵或I/O风暴</w:t>
            </w:r>
          </w:p>
        </w:tc>
      </w:tr>
      <w:tr w14:paraId="2158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6" w:type="dxa"/>
            <w:shd w:val="clear" w:color="auto" w:fill="auto"/>
            <w:vAlign w:val="center"/>
          </w:tcPr>
          <w:p w14:paraId="2157236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15</w:t>
            </w:r>
          </w:p>
        </w:tc>
        <w:tc>
          <w:tcPr>
            <w:tcW w:w="1264" w:type="dxa"/>
            <w:shd w:val="clear" w:color="auto" w:fill="auto"/>
            <w:vAlign w:val="center"/>
          </w:tcPr>
          <w:p w14:paraId="11A2B7AC">
            <w:pPr>
              <w:widowControl/>
              <w:spacing w:line="360" w:lineRule="auto"/>
              <w:jc w:val="both"/>
              <w:rPr>
                <w:rFonts w:hint="default"/>
                <w:sz w:val="21"/>
                <w:szCs w:val="21"/>
                <w:lang w:val="en-US" w:eastAsia="zh-CN"/>
              </w:rPr>
            </w:pPr>
            <w:r>
              <w:rPr>
                <w:rFonts w:hint="eastAsia"/>
                <w:sz w:val="21"/>
                <w:szCs w:val="21"/>
                <w:lang w:val="en-US" w:eastAsia="zh-CN"/>
              </w:rPr>
              <w:t>服务承诺函</w:t>
            </w:r>
          </w:p>
        </w:tc>
        <w:tc>
          <w:tcPr>
            <w:tcW w:w="6402" w:type="dxa"/>
            <w:shd w:val="clear" w:color="auto" w:fill="auto"/>
            <w:vAlign w:val="center"/>
          </w:tcPr>
          <w:p w14:paraId="02C20FAE">
            <w:pPr>
              <w:widowControl/>
              <w:spacing w:line="360" w:lineRule="auto"/>
              <w:jc w:val="both"/>
              <w:rPr>
                <w:rFonts w:hint="default"/>
                <w:sz w:val="21"/>
                <w:szCs w:val="21"/>
                <w:lang w:val="en-US" w:eastAsia="zh-CN"/>
              </w:rPr>
            </w:pPr>
            <w:r>
              <w:rPr>
                <w:rFonts w:hint="eastAsia"/>
                <w:sz w:val="21"/>
                <w:szCs w:val="21"/>
                <w:lang w:val="en-US" w:eastAsia="zh-CN"/>
              </w:rPr>
              <w:t>合同签订时，提供原厂商针对本项目的服务承诺函</w:t>
            </w:r>
          </w:p>
        </w:tc>
      </w:tr>
    </w:tbl>
    <w:p w14:paraId="3F4CC97B">
      <w:pPr>
        <w:rPr>
          <w:rFonts w:hint="eastAsia"/>
          <w:sz w:val="21"/>
          <w:szCs w:val="21"/>
        </w:rPr>
      </w:pPr>
    </w:p>
    <w:p w14:paraId="3241A591">
      <w:pPr>
        <w:pStyle w:val="5"/>
        <w:bidi w:val="0"/>
        <w:rPr>
          <w:rFonts w:hint="default" w:eastAsia="黑体"/>
          <w:sz w:val="21"/>
          <w:szCs w:val="21"/>
          <w:lang w:val="en-US" w:eastAsia="zh-CN"/>
        </w:rPr>
      </w:pPr>
      <w:r>
        <w:rPr>
          <w:rFonts w:hint="eastAsia"/>
          <w:sz w:val="21"/>
          <w:szCs w:val="21"/>
        </w:rPr>
        <w:t>天擎杀毒软件续期</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133"/>
        <w:gridCol w:w="1313"/>
        <w:gridCol w:w="5239"/>
      </w:tblGrid>
      <w:tr w14:paraId="1C9C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14:paraId="25FC776F">
            <w:pPr>
              <w:widowControl/>
              <w:jc w:val="center"/>
              <w:rPr>
                <w:rFonts w:hint="default" w:ascii="宋体" w:hAnsi="宋体" w:eastAsia="宋体" w:cs="Times New Roman"/>
                <w:b/>
                <w:bCs/>
                <w:color w:val="000000" w:themeColor="text1"/>
                <w:kern w:val="0"/>
                <w:sz w:val="21"/>
                <w:szCs w:val="21"/>
                <w:lang w:val="en-US" w:eastAsia="zh-CN"/>
                <w14:textFill>
                  <w14:solidFill>
                    <w14:schemeClr w14:val="tx1"/>
                  </w14:solidFill>
                </w14:textFill>
              </w:rPr>
            </w:pPr>
            <w:r>
              <w:rPr>
                <w:rFonts w:hint="eastAsia" w:ascii="宋体" w:hAnsi="宋体" w:eastAsia="宋体" w:cs="Times New Roman"/>
                <w:b/>
                <w:bCs/>
                <w:color w:val="000000" w:themeColor="text1"/>
                <w:kern w:val="0"/>
                <w:sz w:val="21"/>
                <w:szCs w:val="21"/>
                <w:lang w:val="en-US" w:eastAsia="zh-CN"/>
                <w14:textFill>
                  <w14:solidFill>
                    <w14:schemeClr w14:val="tx1"/>
                  </w14:solidFill>
                </w14:textFill>
              </w:rPr>
              <w:t>序号</w:t>
            </w:r>
          </w:p>
        </w:tc>
        <w:tc>
          <w:tcPr>
            <w:tcW w:w="1435" w:type="pct"/>
            <w:gridSpan w:val="2"/>
            <w:vAlign w:val="center"/>
          </w:tcPr>
          <w:p w14:paraId="7A22D7BD">
            <w:pPr>
              <w:widowControl/>
              <w:jc w:val="center"/>
              <w:rPr>
                <w:rFonts w:ascii="宋体" w:hAnsi="宋体" w:eastAsia="宋体" w:cs="Times New Roman"/>
                <w:b/>
                <w:bCs/>
                <w:color w:val="000000" w:themeColor="text1"/>
                <w:kern w:val="0"/>
                <w:sz w:val="21"/>
                <w:szCs w:val="21"/>
                <w14:textFill>
                  <w14:solidFill>
                    <w14:schemeClr w14:val="tx1"/>
                  </w14:solidFill>
                </w14:textFill>
              </w:rPr>
            </w:pPr>
            <w:r>
              <w:rPr>
                <w:rFonts w:ascii="宋体" w:hAnsi="宋体" w:eastAsia="宋体" w:cs="Times New Roman"/>
                <w:b/>
                <w:bCs/>
                <w:color w:val="000000" w:themeColor="text1"/>
                <w:kern w:val="0"/>
                <w:sz w:val="21"/>
                <w:szCs w:val="21"/>
                <w14:textFill>
                  <w14:solidFill>
                    <w14:schemeClr w14:val="tx1"/>
                  </w14:solidFill>
                </w14:textFill>
              </w:rPr>
              <w:t>技术指标</w:t>
            </w:r>
          </w:p>
        </w:tc>
        <w:tc>
          <w:tcPr>
            <w:tcW w:w="3074" w:type="pct"/>
            <w:vAlign w:val="center"/>
          </w:tcPr>
          <w:p w14:paraId="7C4004D4">
            <w:pPr>
              <w:widowControl/>
              <w:jc w:val="center"/>
              <w:rPr>
                <w:rFonts w:ascii="宋体" w:hAnsi="宋体" w:eastAsia="宋体" w:cs="Times New Roman"/>
                <w:b/>
                <w:bCs/>
                <w:color w:val="000000" w:themeColor="text1"/>
                <w:kern w:val="0"/>
                <w:sz w:val="21"/>
                <w:szCs w:val="21"/>
                <w14:textFill>
                  <w14:solidFill>
                    <w14:schemeClr w14:val="tx1"/>
                  </w14:solidFill>
                </w14:textFill>
              </w:rPr>
            </w:pPr>
            <w:r>
              <w:rPr>
                <w:rFonts w:ascii="宋体" w:hAnsi="宋体" w:eastAsia="宋体" w:cs="Times New Roman"/>
                <w:b/>
                <w:bCs/>
                <w:color w:val="000000" w:themeColor="text1"/>
                <w:kern w:val="0"/>
                <w:sz w:val="21"/>
                <w:szCs w:val="21"/>
                <w14:textFill>
                  <w14:solidFill>
                    <w14:schemeClr w14:val="tx1"/>
                  </w14:solidFill>
                </w14:textFill>
              </w:rPr>
              <w:t>指标要求</w:t>
            </w:r>
          </w:p>
        </w:tc>
      </w:tr>
      <w:tr w14:paraId="1051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89" w:type="pct"/>
            <w:vAlign w:val="center"/>
          </w:tcPr>
          <w:p w14:paraId="5EB10E2A">
            <w:pPr>
              <w:widowControl/>
              <w:jc w:val="center"/>
              <w:rPr>
                <w:rFonts w:hint="eastAsia"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1</w:t>
            </w:r>
          </w:p>
        </w:tc>
        <w:tc>
          <w:tcPr>
            <w:tcW w:w="664" w:type="pct"/>
            <w:vMerge w:val="restart"/>
            <w:vAlign w:val="center"/>
          </w:tcPr>
          <w:p w14:paraId="526F0975">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平台环境要求</w:t>
            </w:r>
          </w:p>
        </w:tc>
        <w:tc>
          <w:tcPr>
            <w:tcW w:w="770" w:type="pct"/>
            <w:vAlign w:val="center"/>
          </w:tcPr>
          <w:p w14:paraId="74204F62">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产品形态</w:t>
            </w:r>
          </w:p>
        </w:tc>
        <w:tc>
          <w:tcPr>
            <w:tcW w:w="3074" w:type="pct"/>
            <w:vAlign w:val="center"/>
          </w:tcPr>
          <w:p w14:paraId="363A1556">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软件形态，客户端软件</w:t>
            </w:r>
          </w:p>
        </w:tc>
      </w:tr>
      <w:tr w14:paraId="623C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89" w:type="pct"/>
            <w:vAlign w:val="center"/>
          </w:tcPr>
          <w:p w14:paraId="143456A4">
            <w:pPr>
              <w:widowControl/>
              <w:jc w:val="center"/>
              <w:rPr>
                <w:rFonts w:hint="eastAsia"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2</w:t>
            </w:r>
          </w:p>
        </w:tc>
        <w:tc>
          <w:tcPr>
            <w:tcW w:w="664" w:type="pct"/>
            <w:vMerge w:val="continue"/>
            <w:vAlign w:val="center"/>
          </w:tcPr>
          <w:p w14:paraId="666FD1D3">
            <w:pPr>
              <w:widowControl/>
              <w:jc w:val="center"/>
              <w:rPr>
                <w:rFonts w:ascii="宋体" w:hAnsi="宋体" w:eastAsia="宋体" w:cs="Times New Roman"/>
                <w:color w:val="000000" w:themeColor="text1"/>
                <w:kern w:val="0"/>
                <w:sz w:val="21"/>
                <w:szCs w:val="21"/>
                <w14:textFill>
                  <w14:solidFill>
                    <w14:schemeClr w14:val="tx1"/>
                  </w14:solidFill>
                </w14:textFill>
              </w:rPr>
            </w:pPr>
          </w:p>
        </w:tc>
        <w:tc>
          <w:tcPr>
            <w:tcW w:w="770" w:type="pct"/>
            <w:vAlign w:val="center"/>
          </w:tcPr>
          <w:p w14:paraId="726B7A13">
            <w:pPr>
              <w:widowControl/>
              <w:jc w:val="cente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控制中心</w:t>
            </w:r>
          </w:p>
        </w:tc>
        <w:tc>
          <w:tcPr>
            <w:tcW w:w="3074" w:type="pct"/>
            <w:vAlign w:val="center"/>
          </w:tcPr>
          <w:p w14:paraId="35CCC9D2">
            <w:pPr>
              <w:widowControl/>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控制中心支持单机部署和集群部署两种方式，控制中心根据客户端点数的增加支持横向扩展；</w:t>
            </w:r>
          </w:p>
          <w:p w14:paraId="58229FD1">
            <w:pPr>
              <w:widowControl/>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管理中心操作系统支持</w:t>
            </w:r>
            <w:r>
              <w:rPr>
                <w:rFonts w:ascii="宋体" w:hAnsi="宋体" w:eastAsia="宋体" w:cs="Times New Roman"/>
                <w:color w:val="000000" w:themeColor="text1"/>
                <w:kern w:val="0"/>
                <w:sz w:val="21"/>
                <w:szCs w:val="21"/>
                <w14:textFill>
                  <w14:solidFill>
                    <w14:schemeClr w14:val="tx1"/>
                  </w14:solidFill>
                </w14:textFill>
              </w:rPr>
              <w:t>Windows Server 2012 R2/2016/2019/2022的64位版本（简体中文版）；</w:t>
            </w:r>
          </w:p>
          <w:p w14:paraId="40D9A18A">
            <w:pPr>
              <w:widowControl/>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支持</w:t>
            </w:r>
            <w:r>
              <w:rPr>
                <w:rFonts w:ascii="宋体" w:hAnsi="宋体" w:eastAsia="宋体" w:cs="Times New Roman"/>
                <w:color w:val="000000" w:themeColor="text1"/>
                <w:kern w:val="0"/>
                <w:sz w:val="21"/>
                <w:szCs w:val="21"/>
                <w14:textFill>
                  <w14:solidFill>
                    <w14:schemeClr w14:val="tx1"/>
                  </w14:solidFill>
                </w14:textFill>
              </w:rPr>
              <w:t>CentOS 7系统；</w:t>
            </w:r>
          </w:p>
        </w:tc>
      </w:tr>
      <w:tr w14:paraId="77A2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14:paraId="36D16EDA">
            <w:pPr>
              <w:widowControl/>
              <w:jc w:val="center"/>
              <w:rPr>
                <w:rFonts w:hint="eastAsia"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3</w:t>
            </w:r>
          </w:p>
        </w:tc>
        <w:tc>
          <w:tcPr>
            <w:tcW w:w="664" w:type="pct"/>
            <w:vMerge w:val="continue"/>
            <w:vAlign w:val="center"/>
          </w:tcPr>
          <w:p w14:paraId="115B00EB">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Align w:val="center"/>
          </w:tcPr>
          <w:p w14:paraId="60E85596">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winpc客户端</w:t>
            </w:r>
          </w:p>
        </w:tc>
        <w:tc>
          <w:tcPr>
            <w:tcW w:w="3074" w:type="pct"/>
            <w:vAlign w:val="center"/>
          </w:tcPr>
          <w:p w14:paraId="77BE05F2">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操作系统：Windows XP_SP3及以上/Windows Vista/Windows 7/Windows 8/Windows 10/windows 11</w:t>
            </w:r>
          </w:p>
        </w:tc>
      </w:tr>
      <w:tr w14:paraId="388E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14:paraId="0EBA337B">
            <w:pPr>
              <w:widowControl/>
              <w:jc w:val="center"/>
              <w:rPr>
                <w:rFonts w:hint="eastAsia"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4</w:t>
            </w:r>
          </w:p>
        </w:tc>
        <w:tc>
          <w:tcPr>
            <w:tcW w:w="664" w:type="pct"/>
            <w:vMerge w:val="continue"/>
            <w:vAlign w:val="center"/>
          </w:tcPr>
          <w:p w14:paraId="7E967920">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Align w:val="center"/>
          </w:tcPr>
          <w:p w14:paraId="7C10E3E8">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winserver客户端</w:t>
            </w:r>
          </w:p>
        </w:tc>
        <w:tc>
          <w:tcPr>
            <w:tcW w:w="3074" w:type="pct"/>
            <w:vAlign w:val="center"/>
          </w:tcPr>
          <w:p w14:paraId="7106DFC3">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操作系统：Windows Server 2008/Windows Server 2012/Windows Server 2016/Windows Server 2019；</w:t>
            </w:r>
          </w:p>
        </w:tc>
      </w:tr>
      <w:tr w14:paraId="0E91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14:paraId="55046A47">
            <w:pPr>
              <w:widowControl/>
              <w:jc w:val="center"/>
              <w:rPr>
                <w:rFonts w:hint="eastAsia"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5</w:t>
            </w:r>
          </w:p>
        </w:tc>
        <w:tc>
          <w:tcPr>
            <w:tcW w:w="664" w:type="pct"/>
            <w:vMerge w:val="continue"/>
            <w:vAlign w:val="center"/>
          </w:tcPr>
          <w:p w14:paraId="27341273">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Align w:val="center"/>
          </w:tcPr>
          <w:p w14:paraId="499C1D5E">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linux客户端</w:t>
            </w:r>
          </w:p>
        </w:tc>
        <w:tc>
          <w:tcPr>
            <w:tcW w:w="3074" w:type="pct"/>
            <w:vAlign w:val="center"/>
          </w:tcPr>
          <w:p w14:paraId="7590818A">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操作系统：CentOS 5~8/Red Hat Enterprise Linux 5~8/Ubuntu1610</w:t>
            </w:r>
          </w:p>
        </w:tc>
      </w:tr>
      <w:tr w14:paraId="0D5F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14:paraId="66C82990">
            <w:pPr>
              <w:widowControl/>
              <w:jc w:val="center"/>
              <w:rPr>
                <w:rFonts w:hint="eastAsia"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6</w:t>
            </w:r>
          </w:p>
        </w:tc>
        <w:tc>
          <w:tcPr>
            <w:tcW w:w="664" w:type="pct"/>
            <w:vMerge w:val="continue"/>
            <w:vAlign w:val="center"/>
          </w:tcPr>
          <w:p w14:paraId="1918C2D2">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Align w:val="center"/>
          </w:tcPr>
          <w:p w14:paraId="01085FD4">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国产化客户端</w:t>
            </w:r>
          </w:p>
        </w:tc>
        <w:tc>
          <w:tcPr>
            <w:tcW w:w="3074" w:type="pct"/>
            <w:vAlign w:val="center"/>
          </w:tcPr>
          <w:p w14:paraId="6B2BB21F">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中标麒麟、银河麒麟、麒麟V10、统信UOS v20</w:t>
            </w:r>
          </w:p>
        </w:tc>
      </w:tr>
      <w:tr w14:paraId="016C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14:paraId="4B5BF638">
            <w:pPr>
              <w:widowControl/>
              <w:jc w:val="center"/>
              <w:rPr>
                <w:rFonts w:hint="eastAsia"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7</w:t>
            </w:r>
          </w:p>
        </w:tc>
        <w:tc>
          <w:tcPr>
            <w:tcW w:w="664" w:type="pct"/>
            <w:vAlign w:val="center"/>
          </w:tcPr>
          <w:p w14:paraId="6738AF2E">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授权服务</w:t>
            </w:r>
          </w:p>
        </w:tc>
        <w:tc>
          <w:tcPr>
            <w:tcW w:w="770" w:type="pct"/>
            <w:vAlign w:val="center"/>
          </w:tcPr>
          <w:p w14:paraId="45A90065">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授权许可</w:t>
            </w:r>
          </w:p>
        </w:tc>
        <w:tc>
          <w:tcPr>
            <w:tcW w:w="3074" w:type="pct"/>
            <w:vAlign w:val="center"/>
          </w:tcPr>
          <w:p w14:paraId="0799DA3A">
            <w:pPr>
              <w:widowControl/>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1、</w:t>
            </w:r>
            <w:r>
              <w:rPr>
                <w:rFonts w:hint="eastAsia" w:ascii="宋体" w:hAnsi="宋体" w:eastAsia="宋体" w:cs="Times New Roman"/>
                <w:color w:val="000000" w:themeColor="text1"/>
                <w:kern w:val="0"/>
                <w:sz w:val="21"/>
                <w:szCs w:val="21"/>
                <w:highlight w:val="none"/>
                <w14:textFill>
                  <w14:solidFill>
                    <w14:schemeClr w14:val="tx1"/>
                  </w14:solidFill>
                </w14:textFill>
              </w:rPr>
              <w:t>P</w:t>
            </w:r>
            <w:r>
              <w:rPr>
                <w:rFonts w:ascii="宋体" w:hAnsi="宋体" w:eastAsia="宋体" w:cs="Times New Roman"/>
                <w:color w:val="000000" w:themeColor="text1"/>
                <w:kern w:val="0"/>
                <w:sz w:val="21"/>
                <w:szCs w:val="21"/>
                <w:highlight w:val="none"/>
                <w14:textFill>
                  <w14:solidFill>
                    <w14:schemeClr w14:val="tx1"/>
                  </w14:solidFill>
                </w14:textFill>
              </w:rPr>
              <w:t>C</w:t>
            </w:r>
            <w:r>
              <w:rPr>
                <w:rFonts w:hint="eastAsia" w:ascii="宋体" w:hAnsi="宋体" w:eastAsia="宋体" w:cs="Times New Roman"/>
                <w:color w:val="000000" w:themeColor="text1"/>
                <w:kern w:val="0"/>
                <w:sz w:val="21"/>
                <w:szCs w:val="21"/>
                <w:highlight w:val="none"/>
                <w14:textFill>
                  <w14:solidFill>
                    <w14:schemeClr w14:val="tx1"/>
                  </w14:solidFill>
                </w14:textFill>
              </w:rPr>
              <w:t>：</w:t>
            </w:r>
            <w:r>
              <w:rPr>
                <w:rFonts w:ascii="宋体" w:hAnsi="宋体" w:eastAsia="宋体" w:cs="Times New Roman"/>
                <w:color w:val="000000" w:themeColor="text1"/>
                <w:kern w:val="0"/>
                <w:sz w:val="21"/>
                <w:szCs w:val="21"/>
                <w:highlight w:val="none"/>
                <w14:textFill>
                  <w14:solidFill>
                    <w14:schemeClr w14:val="tx1"/>
                  </w14:solidFill>
                </w14:textFill>
              </w:rPr>
              <w:t>本次配置PC授权许可</w:t>
            </w:r>
            <w:r>
              <w:rPr>
                <w:rFonts w:hint="eastAsia" w:ascii="宋体" w:hAnsi="宋体" w:eastAsia="宋体" w:cs="Times New Roman"/>
                <w:color w:val="000000" w:themeColor="text1"/>
                <w:kern w:val="0"/>
                <w:sz w:val="21"/>
                <w:szCs w:val="21"/>
                <w:highlight w:val="none"/>
                <w14:textFill>
                  <w14:solidFill>
                    <w14:schemeClr w14:val="tx1"/>
                  </w14:solidFill>
                </w14:textFill>
              </w:rPr>
              <w:t>3</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Times New Roman"/>
                <w:color w:val="000000" w:themeColor="text1"/>
                <w:kern w:val="0"/>
                <w:sz w:val="21"/>
                <w:szCs w:val="21"/>
                <w:highlight w:val="none"/>
                <w14:textFill>
                  <w14:solidFill>
                    <w14:schemeClr w14:val="tx1"/>
                  </w14:solidFill>
                </w14:textFill>
              </w:rPr>
              <w:t>00</w:t>
            </w:r>
            <w:r>
              <w:rPr>
                <w:rFonts w:ascii="宋体" w:hAnsi="宋体" w:eastAsia="宋体" w:cs="Times New Roman"/>
                <w:color w:val="000000" w:themeColor="text1"/>
                <w:kern w:val="0"/>
                <w:sz w:val="21"/>
                <w:szCs w:val="21"/>
                <w:highlight w:val="none"/>
                <w14:textFill>
                  <w14:solidFill>
                    <w14:schemeClr w14:val="tx1"/>
                  </w14:solidFill>
                </w14:textFill>
              </w:rPr>
              <w:t>点，功能模块：</w:t>
            </w:r>
            <w:r>
              <w:rPr>
                <w:rFonts w:hint="eastAsia" w:ascii="宋体" w:hAnsi="宋体" w:eastAsia="宋体" w:cs="Times New Roman"/>
                <w:color w:val="000000" w:themeColor="text1"/>
                <w:kern w:val="0"/>
                <w:sz w:val="21"/>
                <w:szCs w:val="21"/>
                <w:highlight w:val="none"/>
                <w14:textFill>
                  <w14:solidFill>
                    <w14:schemeClr w14:val="tx1"/>
                  </w14:solidFill>
                </w14:textFill>
              </w:rPr>
              <w:t>病毒防护、补丁管理、主机防火墙、终端管控功能</w:t>
            </w:r>
            <w:r>
              <w:rPr>
                <w:rFonts w:ascii="宋体" w:hAnsi="宋体" w:eastAsia="宋体" w:cs="Times New Roman"/>
                <w:color w:val="000000" w:themeColor="text1"/>
                <w:kern w:val="0"/>
                <w:sz w:val="21"/>
                <w:szCs w:val="21"/>
                <w:highlight w:val="none"/>
                <w14:textFill>
                  <w14:solidFill>
                    <w14:schemeClr w14:val="tx1"/>
                  </w14:solidFill>
                </w14:textFill>
              </w:rPr>
              <w:t>3年更新服务，含3年功能、病毒特征库、补丁规则库更新服务；</w:t>
            </w:r>
          </w:p>
          <w:p w14:paraId="17ECBAF8">
            <w:pPr>
              <w:widowControl/>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2、</w:t>
            </w:r>
            <w:r>
              <w:rPr>
                <w:rFonts w:hint="eastAsia" w:ascii="宋体" w:hAnsi="宋体" w:eastAsia="宋体" w:cs="Times New Roman"/>
                <w:color w:val="000000" w:themeColor="text1"/>
                <w:kern w:val="0"/>
                <w:sz w:val="21"/>
                <w:szCs w:val="21"/>
                <w:highlight w:val="none"/>
                <w14:textFill>
                  <w14:solidFill>
                    <w14:schemeClr w14:val="tx1"/>
                  </w14:solidFill>
                </w14:textFill>
              </w:rPr>
              <w:t>Linux服务器：本次配置授权许可</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300</w:t>
            </w:r>
            <w:r>
              <w:rPr>
                <w:rFonts w:hint="eastAsia" w:ascii="宋体" w:hAnsi="宋体" w:eastAsia="宋体" w:cs="Times New Roman"/>
                <w:color w:val="000000" w:themeColor="text1"/>
                <w:kern w:val="0"/>
                <w:sz w:val="21"/>
                <w:szCs w:val="21"/>
                <w:highlight w:val="none"/>
                <w14:textFill>
                  <w14:solidFill>
                    <w14:schemeClr w14:val="tx1"/>
                  </w14:solidFill>
                </w14:textFill>
              </w:rPr>
              <w:t>点，</w:t>
            </w:r>
            <w:r>
              <w:rPr>
                <w:rFonts w:ascii="宋体" w:hAnsi="宋体" w:eastAsia="宋体" w:cs="Times New Roman"/>
                <w:color w:val="000000" w:themeColor="text1"/>
                <w:kern w:val="0"/>
                <w:sz w:val="21"/>
                <w:szCs w:val="21"/>
                <w:highlight w:val="none"/>
                <w14:textFill>
                  <w14:solidFill>
                    <w14:schemeClr w14:val="tx1"/>
                  </w14:solidFill>
                </w14:textFill>
              </w:rPr>
              <w:t>Linux病毒防护3年更新服务，含3年功能及病毒特征库更新服务；</w:t>
            </w:r>
          </w:p>
          <w:p w14:paraId="62581CC9">
            <w:pPr>
              <w:widowControl/>
              <w:rPr>
                <w:rFonts w:hint="eastAsia" w:ascii="宋体" w:hAnsi="宋体" w:eastAsia="宋体" w:cs="Times New Roman"/>
                <w:color w:val="000000" w:themeColor="text1"/>
                <w:kern w:val="0"/>
                <w:sz w:val="21"/>
                <w:szCs w:val="21"/>
                <w:highlight w:val="yellow"/>
                <w14:textFill>
                  <w14:solidFill>
                    <w14:schemeClr w14:val="tx1"/>
                  </w14:solidFill>
                </w14:textFill>
              </w:rPr>
            </w:pPr>
            <w:r>
              <w:rPr>
                <w:rFonts w:hint="eastAsia" w:ascii="宋体" w:hAnsi="宋体" w:eastAsia="宋体" w:cs="Times New Roman"/>
                <w:color w:val="000000" w:themeColor="text1"/>
                <w:kern w:val="0"/>
                <w:sz w:val="21"/>
                <w:szCs w:val="21"/>
                <w:highlight w:val="none"/>
                <w14:textFill>
                  <w14:solidFill>
                    <w14:schemeClr w14:val="tx1"/>
                  </w14:solidFill>
                </w14:textFill>
              </w:rPr>
              <w:t>3、W</w:t>
            </w:r>
            <w:r>
              <w:rPr>
                <w:rFonts w:ascii="宋体" w:hAnsi="宋体" w:eastAsia="宋体" w:cs="Times New Roman"/>
                <w:color w:val="000000" w:themeColor="text1"/>
                <w:kern w:val="0"/>
                <w:sz w:val="21"/>
                <w:szCs w:val="21"/>
                <w:highlight w:val="none"/>
                <w14:textFill>
                  <w14:solidFill>
                    <w14:schemeClr w14:val="tx1"/>
                  </w14:solidFill>
                </w14:textFill>
              </w:rPr>
              <w:t>indows</w:t>
            </w:r>
            <w:r>
              <w:rPr>
                <w:rFonts w:hint="eastAsia" w:ascii="宋体" w:hAnsi="宋体" w:eastAsia="宋体" w:cs="Times New Roman"/>
                <w:color w:val="000000" w:themeColor="text1"/>
                <w:kern w:val="0"/>
                <w:sz w:val="21"/>
                <w:szCs w:val="21"/>
                <w:highlight w:val="none"/>
                <w14:textFill>
                  <w14:solidFill>
                    <w14:schemeClr w14:val="tx1"/>
                  </w14:solidFill>
                </w14:textFill>
              </w:rPr>
              <w:t>服务器：本次配置授权许可8</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Times New Roman"/>
                <w:color w:val="000000" w:themeColor="text1"/>
                <w:kern w:val="0"/>
                <w:sz w:val="21"/>
                <w:szCs w:val="21"/>
                <w:highlight w:val="none"/>
                <w14:textFill>
                  <w14:solidFill>
                    <w14:schemeClr w14:val="tx1"/>
                  </w14:solidFill>
                </w14:textFill>
              </w:rPr>
              <w:t>0点，</w:t>
            </w:r>
            <w:r>
              <w:rPr>
                <w:rFonts w:ascii="宋体" w:hAnsi="宋体" w:eastAsia="宋体" w:cs="Times New Roman"/>
                <w:color w:val="000000" w:themeColor="text1"/>
                <w:kern w:val="0"/>
                <w:sz w:val="21"/>
                <w:szCs w:val="21"/>
                <w:highlight w:val="none"/>
                <w14:textFill>
                  <w14:solidFill>
                    <w14:schemeClr w14:val="tx1"/>
                  </w14:solidFill>
                </w14:textFill>
              </w:rPr>
              <w:t>Windows Server病毒防护3年更新服务，含3年功能及病毒特征库更新服务。Windows Server补丁管理3年更新服务，含3年功能及补丁规则库更新服务。</w:t>
            </w:r>
          </w:p>
        </w:tc>
      </w:tr>
      <w:tr w14:paraId="2671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89" w:type="pct"/>
            <w:vAlign w:val="center"/>
          </w:tcPr>
          <w:p w14:paraId="1D75E871">
            <w:pPr>
              <w:widowControl/>
              <w:jc w:val="center"/>
              <w:rPr>
                <w:rFonts w:hint="eastAsia"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8</w:t>
            </w:r>
          </w:p>
        </w:tc>
        <w:tc>
          <w:tcPr>
            <w:tcW w:w="664" w:type="pct"/>
            <w:vMerge w:val="restart"/>
            <w:vAlign w:val="center"/>
          </w:tcPr>
          <w:p w14:paraId="61846381">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基础功能</w:t>
            </w:r>
          </w:p>
        </w:tc>
        <w:tc>
          <w:tcPr>
            <w:tcW w:w="770" w:type="pct"/>
            <w:vAlign w:val="center"/>
          </w:tcPr>
          <w:p w14:paraId="3F85964A">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终端许可管理</w:t>
            </w:r>
          </w:p>
        </w:tc>
        <w:tc>
          <w:tcPr>
            <w:tcW w:w="3074" w:type="pct"/>
            <w:vAlign w:val="center"/>
          </w:tcPr>
          <w:p w14:paraId="1C6E3141">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支持按照终端类型/分组统计及分配管理每个功能的终端授权使用数量。</w:t>
            </w:r>
          </w:p>
        </w:tc>
      </w:tr>
      <w:tr w14:paraId="5A6B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89" w:type="pct"/>
            <w:vAlign w:val="center"/>
          </w:tcPr>
          <w:p w14:paraId="724EEFCD">
            <w:pPr>
              <w:widowControl/>
              <w:jc w:val="center"/>
              <w:rPr>
                <w:rFonts w:hint="eastAsia"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9</w:t>
            </w:r>
          </w:p>
        </w:tc>
        <w:tc>
          <w:tcPr>
            <w:tcW w:w="664" w:type="pct"/>
            <w:vMerge w:val="continue"/>
            <w:vAlign w:val="center"/>
          </w:tcPr>
          <w:p w14:paraId="69769171">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Align w:val="center"/>
          </w:tcPr>
          <w:p w14:paraId="58E02A8F">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语言要求</w:t>
            </w:r>
          </w:p>
        </w:tc>
        <w:tc>
          <w:tcPr>
            <w:tcW w:w="3074" w:type="pct"/>
            <w:vAlign w:val="center"/>
          </w:tcPr>
          <w:p w14:paraId="43992ABE">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产品全功能支持简体中文/繁体中体/英语自由切换。</w:t>
            </w:r>
          </w:p>
        </w:tc>
      </w:tr>
      <w:tr w14:paraId="37EC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89" w:type="pct"/>
            <w:vAlign w:val="center"/>
          </w:tcPr>
          <w:p w14:paraId="7D8A6D64">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10</w:t>
            </w:r>
          </w:p>
        </w:tc>
        <w:tc>
          <w:tcPr>
            <w:tcW w:w="664" w:type="pct"/>
            <w:vMerge w:val="continue"/>
            <w:vAlign w:val="center"/>
          </w:tcPr>
          <w:p w14:paraId="396261F0">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restart"/>
            <w:vAlign w:val="center"/>
          </w:tcPr>
          <w:p w14:paraId="58058508">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基本功能</w:t>
            </w:r>
          </w:p>
        </w:tc>
        <w:tc>
          <w:tcPr>
            <w:tcW w:w="3074" w:type="pct"/>
            <w:vAlign w:val="center"/>
          </w:tcPr>
          <w:p w14:paraId="6969F5C3">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单个页面展示在线终端数量、风险终端数量及占比、今日风险告警数、控制中心当前CPU、内存、硬盘使用百分比、终端在线率、终端正常率、终端平台统计、基线核查统计、病毒查杀趋势、感染病毒终端、漏洞补丁统计等信息，均可通过图形化展示。</w:t>
            </w:r>
          </w:p>
        </w:tc>
      </w:tr>
      <w:tr w14:paraId="387F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 w:type="pct"/>
            <w:vAlign w:val="center"/>
          </w:tcPr>
          <w:p w14:paraId="466EBC5E">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11</w:t>
            </w:r>
          </w:p>
        </w:tc>
        <w:tc>
          <w:tcPr>
            <w:tcW w:w="664" w:type="pct"/>
            <w:vMerge w:val="continue"/>
            <w:vAlign w:val="center"/>
          </w:tcPr>
          <w:p w14:paraId="20743032">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2044796F">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67F89324">
            <w:pPr>
              <w:widowControl/>
              <w:rPr>
                <w:rFonts w:hint="eastAsia" w:ascii="宋体" w:hAnsi="宋体" w:eastAsia="宋体" w:cs="Times New Roman"/>
                <w:color w:val="000000" w:themeColor="text1"/>
                <w:kern w:val="0"/>
                <w:sz w:val="21"/>
                <w:szCs w:val="21"/>
                <w:lang w:eastAsia="zh-CN"/>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能够准确采集终端硬件信息，采集的硬件信息包含硬件型号、厂商等，能够实时显示插入、拔出硬件后的硬件资产信息，能够实时监测到硬件资产安装、拆卸和更换等变更情况，并进行实时响应，响应内容包含日期时间、终端名称、硬件名称、变更事件描述等内容。</w:t>
            </w:r>
            <w:r>
              <w:rPr>
                <w:rFonts w:ascii="宋体" w:hAnsi="宋体" w:eastAsia="宋体" w:cs="Times New Roman"/>
                <w:color w:val="000000" w:themeColor="text1"/>
                <w:kern w:val="0"/>
                <w:sz w:val="21"/>
                <w:szCs w:val="21"/>
                <w:highlight w:val="none"/>
                <w14:textFill>
                  <w14:solidFill>
                    <w14:schemeClr w14:val="tx1"/>
                  </w14:solidFill>
                </w14:textFill>
              </w:rPr>
              <w:t>提供CNAS认可检测机构出具的针对软件功能的检测报告关键页</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截图</w:t>
            </w:r>
            <w:r>
              <w:rPr>
                <w:rFonts w:ascii="宋体" w:hAnsi="宋体" w:eastAsia="宋体" w:cs="Times New Roman"/>
                <w:color w:val="000000" w:themeColor="text1"/>
                <w:kern w:val="0"/>
                <w:sz w:val="21"/>
                <w:szCs w:val="21"/>
                <w:highlight w:val="none"/>
                <w14:textFill>
                  <w14:solidFill>
                    <w14:schemeClr w14:val="tx1"/>
                  </w14:solidFill>
                </w14:textFill>
              </w:rPr>
              <w:t>证明</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材料</w:t>
            </w:r>
            <w:r>
              <w:rPr>
                <w:rFonts w:hint="eastAsia" w:ascii="宋体" w:hAnsi="宋体" w:eastAsia="宋体" w:cs="Times New Roman"/>
                <w:color w:val="000000" w:themeColor="text1"/>
                <w:kern w:val="0"/>
                <w:sz w:val="21"/>
                <w:szCs w:val="21"/>
                <w:highlight w:val="none"/>
                <w:lang w:eastAsia="zh-CN"/>
                <w14:textFill>
                  <w14:solidFill>
                    <w14:schemeClr w14:val="tx1"/>
                  </w14:solidFill>
                </w14:textFill>
              </w:rPr>
              <w:t>。</w:t>
            </w:r>
          </w:p>
        </w:tc>
      </w:tr>
      <w:tr w14:paraId="78AD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89" w:type="pct"/>
            <w:vAlign w:val="center"/>
          </w:tcPr>
          <w:p w14:paraId="5045683A">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12</w:t>
            </w:r>
          </w:p>
        </w:tc>
        <w:tc>
          <w:tcPr>
            <w:tcW w:w="664" w:type="pct"/>
            <w:vMerge w:val="continue"/>
            <w:vAlign w:val="center"/>
          </w:tcPr>
          <w:p w14:paraId="3DC1623D">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7845AA53">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392AA7F5">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管理控制中心当登录账号输入密码错误次数超过锁定阈值后账号将被锁定，且可设置锁定时间，该时间内账号登录请求不被接受。同时应支持双因子认证登录方式，提高安全性。</w:t>
            </w:r>
          </w:p>
        </w:tc>
      </w:tr>
      <w:tr w14:paraId="17AD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89" w:type="pct"/>
            <w:vAlign w:val="center"/>
          </w:tcPr>
          <w:p w14:paraId="178D2B05">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13</w:t>
            </w:r>
          </w:p>
        </w:tc>
        <w:tc>
          <w:tcPr>
            <w:tcW w:w="664" w:type="pct"/>
            <w:vMerge w:val="continue"/>
            <w:vAlign w:val="center"/>
          </w:tcPr>
          <w:p w14:paraId="5C3E434B">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5745261A">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3B91A4EF">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客户端主程序、病毒库版本支持按分组和多批次进行灰度更新，保持在低风险中完成终端能力更新。支持设置不同终端类型设置和每批次观察时长。当检测到新版本将从第一批次重新观察。</w:t>
            </w:r>
          </w:p>
        </w:tc>
      </w:tr>
      <w:tr w14:paraId="08BF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14:paraId="7E3DC973">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14</w:t>
            </w:r>
          </w:p>
        </w:tc>
        <w:tc>
          <w:tcPr>
            <w:tcW w:w="664" w:type="pct"/>
            <w:vMerge w:val="continue"/>
            <w:vAlign w:val="center"/>
          </w:tcPr>
          <w:p w14:paraId="3F224C35">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313CB98F">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0FD18082">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支持在线更新病毒库、补丁库、威胁情报等数据，并且支持“按月、按周、按天、按小时”灵活设置更新时间。支持隔离网环境更新数据。</w:t>
            </w:r>
          </w:p>
        </w:tc>
      </w:tr>
      <w:tr w14:paraId="7609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14:paraId="2C0E472D">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15</w:t>
            </w:r>
          </w:p>
        </w:tc>
        <w:tc>
          <w:tcPr>
            <w:tcW w:w="664" w:type="pct"/>
            <w:vMerge w:val="continue"/>
            <w:vAlign w:val="center"/>
          </w:tcPr>
          <w:p w14:paraId="08A27946">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19FF1DBE">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05105815">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支持文件下载分级缓存，支持下载文件限速和日志上传限速，可设置带宽最大使量和限速时间，避免过多占用网络带宽，影响业务办公。</w:t>
            </w:r>
          </w:p>
        </w:tc>
      </w:tr>
      <w:tr w14:paraId="0061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89" w:type="pct"/>
            <w:vAlign w:val="center"/>
          </w:tcPr>
          <w:p w14:paraId="47857F45">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16</w:t>
            </w:r>
          </w:p>
        </w:tc>
        <w:tc>
          <w:tcPr>
            <w:tcW w:w="664" w:type="pct"/>
            <w:vMerge w:val="continue"/>
            <w:vAlign w:val="center"/>
          </w:tcPr>
          <w:p w14:paraId="632DD011">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70412ED2">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57E72DDC">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定义不同权限管理员角色，通过角色能够对有相同权限需求的用户进行授权，达到复用的能力；而对于没有复用的权限，可通过基于规则方式进行授权，支持角色层级管理，可至少达到5级新建角色。简化管理员对角色的管理成本，提高效率。</w:t>
            </w:r>
          </w:p>
        </w:tc>
      </w:tr>
      <w:tr w14:paraId="3992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14:paraId="5A669DAA">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17</w:t>
            </w:r>
          </w:p>
        </w:tc>
        <w:tc>
          <w:tcPr>
            <w:tcW w:w="664" w:type="pct"/>
            <w:vMerge w:val="continue"/>
            <w:vAlign w:val="center"/>
          </w:tcPr>
          <w:p w14:paraId="2C8392D5">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1AAC1EC6">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764637DC">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支持终端用户和管理员是一套账号管理系统，简化账号管理复杂度，一个账号解决所有身份认证，既可以用于终端登录，也可以用于管理管理中心。</w:t>
            </w:r>
          </w:p>
        </w:tc>
      </w:tr>
      <w:tr w14:paraId="0197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89" w:type="pct"/>
            <w:vAlign w:val="center"/>
          </w:tcPr>
          <w:p w14:paraId="67CAFD4C">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18</w:t>
            </w:r>
          </w:p>
        </w:tc>
        <w:tc>
          <w:tcPr>
            <w:tcW w:w="664" w:type="pct"/>
            <w:vMerge w:val="continue"/>
            <w:vAlign w:val="center"/>
          </w:tcPr>
          <w:p w14:paraId="06B05460">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59B62FB2">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2CBE7ED6">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 xml:space="preserve">支持不同分组，客户端轻量化模式一键切换功能； </w:t>
            </w:r>
          </w:p>
        </w:tc>
      </w:tr>
      <w:tr w14:paraId="7DA5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14:paraId="2B69D5C7">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19</w:t>
            </w:r>
          </w:p>
        </w:tc>
        <w:tc>
          <w:tcPr>
            <w:tcW w:w="664" w:type="pct"/>
            <w:vMerge w:val="continue"/>
            <w:vAlign w:val="center"/>
          </w:tcPr>
          <w:p w14:paraId="06C65F63">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2EF2DD2C">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06C2A412">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支持终端网络地址、物理地址等参数的绑定，能够对未授权终端接入指定网络行为进行报警并阻断其接入。</w:t>
            </w:r>
          </w:p>
        </w:tc>
      </w:tr>
      <w:tr w14:paraId="405F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89" w:type="pct"/>
            <w:vAlign w:val="center"/>
          </w:tcPr>
          <w:p w14:paraId="21FA4968">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20</w:t>
            </w:r>
          </w:p>
        </w:tc>
        <w:tc>
          <w:tcPr>
            <w:tcW w:w="664" w:type="pct"/>
            <w:vMerge w:val="continue"/>
            <w:vAlign w:val="center"/>
          </w:tcPr>
          <w:p w14:paraId="207EEA8A">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Align w:val="center"/>
          </w:tcPr>
          <w:p w14:paraId="54CAC3F2">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客户端管理</w:t>
            </w:r>
          </w:p>
        </w:tc>
        <w:tc>
          <w:tcPr>
            <w:tcW w:w="3074" w:type="pct"/>
            <w:vAlign w:val="center"/>
          </w:tcPr>
          <w:p w14:paraId="7BE5180F">
            <w:pPr>
              <w:widowControl/>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支持终端密码保护功能，支持终端“防退出”密码保护、“防卸载”密码保护、防安装密码保护。支持设置自我保护功能，可有效防止客户端进程被恶意终止、注入、提高客户端进程、数据、配置的安全性。</w:t>
            </w:r>
          </w:p>
        </w:tc>
      </w:tr>
      <w:tr w14:paraId="05CE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14:paraId="54D9E992">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21</w:t>
            </w:r>
          </w:p>
        </w:tc>
        <w:tc>
          <w:tcPr>
            <w:tcW w:w="664" w:type="pct"/>
            <w:vMerge w:val="restart"/>
            <w:vAlign w:val="center"/>
          </w:tcPr>
          <w:p w14:paraId="7722FFC4">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防病毒防护</w:t>
            </w:r>
          </w:p>
        </w:tc>
        <w:tc>
          <w:tcPr>
            <w:tcW w:w="770" w:type="pct"/>
            <w:vMerge w:val="restart"/>
            <w:noWrap/>
            <w:vAlign w:val="center"/>
          </w:tcPr>
          <w:p w14:paraId="75017D79">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病毒防护概况</w:t>
            </w:r>
          </w:p>
        </w:tc>
        <w:tc>
          <w:tcPr>
            <w:tcW w:w="3074" w:type="pct"/>
            <w:vAlign w:val="center"/>
          </w:tcPr>
          <w:p w14:paraId="3CCB3ED6">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病毒防护概况：终端基础信息、病毒库版本、发现病毒数、未处理病毒数、最后查杀时间、文件防护状态、引擎使用状态、扩展病毒库版本</w:t>
            </w:r>
          </w:p>
        </w:tc>
      </w:tr>
      <w:tr w14:paraId="4292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89" w:type="pct"/>
            <w:vAlign w:val="center"/>
          </w:tcPr>
          <w:p w14:paraId="71711E0C">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22</w:t>
            </w:r>
          </w:p>
        </w:tc>
        <w:tc>
          <w:tcPr>
            <w:tcW w:w="664" w:type="pct"/>
            <w:vMerge w:val="continue"/>
            <w:vAlign w:val="center"/>
          </w:tcPr>
          <w:p w14:paraId="2A6A839B">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1EFEA5DA">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712B5CC0">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最后一次全盘扫描时间，记录终端最后一次完成全盘扫描的时间</w:t>
            </w:r>
          </w:p>
        </w:tc>
      </w:tr>
      <w:tr w14:paraId="2047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9" w:type="pct"/>
            <w:vAlign w:val="center"/>
          </w:tcPr>
          <w:p w14:paraId="645A1A1A">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23</w:t>
            </w:r>
          </w:p>
        </w:tc>
        <w:tc>
          <w:tcPr>
            <w:tcW w:w="664" w:type="pct"/>
            <w:vMerge w:val="continue"/>
            <w:vAlign w:val="center"/>
          </w:tcPr>
          <w:p w14:paraId="08D7E088">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120B39B9">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3A703A69">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查杀未处理，一键处理指定终端上存在的被用户忽略的病毒，且不需要再次扫描。</w:t>
            </w:r>
          </w:p>
        </w:tc>
      </w:tr>
      <w:tr w14:paraId="443E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89" w:type="pct"/>
            <w:vAlign w:val="center"/>
          </w:tcPr>
          <w:p w14:paraId="642D8A1E">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24</w:t>
            </w:r>
          </w:p>
        </w:tc>
        <w:tc>
          <w:tcPr>
            <w:tcW w:w="664" w:type="pct"/>
            <w:vMerge w:val="continue"/>
            <w:vAlign w:val="center"/>
          </w:tcPr>
          <w:p w14:paraId="0BD82157">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restart"/>
            <w:noWrap/>
            <w:vAlign w:val="center"/>
          </w:tcPr>
          <w:p w14:paraId="5CEEAFD0">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病毒防护报表</w:t>
            </w:r>
          </w:p>
        </w:tc>
        <w:tc>
          <w:tcPr>
            <w:tcW w:w="3074" w:type="pct"/>
            <w:vAlign w:val="center"/>
          </w:tcPr>
          <w:p w14:paraId="5BF61FDC">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病毒报表支持病毒查杀趋势、扫描触发方式趋势、发现病毒趋势、终端感染趋势、病毒类型统计、病毒处理结果统计、病毒发现触、方式统计、趋势图表、按分组、按终端、按病毒名称。</w:t>
            </w:r>
          </w:p>
        </w:tc>
      </w:tr>
      <w:tr w14:paraId="7D03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89" w:type="pct"/>
            <w:vAlign w:val="center"/>
          </w:tcPr>
          <w:p w14:paraId="543AD224">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25</w:t>
            </w:r>
          </w:p>
        </w:tc>
        <w:tc>
          <w:tcPr>
            <w:tcW w:w="664" w:type="pct"/>
            <w:vMerge w:val="continue"/>
            <w:vAlign w:val="center"/>
          </w:tcPr>
          <w:p w14:paraId="2C63F842">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noWrap/>
            <w:vAlign w:val="center"/>
          </w:tcPr>
          <w:p w14:paraId="31127D92">
            <w:pPr>
              <w:widowControl/>
              <w:jc w:val="center"/>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2757D109">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支持对主机磁盘、主机内存、主机引导区、移动存储介质等的病毒检测，病毒检测类型包含文件感染型病毒、宏病毒、蠕虫、木马程序、间谍软件、脚本恶意程序、后门程序、僵尸程序、勒索软件、RootKit 恶意程序、BootKit恶意程序等，病毒处理动作包含阻止、删除、隔离、清除还原等。</w:t>
            </w:r>
          </w:p>
        </w:tc>
      </w:tr>
      <w:tr w14:paraId="50C2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489" w:type="pct"/>
            <w:vAlign w:val="center"/>
          </w:tcPr>
          <w:p w14:paraId="0B95186A">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26</w:t>
            </w:r>
          </w:p>
        </w:tc>
        <w:tc>
          <w:tcPr>
            <w:tcW w:w="664" w:type="pct"/>
            <w:vMerge w:val="continue"/>
            <w:vAlign w:val="center"/>
          </w:tcPr>
          <w:p w14:paraId="1C50817F">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5D84182F">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5E0754B5">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扫描分析：显示管理员下发、用户自主发起、第三方联动下发的全部扫描任务列表，且支持针对</w:t>
            </w:r>
            <w:r>
              <w:rPr>
                <w:rFonts w:ascii="宋体" w:hAnsi="宋体" w:eastAsia="宋体" w:cs="Times New Roman"/>
                <w:bCs/>
                <w:color w:val="000000" w:themeColor="text1"/>
                <w:kern w:val="0"/>
                <w:sz w:val="21"/>
                <w:szCs w:val="21"/>
                <w14:textFill>
                  <w14:solidFill>
                    <w14:schemeClr w14:val="tx1"/>
                  </w14:solidFill>
                </w14:textFill>
              </w:rPr>
              <w:t>单个扫描任务</w:t>
            </w:r>
            <w:r>
              <w:rPr>
                <w:rFonts w:ascii="宋体" w:hAnsi="宋体" w:eastAsia="宋体" w:cs="Times New Roman"/>
                <w:color w:val="000000" w:themeColor="text1"/>
                <w:kern w:val="0"/>
                <w:sz w:val="21"/>
                <w:szCs w:val="21"/>
                <w14:textFill>
                  <w14:solidFill>
                    <w14:schemeClr w14:val="tx1"/>
                  </w14:solidFill>
                </w14:textFill>
              </w:rPr>
              <w:t>提供完整病毒分析（包含终端完成分布、检出威胁率、病毒处理结果分布、发现威胁终端TOP10、病毒类型TOP10、终端分组TOP10、病毒名称TOP10、病毒文件TOP10、病毒路径TOP10、勒索程序TOP10、挖矿木马TOP10、WebShell木马TOP10 ），便于完成日常扫描工作的闭环管理 。</w:t>
            </w:r>
          </w:p>
        </w:tc>
      </w:tr>
      <w:tr w14:paraId="16CB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89" w:type="pct"/>
            <w:vAlign w:val="center"/>
          </w:tcPr>
          <w:p w14:paraId="2EB318C7">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27</w:t>
            </w:r>
          </w:p>
        </w:tc>
        <w:tc>
          <w:tcPr>
            <w:tcW w:w="664" w:type="pct"/>
            <w:vMerge w:val="continue"/>
            <w:vAlign w:val="center"/>
          </w:tcPr>
          <w:p w14:paraId="3146F202">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7DB196D3">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4C504EE3">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实时防护分析：提供实时防护拦截病毒的完整分析（包含实时防护概况趋势、处理结果分布、病毒类型TOP10、检出终端TOP10、病毒名称TOP10、病毒文件TOP10、病毒路径TOP10、勒索程序TOP10、挖矿木马TOP10、WebShell木马TOP10）</w:t>
            </w:r>
          </w:p>
        </w:tc>
      </w:tr>
      <w:tr w14:paraId="4F0E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9" w:type="pct"/>
            <w:vAlign w:val="center"/>
          </w:tcPr>
          <w:p w14:paraId="34D5B52F">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28</w:t>
            </w:r>
          </w:p>
        </w:tc>
        <w:tc>
          <w:tcPr>
            <w:tcW w:w="664" w:type="pct"/>
            <w:vMerge w:val="continue"/>
            <w:vAlign w:val="center"/>
          </w:tcPr>
          <w:p w14:paraId="7291B0A2">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08C38BCE">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234FDE5D">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主动防御分析：提供主动防御细分类型的防御趋势，帮助管理员抓住重点问题</w:t>
            </w:r>
          </w:p>
        </w:tc>
      </w:tr>
      <w:tr w14:paraId="74E9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9" w:type="pct"/>
            <w:vAlign w:val="center"/>
          </w:tcPr>
          <w:p w14:paraId="62E13DA0">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29</w:t>
            </w:r>
          </w:p>
        </w:tc>
        <w:tc>
          <w:tcPr>
            <w:tcW w:w="664" w:type="pct"/>
            <w:vMerge w:val="continue"/>
            <w:vAlign w:val="center"/>
          </w:tcPr>
          <w:p w14:paraId="6F5D0709">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noWrap/>
            <w:vAlign w:val="center"/>
          </w:tcPr>
          <w:p w14:paraId="68835BD2">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黑白名单</w:t>
            </w:r>
          </w:p>
        </w:tc>
        <w:tc>
          <w:tcPr>
            <w:tcW w:w="3074" w:type="pct"/>
            <w:vAlign w:val="center"/>
          </w:tcPr>
          <w:p w14:paraId="283F7CFA">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支持手动导入、导出黑白名单，添加黑白名单。支持通过文件导入添加黑白名单。</w:t>
            </w:r>
          </w:p>
        </w:tc>
      </w:tr>
      <w:tr w14:paraId="5609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9" w:type="pct"/>
            <w:vAlign w:val="center"/>
          </w:tcPr>
          <w:p w14:paraId="54DEB314">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30</w:t>
            </w:r>
          </w:p>
        </w:tc>
        <w:tc>
          <w:tcPr>
            <w:tcW w:w="664" w:type="pct"/>
            <w:vMerge w:val="continue"/>
            <w:vAlign w:val="center"/>
          </w:tcPr>
          <w:p w14:paraId="2AE0C695">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restart"/>
            <w:vAlign w:val="center"/>
          </w:tcPr>
          <w:p w14:paraId="273EFE01">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病毒扫描</w:t>
            </w:r>
          </w:p>
        </w:tc>
        <w:tc>
          <w:tcPr>
            <w:tcW w:w="3074" w:type="pct"/>
            <w:vAlign w:val="center"/>
          </w:tcPr>
          <w:p w14:paraId="0C01CEA0">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支持信任区设置，病毒扫描不扫描目录或文件。</w:t>
            </w:r>
          </w:p>
        </w:tc>
      </w:tr>
      <w:tr w14:paraId="26E7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9" w:type="pct"/>
            <w:vAlign w:val="center"/>
          </w:tcPr>
          <w:p w14:paraId="5EBE8165">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31</w:t>
            </w:r>
          </w:p>
        </w:tc>
        <w:tc>
          <w:tcPr>
            <w:tcW w:w="664" w:type="pct"/>
            <w:vMerge w:val="continue"/>
            <w:vAlign w:val="center"/>
          </w:tcPr>
          <w:p w14:paraId="613F221C">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5FDD29AB">
            <w:pPr>
              <w:jc w:val="center"/>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376C9EB1">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病毒扫描支持扫描所有文件和仅扫描程序及文档文件设置，支持对压缩包文件设置最大扫描层数和大小，当发现压缩包内存在病毒时，还需继续扫描压缩包内其他文件。</w:t>
            </w:r>
          </w:p>
        </w:tc>
      </w:tr>
      <w:tr w14:paraId="3E93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9" w:type="pct"/>
            <w:vAlign w:val="center"/>
          </w:tcPr>
          <w:p w14:paraId="45774002">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32</w:t>
            </w:r>
          </w:p>
        </w:tc>
        <w:tc>
          <w:tcPr>
            <w:tcW w:w="664" w:type="pct"/>
            <w:vMerge w:val="continue"/>
            <w:vAlign w:val="center"/>
          </w:tcPr>
          <w:p w14:paraId="4EC32300">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0675686C">
            <w:pPr>
              <w:jc w:val="center"/>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49671925">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支持对压缩包内的病毒扫描，支持多层压缩包的扫描，可自定义配置压缩包的扫描层数，至少大约10层模式下的扫描。</w:t>
            </w:r>
          </w:p>
        </w:tc>
      </w:tr>
      <w:tr w14:paraId="6135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9" w:type="pct"/>
            <w:vAlign w:val="center"/>
          </w:tcPr>
          <w:p w14:paraId="6F5993EB">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33</w:t>
            </w:r>
          </w:p>
        </w:tc>
        <w:tc>
          <w:tcPr>
            <w:tcW w:w="664" w:type="pct"/>
            <w:vMerge w:val="continue"/>
            <w:vAlign w:val="center"/>
          </w:tcPr>
          <w:p w14:paraId="3E7929FE">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6F9EE88A">
            <w:pPr>
              <w:widowControl/>
              <w:jc w:val="center"/>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37D36C40">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支持仅利用多个非工作时间时间段完成一次全盘扫描</w:t>
            </w:r>
          </w:p>
        </w:tc>
      </w:tr>
      <w:tr w14:paraId="05C0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9" w:type="pct"/>
            <w:vAlign w:val="center"/>
          </w:tcPr>
          <w:p w14:paraId="1B005B61">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34</w:t>
            </w:r>
          </w:p>
        </w:tc>
        <w:tc>
          <w:tcPr>
            <w:tcW w:w="664" w:type="pct"/>
            <w:vMerge w:val="continue"/>
            <w:vAlign w:val="center"/>
          </w:tcPr>
          <w:p w14:paraId="4B4632D1">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Align w:val="center"/>
          </w:tcPr>
          <w:p w14:paraId="13E0FFE0">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杀毒引擎</w:t>
            </w:r>
          </w:p>
        </w:tc>
        <w:tc>
          <w:tcPr>
            <w:tcW w:w="3074" w:type="pct"/>
            <w:vAlign w:val="center"/>
          </w:tcPr>
          <w:p w14:paraId="11025E72">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支持不少于三个杀毒引擎混合使用，提高病毒检出率。</w:t>
            </w:r>
          </w:p>
        </w:tc>
      </w:tr>
      <w:tr w14:paraId="023C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9" w:type="pct"/>
            <w:vAlign w:val="center"/>
          </w:tcPr>
          <w:p w14:paraId="31D33707">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35</w:t>
            </w:r>
          </w:p>
        </w:tc>
        <w:tc>
          <w:tcPr>
            <w:tcW w:w="664" w:type="pct"/>
            <w:vMerge w:val="continue"/>
            <w:vAlign w:val="center"/>
          </w:tcPr>
          <w:p w14:paraId="0D490C29">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noWrap/>
            <w:vAlign w:val="center"/>
          </w:tcPr>
          <w:p w14:paraId="29F26CB6">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样本外发</w:t>
            </w:r>
          </w:p>
        </w:tc>
        <w:tc>
          <w:tcPr>
            <w:tcW w:w="3074" w:type="pct"/>
            <w:vAlign w:val="center"/>
          </w:tcPr>
          <w:p w14:paraId="2DEEBAE0">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支持把基于云查大数据识别出来的未知样本文件、在单点维护-病毒防护-隔离区指定的客户端病毒文件自动发送到沙箱或文件服务器上。</w:t>
            </w:r>
          </w:p>
        </w:tc>
      </w:tr>
      <w:tr w14:paraId="524A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9" w:type="pct"/>
            <w:vAlign w:val="center"/>
          </w:tcPr>
          <w:p w14:paraId="75576580">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36</w:t>
            </w:r>
          </w:p>
        </w:tc>
        <w:tc>
          <w:tcPr>
            <w:tcW w:w="664" w:type="pct"/>
            <w:vMerge w:val="restart"/>
            <w:vAlign w:val="center"/>
          </w:tcPr>
          <w:p w14:paraId="2102BCD0">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补丁管理</w:t>
            </w:r>
          </w:p>
        </w:tc>
        <w:tc>
          <w:tcPr>
            <w:tcW w:w="770" w:type="pct"/>
            <w:vAlign w:val="center"/>
          </w:tcPr>
          <w:p w14:paraId="0C45E7C4">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补丁类型</w:t>
            </w:r>
          </w:p>
        </w:tc>
        <w:tc>
          <w:tcPr>
            <w:tcW w:w="3074" w:type="pct"/>
            <w:vAlign w:val="center"/>
          </w:tcPr>
          <w:p w14:paraId="15D63E32">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支持对Windows操作系统、IE、.NET Framework、Office、Adobe Flash Player、Adobe Acrobat和Adobe Acrobat Reader DC、硬件驱动更新等软件进行补丁修复。</w:t>
            </w:r>
          </w:p>
        </w:tc>
      </w:tr>
      <w:tr w14:paraId="0CA2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89" w:type="pct"/>
            <w:vAlign w:val="center"/>
          </w:tcPr>
          <w:p w14:paraId="417A6716">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37</w:t>
            </w:r>
          </w:p>
        </w:tc>
        <w:tc>
          <w:tcPr>
            <w:tcW w:w="664" w:type="pct"/>
            <w:vMerge w:val="continue"/>
            <w:vAlign w:val="center"/>
          </w:tcPr>
          <w:p w14:paraId="52595DB6">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Align w:val="center"/>
          </w:tcPr>
          <w:p w14:paraId="537DB708">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灰度发布</w:t>
            </w:r>
          </w:p>
        </w:tc>
        <w:tc>
          <w:tcPr>
            <w:tcW w:w="3074" w:type="pct"/>
            <w:vAlign w:val="center"/>
          </w:tcPr>
          <w:p w14:paraId="7E1F1AC5">
            <w:pPr>
              <w:widowControl/>
              <w:jc w:val="left"/>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w:t>
            </w:r>
            <w:r>
              <w:rPr>
                <w:rFonts w:ascii="宋体" w:hAnsi="宋体" w:eastAsia="宋体" w:cs="Times New Roman"/>
                <w:color w:val="000000" w:themeColor="text1"/>
                <w:kern w:val="0"/>
                <w:sz w:val="21"/>
                <w:szCs w:val="21"/>
                <w14:textFill>
                  <w14:solidFill>
                    <w14:schemeClr w14:val="tx1"/>
                  </w14:solidFill>
                </w14:textFill>
              </w:rPr>
              <w:t>支持管理员预先设置好灰度发布批次和漏洞修复策略（分时间段、按级别、排除有兼容性问题的补丁等），每当控制台更新补丁库，自动化编排完成漏洞修复——将全网终端划分为由小到大的多个批次，根据企业环境，自动先推送给第一个小批次分组，如无问题自动推送给下一个批次，直到推送给全网。如有问题，只需将有问题的补丁添加到排除列表和卸载已安装的终端即可。整个推送安装过程自动化编排，无需管理员过多参与，只需在有问题时添加排除列表和下发卸载补丁任务。</w:t>
            </w:r>
            <w:r>
              <w:rPr>
                <w:rFonts w:ascii="宋体" w:hAnsi="宋体" w:eastAsia="宋体" w:cs="Times New Roman"/>
                <w:color w:val="auto"/>
                <w:kern w:val="0"/>
                <w:sz w:val="21"/>
                <w:szCs w:val="21"/>
              </w:rPr>
              <w:t>提供功能截图</w:t>
            </w:r>
            <w:r>
              <w:rPr>
                <w:rFonts w:hint="eastAsia" w:ascii="宋体" w:hAnsi="宋体" w:eastAsia="宋体" w:cs="Times New Roman"/>
                <w:color w:val="auto"/>
                <w:kern w:val="0"/>
                <w:sz w:val="21"/>
                <w:szCs w:val="21"/>
                <w:lang w:val="en-US" w:eastAsia="zh-CN"/>
              </w:rPr>
              <w:t>证明材料</w:t>
            </w:r>
          </w:p>
        </w:tc>
      </w:tr>
      <w:tr w14:paraId="294A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9" w:type="pct"/>
            <w:vAlign w:val="center"/>
          </w:tcPr>
          <w:p w14:paraId="2ED32F1F">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38</w:t>
            </w:r>
          </w:p>
        </w:tc>
        <w:tc>
          <w:tcPr>
            <w:tcW w:w="664" w:type="pct"/>
            <w:vMerge w:val="continue"/>
            <w:vAlign w:val="center"/>
          </w:tcPr>
          <w:p w14:paraId="74946703">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restart"/>
            <w:vAlign w:val="center"/>
          </w:tcPr>
          <w:p w14:paraId="037CD32D">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漏洞修复设置</w:t>
            </w:r>
          </w:p>
        </w:tc>
        <w:tc>
          <w:tcPr>
            <w:tcW w:w="3074" w:type="pct"/>
            <w:vAlign w:val="center"/>
          </w:tcPr>
          <w:p w14:paraId="65300CD6">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支持开启自动修复漏洞，包括开机时修复，并支持随机延迟执行、间隔修复和按时间段修复，可设置延迟时间、间隔修复时间和修复时间段。</w:t>
            </w:r>
          </w:p>
        </w:tc>
      </w:tr>
      <w:tr w14:paraId="77D1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9" w:type="pct"/>
            <w:vAlign w:val="center"/>
          </w:tcPr>
          <w:p w14:paraId="0D8A2F36">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39</w:t>
            </w:r>
          </w:p>
        </w:tc>
        <w:tc>
          <w:tcPr>
            <w:tcW w:w="664" w:type="pct"/>
            <w:vMerge w:val="continue"/>
            <w:vAlign w:val="center"/>
          </w:tcPr>
          <w:p w14:paraId="112DFBA2">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15A29B87">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7BF7A032">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支持影响到编辑Office文档时提醒，可取消此次修复任务。</w:t>
            </w:r>
          </w:p>
        </w:tc>
      </w:tr>
      <w:tr w14:paraId="2D33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9" w:type="pct"/>
            <w:vAlign w:val="center"/>
          </w:tcPr>
          <w:p w14:paraId="3624954D">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40</w:t>
            </w:r>
          </w:p>
        </w:tc>
        <w:tc>
          <w:tcPr>
            <w:tcW w:w="664" w:type="pct"/>
            <w:vMerge w:val="continue"/>
            <w:vAlign w:val="center"/>
          </w:tcPr>
          <w:p w14:paraId="65831927">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48039AB1">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7082B398">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允许终端用户手动修复漏洞，如果发现“修复内容”中设置的需要修复的漏洞和功能缺陷没有修复成功则提醒终端用户修复</w:t>
            </w:r>
          </w:p>
        </w:tc>
      </w:tr>
      <w:tr w14:paraId="0E3C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9" w:type="pct"/>
            <w:vAlign w:val="center"/>
          </w:tcPr>
          <w:p w14:paraId="0161C86B">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41</w:t>
            </w:r>
          </w:p>
        </w:tc>
        <w:tc>
          <w:tcPr>
            <w:tcW w:w="664" w:type="pct"/>
            <w:vMerge w:val="continue"/>
            <w:vAlign w:val="center"/>
          </w:tcPr>
          <w:p w14:paraId="31FAD563">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restart"/>
            <w:vAlign w:val="center"/>
          </w:tcPr>
          <w:p w14:paraId="12E3FE32">
            <w:pPr>
              <w:widowControl/>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补丁日志</w:t>
            </w:r>
          </w:p>
        </w:tc>
        <w:tc>
          <w:tcPr>
            <w:tcW w:w="3074" w:type="pct"/>
            <w:vAlign w:val="center"/>
          </w:tcPr>
          <w:p w14:paraId="2939463D">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支持展示终端信息、补丁号、补丁级别、补丁类型、安装日期、事件上报时间、事件类型、结果、详细描述。</w:t>
            </w:r>
          </w:p>
        </w:tc>
      </w:tr>
      <w:tr w14:paraId="6074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89" w:type="pct"/>
            <w:vAlign w:val="center"/>
          </w:tcPr>
          <w:p w14:paraId="211EFE38">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42</w:t>
            </w:r>
          </w:p>
        </w:tc>
        <w:tc>
          <w:tcPr>
            <w:tcW w:w="664" w:type="pct"/>
            <w:vMerge w:val="continue"/>
            <w:vAlign w:val="center"/>
          </w:tcPr>
          <w:p w14:paraId="56B8A861">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6F50E421">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1690599A">
            <w:pPr>
              <w:widowControl/>
              <w:jc w:val="left"/>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w:t>
            </w:r>
            <w:r>
              <w:rPr>
                <w:rFonts w:ascii="宋体" w:hAnsi="宋体" w:eastAsia="宋体" w:cs="Times New Roman"/>
                <w:color w:val="000000" w:themeColor="text1"/>
                <w:kern w:val="0"/>
                <w:sz w:val="21"/>
                <w:szCs w:val="21"/>
                <w14:textFill>
                  <w14:solidFill>
                    <w14:schemeClr w14:val="tx1"/>
                  </w14:solidFill>
                </w14:textFill>
              </w:rPr>
              <w:t>能够按照补丁分发范围、分发时间、安装情况和终端类型等方式进行补丁分发，支持补丁静默和用户提示安装两种方式，可显示终端已安装和未安装补丁信息。提供CNAS认可检测机构出具的针对软件功能的检测报告关键页</w:t>
            </w:r>
            <w:r>
              <w:rPr>
                <w:rFonts w:hint="eastAsia" w:ascii="宋体" w:hAnsi="宋体" w:eastAsia="宋体" w:cs="Times New Roman"/>
                <w:color w:val="000000" w:themeColor="text1"/>
                <w:kern w:val="0"/>
                <w:sz w:val="21"/>
                <w:szCs w:val="21"/>
                <w:lang w:val="en-US" w:eastAsia="zh-CN"/>
                <w14:textFill>
                  <w14:solidFill>
                    <w14:schemeClr w14:val="tx1"/>
                  </w14:solidFill>
                </w14:textFill>
              </w:rPr>
              <w:t>截图</w:t>
            </w:r>
            <w:r>
              <w:rPr>
                <w:rFonts w:ascii="宋体" w:hAnsi="宋体" w:eastAsia="宋体" w:cs="Times New Roman"/>
                <w:color w:val="000000" w:themeColor="text1"/>
                <w:kern w:val="0"/>
                <w:sz w:val="21"/>
                <w:szCs w:val="21"/>
                <w14:textFill>
                  <w14:solidFill>
                    <w14:schemeClr w14:val="tx1"/>
                  </w14:solidFill>
                </w14:textFill>
              </w:rPr>
              <w:t>证明</w:t>
            </w:r>
            <w:r>
              <w:rPr>
                <w:rFonts w:hint="eastAsia" w:ascii="宋体" w:hAnsi="宋体" w:eastAsia="宋体" w:cs="Times New Roman"/>
                <w:color w:val="000000" w:themeColor="text1"/>
                <w:kern w:val="0"/>
                <w:sz w:val="21"/>
                <w:szCs w:val="21"/>
                <w:lang w:val="en-US" w:eastAsia="zh-CN"/>
                <w14:textFill>
                  <w14:solidFill>
                    <w14:schemeClr w14:val="tx1"/>
                  </w14:solidFill>
                </w14:textFill>
              </w:rPr>
              <w:t>材料。</w:t>
            </w:r>
          </w:p>
        </w:tc>
      </w:tr>
      <w:tr w14:paraId="76D8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89" w:type="pct"/>
            <w:vAlign w:val="center"/>
          </w:tcPr>
          <w:p w14:paraId="56B7BFAD">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43</w:t>
            </w:r>
          </w:p>
        </w:tc>
        <w:tc>
          <w:tcPr>
            <w:tcW w:w="664" w:type="pct"/>
            <w:vMerge w:val="restart"/>
            <w:vAlign w:val="center"/>
          </w:tcPr>
          <w:p w14:paraId="43D7C1EE">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运维管控</w:t>
            </w:r>
          </w:p>
        </w:tc>
        <w:tc>
          <w:tcPr>
            <w:tcW w:w="770" w:type="pct"/>
            <w:vMerge w:val="restart"/>
            <w:vAlign w:val="center"/>
          </w:tcPr>
          <w:p w14:paraId="63F2EF06">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外设管理</w:t>
            </w:r>
          </w:p>
        </w:tc>
        <w:tc>
          <w:tcPr>
            <w:tcW w:w="3074" w:type="pct"/>
            <w:vAlign w:val="center"/>
          </w:tcPr>
          <w:p w14:paraId="6DE1E495">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支持对终端各种外设（USB存储、硬盘、存储卡、光驱、打印机、扫描仪、摄像头、手机、平板等）、接口（USB口、串口、并口、1394、PCMIA）设置使用权限，并支持生效时间设置。</w:t>
            </w:r>
          </w:p>
        </w:tc>
      </w:tr>
      <w:tr w14:paraId="6F1E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89" w:type="pct"/>
            <w:vAlign w:val="center"/>
          </w:tcPr>
          <w:p w14:paraId="05D62E86">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44</w:t>
            </w:r>
          </w:p>
        </w:tc>
        <w:tc>
          <w:tcPr>
            <w:tcW w:w="664" w:type="pct"/>
            <w:vMerge w:val="continue"/>
            <w:vAlign w:val="center"/>
          </w:tcPr>
          <w:p w14:paraId="02698DD7">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78246E8A">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6E3FB5BD">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能够对USB口、串口、并口、光驱、无线网卡、蓝牙等外部接口和设备进行有效管理。</w:t>
            </w:r>
          </w:p>
        </w:tc>
      </w:tr>
      <w:tr w14:paraId="34CF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89" w:type="pct"/>
            <w:vAlign w:val="center"/>
          </w:tcPr>
          <w:p w14:paraId="0774968D">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45</w:t>
            </w:r>
          </w:p>
        </w:tc>
        <w:tc>
          <w:tcPr>
            <w:tcW w:w="664" w:type="pct"/>
            <w:vMerge w:val="continue"/>
            <w:vAlign w:val="center"/>
          </w:tcPr>
          <w:p w14:paraId="1C5195BE">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restart"/>
            <w:vAlign w:val="center"/>
          </w:tcPr>
          <w:p w14:paraId="00AD8258">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能耗管理</w:t>
            </w:r>
          </w:p>
        </w:tc>
        <w:tc>
          <w:tcPr>
            <w:tcW w:w="3074" w:type="pct"/>
            <w:vAlign w:val="center"/>
          </w:tcPr>
          <w:p w14:paraId="1F57BE1C">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对终端节能管理，支持对长时间运行、定时关机、空闲节能、工作时间外开机等节能类型设定策略，支持仅提示、关机、注销、锁定、关闭显示器、锁定+关闭显示器、休眠和睡眠处理。并支持提示倒计时弹窗，可设置在终端取消后下一次提醒时间。</w:t>
            </w:r>
          </w:p>
        </w:tc>
      </w:tr>
      <w:tr w14:paraId="5858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89" w:type="pct"/>
            <w:vAlign w:val="center"/>
          </w:tcPr>
          <w:p w14:paraId="44D6F0B1">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46</w:t>
            </w:r>
          </w:p>
        </w:tc>
        <w:tc>
          <w:tcPr>
            <w:tcW w:w="664" w:type="pct"/>
            <w:vMerge w:val="continue"/>
            <w:vAlign w:val="center"/>
          </w:tcPr>
          <w:p w14:paraId="5F16BA12">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Merge w:val="continue"/>
            <w:vAlign w:val="center"/>
          </w:tcPr>
          <w:p w14:paraId="20CD98DB">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7D1118C4">
            <w:pPr>
              <w:widowControl/>
              <w:jc w:val="left"/>
              <w:rPr>
                <w:rFonts w:hint="eastAsia" w:ascii="宋体" w:hAnsi="宋体" w:eastAsia="宋体" w:cs="Times New Roman"/>
                <w:color w:val="000000" w:themeColor="text1"/>
                <w:kern w:val="0"/>
                <w:sz w:val="21"/>
                <w:szCs w:val="21"/>
                <w:lang w:eastAsia="zh-CN"/>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支持对日志的高性能处理和存储</w:t>
            </w:r>
            <w:r>
              <w:rPr>
                <w:rFonts w:hint="eastAsia" w:ascii="宋体" w:hAnsi="宋体" w:eastAsia="宋体" w:cs="Times New Roman"/>
                <w:color w:val="000000" w:themeColor="text1"/>
                <w:kern w:val="0"/>
                <w:sz w:val="21"/>
                <w:szCs w:val="21"/>
                <w:lang w:eastAsia="zh-CN"/>
                <w14:textFill>
                  <w14:solidFill>
                    <w14:schemeClr w14:val="tx1"/>
                  </w14:solidFill>
                </w14:textFill>
              </w:rPr>
              <w:t>。</w:t>
            </w:r>
          </w:p>
        </w:tc>
      </w:tr>
      <w:tr w14:paraId="6932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89" w:type="pct"/>
            <w:vAlign w:val="center"/>
          </w:tcPr>
          <w:p w14:paraId="5DABBCB3">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47</w:t>
            </w:r>
          </w:p>
        </w:tc>
        <w:tc>
          <w:tcPr>
            <w:tcW w:w="664" w:type="pct"/>
            <w:vMerge w:val="continue"/>
            <w:vAlign w:val="center"/>
          </w:tcPr>
          <w:p w14:paraId="65D521E6">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770" w:type="pct"/>
            <w:vAlign w:val="center"/>
          </w:tcPr>
          <w:p w14:paraId="6304B11E">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网络防护</w:t>
            </w:r>
          </w:p>
        </w:tc>
        <w:tc>
          <w:tcPr>
            <w:tcW w:w="3074" w:type="pct"/>
            <w:vAlign w:val="center"/>
          </w:tcPr>
          <w:p w14:paraId="64657F4C">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支持对网卡进行防护，支持阻止终端修改IP地址、使用动态IP地址、热点创建和IPV6地址使用等，可自定义提示内容和生效时间。</w:t>
            </w:r>
          </w:p>
        </w:tc>
      </w:tr>
      <w:tr w14:paraId="226D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89" w:type="pct"/>
            <w:vAlign w:val="center"/>
          </w:tcPr>
          <w:p w14:paraId="3346B2DD">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48</w:t>
            </w:r>
          </w:p>
        </w:tc>
        <w:tc>
          <w:tcPr>
            <w:tcW w:w="664" w:type="pct"/>
            <w:vMerge w:val="restart"/>
            <w:vAlign w:val="center"/>
          </w:tcPr>
          <w:p w14:paraId="4817993E">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主机防火墙</w:t>
            </w:r>
          </w:p>
        </w:tc>
        <w:tc>
          <w:tcPr>
            <w:tcW w:w="3845" w:type="pct"/>
            <w:gridSpan w:val="2"/>
            <w:vAlign w:val="center"/>
          </w:tcPr>
          <w:p w14:paraId="2085B896">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主机防火墙功能，通过添加IP、域名规则、支持允许/拒绝规则、支持任意流向拦截和允许，支持TCP、UDP、TCP+UDP、ICMP、多播和组播，支持自定义端口范围、支持自定义目标IP，支持输入IP范围，支持对设定进程名称、进程路径，支持模糊规则。</w:t>
            </w:r>
          </w:p>
        </w:tc>
      </w:tr>
      <w:tr w14:paraId="5103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89" w:type="pct"/>
            <w:vAlign w:val="center"/>
          </w:tcPr>
          <w:p w14:paraId="389BD627">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49</w:t>
            </w:r>
          </w:p>
        </w:tc>
        <w:tc>
          <w:tcPr>
            <w:tcW w:w="664" w:type="pct"/>
            <w:vMerge w:val="continue"/>
            <w:vAlign w:val="center"/>
          </w:tcPr>
          <w:p w14:paraId="63278A24">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845" w:type="pct"/>
            <w:gridSpan w:val="2"/>
            <w:vAlign w:val="center"/>
          </w:tcPr>
          <w:p w14:paraId="6060631B">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支持根据需要来设置是否接管系统防火墙，支持根据规则的重要程度设置规则的优先级。</w:t>
            </w:r>
          </w:p>
        </w:tc>
      </w:tr>
      <w:tr w14:paraId="552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89" w:type="pct"/>
            <w:vAlign w:val="center"/>
          </w:tcPr>
          <w:p w14:paraId="7BB8E818">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50</w:t>
            </w:r>
          </w:p>
        </w:tc>
        <w:tc>
          <w:tcPr>
            <w:tcW w:w="664" w:type="pct"/>
            <w:vAlign w:val="center"/>
          </w:tcPr>
          <w:p w14:paraId="4938AB12">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安全协同</w:t>
            </w:r>
          </w:p>
        </w:tc>
        <w:tc>
          <w:tcPr>
            <w:tcW w:w="3845" w:type="pct"/>
            <w:gridSpan w:val="2"/>
            <w:vAlign w:val="center"/>
          </w:tcPr>
          <w:p w14:paraId="3E89FE54">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本次采购的终端安全管理系统必须能够与现有的态势感知平台联动，为我院构建立体化防御体系。</w:t>
            </w:r>
          </w:p>
        </w:tc>
      </w:tr>
      <w:tr w14:paraId="05E2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89" w:type="pct"/>
            <w:vAlign w:val="center"/>
          </w:tcPr>
          <w:p w14:paraId="7BEC64A9">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51</w:t>
            </w:r>
          </w:p>
        </w:tc>
        <w:tc>
          <w:tcPr>
            <w:tcW w:w="664" w:type="pct"/>
            <w:vAlign w:val="center"/>
          </w:tcPr>
          <w:p w14:paraId="4B394B67">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扩展性</w:t>
            </w:r>
          </w:p>
        </w:tc>
        <w:tc>
          <w:tcPr>
            <w:tcW w:w="3845" w:type="pct"/>
            <w:gridSpan w:val="2"/>
            <w:vAlign w:val="center"/>
          </w:tcPr>
          <w:p w14:paraId="54E51CD0">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为了建设我院一体化终端安全防御体系，本次采购的终端安全管理系统必须支持安全空间、安全水印、数据防泄漏、软件管理、准入控制、漏洞攻击防护、安全助手、防弹窗、终端审计等功能的扩展。</w:t>
            </w:r>
          </w:p>
        </w:tc>
      </w:tr>
      <w:tr w14:paraId="6DB1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89" w:type="pct"/>
            <w:vAlign w:val="center"/>
          </w:tcPr>
          <w:p w14:paraId="3930BA95">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52</w:t>
            </w:r>
          </w:p>
        </w:tc>
        <w:tc>
          <w:tcPr>
            <w:tcW w:w="1435" w:type="pct"/>
            <w:gridSpan w:val="2"/>
            <w:vMerge w:val="restart"/>
            <w:vAlign w:val="center"/>
          </w:tcPr>
          <w:p w14:paraId="6FD88E2C">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服务工具及其厂商资质</w:t>
            </w:r>
          </w:p>
        </w:tc>
        <w:tc>
          <w:tcPr>
            <w:tcW w:w="3074" w:type="pct"/>
            <w:vAlign w:val="center"/>
          </w:tcPr>
          <w:p w14:paraId="22FC522A">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连续通过国际权威杀毒软件评测机构Virus Bulleti测评认证（VB100）七次及以上认证。</w:t>
            </w:r>
          </w:p>
        </w:tc>
      </w:tr>
      <w:tr w14:paraId="5F7F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89" w:type="pct"/>
            <w:vAlign w:val="center"/>
          </w:tcPr>
          <w:p w14:paraId="63CCDB97">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53</w:t>
            </w:r>
          </w:p>
        </w:tc>
        <w:tc>
          <w:tcPr>
            <w:tcW w:w="1435" w:type="pct"/>
            <w:gridSpan w:val="2"/>
            <w:vMerge w:val="continue"/>
            <w:vAlign w:val="center"/>
          </w:tcPr>
          <w:p w14:paraId="5AD44A6B">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1AD8995B">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具备IT产品信息安全产品认证证书</w:t>
            </w:r>
          </w:p>
        </w:tc>
      </w:tr>
      <w:tr w14:paraId="4625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89" w:type="pct"/>
            <w:vAlign w:val="center"/>
          </w:tcPr>
          <w:p w14:paraId="67D34203">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54</w:t>
            </w:r>
          </w:p>
        </w:tc>
        <w:tc>
          <w:tcPr>
            <w:tcW w:w="1435" w:type="pct"/>
            <w:gridSpan w:val="2"/>
            <w:vMerge w:val="continue"/>
            <w:vAlign w:val="center"/>
          </w:tcPr>
          <w:p w14:paraId="0B7CB927">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7CBEFE30">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具备IPv6 Ready Logo(Phase-2)认证证书</w:t>
            </w:r>
          </w:p>
        </w:tc>
      </w:tr>
      <w:tr w14:paraId="181C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9" w:type="pct"/>
            <w:vAlign w:val="center"/>
          </w:tcPr>
          <w:p w14:paraId="720EFBAD">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55</w:t>
            </w:r>
          </w:p>
        </w:tc>
        <w:tc>
          <w:tcPr>
            <w:tcW w:w="1435" w:type="pct"/>
            <w:gridSpan w:val="2"/>
            <w:vMerge w:val="continue"/>
            <w:vAlign w:val="center"/>
          </w:tcPr>
          <w:p w14:paraId="026FC3FF">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72FCBB38">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制造商具备信息通信行业企业信用等级评价--运维服务领域（AAA）</w:t>
            </w:r>
          </w:p>
        </w:tc>
      </w:tr>
      <w:tr w14:paraId="10FE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89" w:type="pct"/>
            <w:vAlign w:val="center"/>
          </w:tcPr>
          <w:p w14:paraId="480381DF">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56</w:t>
            </w:r>
          </w:p>
        </w:tc>
        <w:tc>
          <w:tcPr>
            <w:tcW w:w="1435" w:type="pct"/>
            <w:gridSpan w:val="2"/>
            <w:vMerge w:val="continue"/>
            <w:vAlign w:val="center"/>
          </w:tcPr>
          <w:p w14:paraId="4BC9931E">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6B88E899">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数据安全服务能力评定资格证书-数据安全建设能力</w:t>
            </w:r>
          </w:p>
        </w:tc>
      </w:tr>
      <w:tr w14:paraId="2A8D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489" w:type="pct"/>
            <w:vAlign w:val="center"/>
          </w:tcPr>
          <w:p w14:paraId="0B2BA04F">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57</w:t>
            </w:r>
          </w:p>
        </w:tc>
        <w:tc>
          <w:tcPr>
            <w:tcW w:w="1435" w:type="pct"/>
            <w:gridSpan w:val="2"/>
            <w:vMerge w:val="continue"/>
            <w:vAlign w:val="center"/>
          </w:tcPr>
          <w:p w14:paraId="5BBF6126">
            <w:pPr>
              <w:widowControl/>
              <w:jc w:val="left"/>
              <w:rPr>
                <w:rFonts w:ascii="宋体" w:hAnsi="宋体" w:eastAsia="宋体" w:cs="Times New Roman"/>
                <w:color w:val="000000" w:themeColor="text1"/>
                <w:kern w:val="0"/>
                <w:sz w:val="21"/>
                <w:szCs w:val="21"/>
                <w14:textFill>
                  <w14:solidFill>
                    <w14:schemeClr w14:val="tx1"/>
                  </w14:solidFill>
                </w14:textFill>
              </w:rPr>
            </w:pPr>
          </w:p>
        </w:tc>
        <w:tc>
          <w:tcPr>
            <w:tcW w:w="3074" w:type="pct"/>
            <w:vAlign w:val="center"/>
          </w:tcPr>
          <w:p w14:paraId="0EBB1228">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具备CIC信息化建设及数字化能力评价证书（一级）</w:t>
            </w:r>
          </w:p>
        </w:tc>
      </w:tr>
      <w:tr w14:paraId="129F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89" w:type="pct"/>
            <w:vAlign w:val="center"/>
          </w:tcPr>
          <w:p w14:paraId="3FFD5A36">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58</w:t>
            </w:r>
          </w:p>
        </w:tc>
        <w:tc>
          <w:tcPr>
            <w:tcW w:w="1435" w:type="pct"/>
            <w:gridSpan w:val="2"/>
            <w:vAlign w:val="center"/>
          </w:tcPr>
          <w:p w14:paraId="2C0E8DD0">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其他</w:t>
            </w:r>
          </w:p>
        </w:tc>
        <w:tc>
          <w:tcPr>
            <w:tcW w:w="3074" w:type="pct"/>
            <w:vAlign w:val="center"/>
          </w:tcPr>
          <w:p w14:paraId="2146C5BE">
            <w:pPr>
              <w:widowControl/>
              <w:jc w:val="left"/>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中标后三个工作日内提供原厂商三年质保服务承诺函。中标后将对上述功能要求进行逐一测试验证，测试中发现虚假应标的行为将予以废标处理并保留追究相关责任的权利。</w:t>
            </w:r>
          </w:p>
        </w:tc>
      </w:tr>
      <w:tr w14:paraId="220E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89" w:type="pct"/>
            <w:vAlign w:val="center"/>
          </w:tcPr>
          <w:p w14:paraId="3DD45E90">
            <w:pPr>
              <w:widowControl/>
              <w:jc w:val="center"/>
              <w:rPr>
                <w:rFonts w:hint="default" w:ascii="宋体" w:hAnsi="宋体"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59</w:t>
            </w:r>
          </w:p>
        </w:tc>
        <w:tc>
          <w:tcPr>
            <w:tcW w:w="1435" w:type="pct"/>
            <w:gridSpan w:val="2"/>
            <w:vAlign w:val="center"/>
          </w:tcPr>
          <w:p w14:paraId="6063A2DB">
            <w:pPr>
              <w:widowControl/>
              <w:jc w:val="left"/>
              <w:rPr>
                <w:rFonts w:ascii="宋体" w:hAnsi="宋体" w:eastAsia="宋体" w:cs="Times New Roman"/>
                <w:color w:val="000000" w:themeColor="text1"/>
                <w:kern w:val="0"/>
                <w:sz w:val="21"/>
                <w:szCs w:val="21"/>
                <w14:textFill>
                  <w14:solidFill>
                    <w14:schemeClr w14:val="tx1"/>
                  </w14:solidFill>
                </w14:textFill>
              </w:rPr>
            </w:pPr>
            <w:r>
              <w:rPr>
                <w:rFonts w:hint="eastAsia"/>
                <w:sz w:val="21"/>
                <w:szCs w:val="21"/>
                <w:lang w:val="en-US" w:eastAsia="zh-CN"/>
              </w:rPr>
              <w:t>服务承诺函</w:t>
            </w:r>
          </w:p>
        </w:tc>
        <w:tc>
          <w:tcPr>
            <w:tcW w:w="3074" w:type="pct"/>
            <w:vAlign w:val="center"/>
          </w:tcPr>
          <w:p w14:paraId="2C00747B">
            <w:pPr>
              <w:widowControl/>
              <w:jc w:val="left"/>
              <w:rPr>
                <w:rFonts w:ascii="宋体" w:hAnsi="宋体" w:eastAsia="宋体" w:cs="Times New Roman"/>
                <w:color w:val="000000" w:themeColor="text1"/>
                <w:kern w:val="0"/>
                <w:sz w:val="21"/>
                <w:szCs w:val="21"/>
                <w14:textFill>
                  <w14:solidFill>
                    <w14:schemeClr w14:val="tx1"/>
                  </w14:solidFill>
                </w14:textFill>
              </w:rPr>
            </w:pPr>
            <w:r>
              <w:rPr>
                <w:rFonts w:hint="eastAsia"/>
                <w:sz w:val="21"/>
                <w:szCs w:val="21"/>
                <w:lang w:val="en-US" w:eastAsia="zh-CN"/>
              </w:rPr>
              <w:t>合同签订时，提供原厂商针对本项目的服务承诺函</w:t>
            </w:r>
          </w:p>
        </w:tc>
      </w:tr>
    </w:tbl>
    <w:p w14:paraId="335A8827">
      <w:pPr>
        <w:rPr>
          <w:rFonts w:hint="eastAsia"/>
          <w:sz w:val="21"/>
          <w:szCs w:val="21"/>
        </w:rPr>
      </w:pPr>
    </w:p>
    <w:p w14:paraId="189181CD">
      <w:pPr>
        <w:pStyle w:val="5"/>
        <w:bidi w:val="0"/>
        <w:rPr>
          <w:rFonts w:hint="eastAsia" w:eastAsia="黑体"/>
          <w:sz w:val="21"/>
          <w:szCs w:val="21"/>
          <w:lang w:val="en-US" w:eastAsia="zh-CN"/>
        </w:rPr>
      </w:pPr>
      <w:r>
        <w:rPr>
          <w:rFonts w:hint="eastAsia"/>
          <w:sz w:val="21"/>
          <w:szCs w:val="21"/>
        </w:rPr>
        <w:t>npatch续保</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578"/>
        <w:gridCol w:w="6090"/>
      </w:tblGrid>
      <w:tr w14:paraId="5BB9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4DFCFAB0">
            <w:pPr>
              <w:widowControl w:val="0"/>
              <w:jc w:val="both"/>
              <w:rPr>
                <w:rFonts w:hint="eastAsia" w:eastAsia="宋体"/>
                <w:sz w:val="21"/>
                <w:szCs w:val="21"/>
                <w:vertAlign w:val="baseline"/>
                <w:lang w:val="en-US" w:eastAsia="zh-CN"/>
              </w:rPr>
            </w:pPr>
            <w:r>
              <w:rPr>
                <w:rFonts w:hint="eastAsia"/>
                <w:sz w:val="21"/>
                <w:szCs w:val="21"/>
                <w:vertAlign w:val="baseline"/>
                <w:lang w:val="en-US" w:eastAsia="zh-CN"/>
              </w:rPr>
              <w:t>序号</w:t>
            </w:r>
          </w:p>
        </w:tc>
        <w:tc>
          <w:tcPr>
            <w:tcW w:w="1578" w:type="dxa"/>
          </w:tcPr>
          <w:p w14:paraId="6C0C3C7F">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技术指标</w:t>
            </w:r>
          </w:p>
        </w:tc>
        <w:tc>
          <w:tcPr>
            <w:tcW w:w="6090" w:type="dxa"/>
          </w:tcPr>
          <w:p w14:paraId="5F5DE140">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指标要求</w:t>
            </w:r>
          </w:p>
        </w:tc>
      </w:tr>
      <w:tr w14:paraId="2F0E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37" w:type="dxa"/>
            <w:vAlign w:val="center"/>
          </w:tcPr>
          <w:p w14:paraId="42AF4063">
            <w:pPr>
              <w:widowControl w:val="0"/>
              <w:jc w:val="center"/>
              <w:rPr>
                <w:rFonts w:hint="eastAsia" w:eastAsia="宋体"/>
                <w:sz w:val="21"/>
                <w:szCs w:val="21"/>
                <w:vertAlign w:val="baseline"/>
                <w:lang w:val="en-US" w:eastAsia="zh-CN"/>
              </w:rPr>
            </w:pPr>
            <w:r>
              <w:rPr>
                <w:rFonts w:hint="eastAsia"/>
                <w:sz w:val="21"/>
                <w:szCs w:val="21"/>
                <w:vertAlign w:val="baseline"/>
                <w:lang w:val="en-US" w:eastAsia="zh-CN"/>
              </w:rPr>
              <w:t>1</w:t>
            </w:r>
          </w:p>
        </w:tc>
        <w:tc>
          <w:tcPr>
            <w:tcW w:w="1578" w:type="dxa"/>
            <w:vAlign w:val="center"/>
          </w:tcPr>
          <w:p w14:paraId="09300CBB">
            <w:pPr>
              <w:widowControl w:val="0"/>
              <w:jc w:val="center"/>
              <w:rPr>
                <w:rFonts w:hint="default" w:eastAsia="宋体"/>
                <w:sz w:val="21"/>
                <w:szCs w:val="21"/>
                <w:vertAlign w:val="baseline"/>
                <w:lang w:val="en-US" w:eastAsia="zh-CN"/>
              </w:rPr>
            </w:pPr>
            <w:r>
              <w:rPr>
                <w:rFonts w:hint="eastAsia"/>
                <w:sz w:val="21"/>
                <w:szCs w:val="21"/>
                <w:vertAlign w:val="baseline"/>
                <w:lang w:val="en-US" w:eastAsia="zh-CN"/>
              </w:rPr>
              <w:t>续保要求</w:t>
            </w:r>
          </w:p>
        </w:tc>
        <w:tc>
          <w:tcPr>
            <w:tcW w:w="6090" w:type="dxa"/>
          </w:tcPr>
          <w:p w14:paraId="1D6A9B7E">
            <w:pPr>
              <w:widowControl w:val="0"/>
              <w:jc w:val="both"/>
              <w:rPr>
                <w:rFonts w:hint="eastAsia"/>
                <w:sz w:val="21"/>
                <w:szCs w:val="21"/>
                <w:vertAlign w:val="baseline"/>
              </w:rPr>
            </w:pPr>
            <w:r>
              <w:rPr>
                <w:rFonts w:hint="eastAsia"/>
                <w:sz w:val="21"/>
                <w:szCs w:val="21"/>
                <w:vertAlign w:val="baseline"/>
                <w:lang w:val="en-US" w:eastAsia="zh-CN"/>
              </w:rPr>
              <w:t>针对医院现有1台</w:t>
            </w:r>
            <w:r>
              <w:rPr>
                <w:rFonts w:hint="eastAsia"/>
                <w:sz w:val="21"/>
                <w:szCs w:val="21"/>
                <w:vertAlign w:val="baseline"/>
              </w:rPr>
              <w:t>青藤云幕</w:t>
            </w:r>
            <w:r>
              <w:rPr>
                <w:rFonts w:hint="eastAsia" w:ascii="宋体" w:hAnsi="宋体" w:cs="宋体"/>
                <w:kern w:val="0"/>
                <w:sz w:val="21"/>
                <w:szCs w:val="21"/>
              </w:rPr>
              <w:t>NPatch-3000</w:t>
            </w:r>
            <w:r>
              <w:rPr>
                <w:rFonts w:hint="eastAsia" w:ascii="宋体" w:hAnsi="宋体" w:cs="宋体"/>
                <w:kern w:val="0"/>
                <w:sz w:val="21"/>
                <w:szCs w:val="21"/>
                <w:lang w:val="en-US" w:eastAsia="zh-CN"/>
              </w:rPr>
              <w:t>漏洞防护设备</w:t>
            </w:r>
            <w:r>
              <w:rPr>
                <w:rFonts w:hint="eastAsia" w:cs="宋体"/>
                <w:kern w:val="0"/>
                <w:sz w:val="21"/>
                <w:szCs w:val="21"/>
                <w:lang w:val="en-US" w:eastAsia="zh-CN"/>
              </w:rPr>
              <w:t>，提供三</w:t>
            </w:r>
            <w:r>
              <w:rPr>
                <w:rFonts w:hint="eastAsia" w:ascii="宋体" w:hAnsi="宋体" w:cs="宋体"/>
                <w:kern w:val="0"/>
                <w:sz w:val="21"/>
                <w:szCs w:val="21"/>
              </w:rPr>
              <w:t>年原厂软硬维护服务，</w:t>
            </w:r>
            <w:r>
              <w:rPr>
                <w:rFonts w:hint="eastAsia" w:ascii="宋体" w:hAnsi="宋体" w:cs="宋体"/>
                <w:kern w:val="0"/>
                <w:sz w:val="21"/>
                <w:szCs w:val="21"/>
                <w:lang w:val="en-US" w:eastAsia="zh-CN"/>
              </w:rPr>
              <w:t>提供</w:t>
            </w:r>
            <w:r>
              <w:rPr>
                <w:rFonts w:hint="eastAsia" w:cs="宋体"/>
                <w:kern w:val="0"/>
                <w:sz w:val="21"/>
                <w:szCs w:val="21"/>
                <w:lang w:val="en-US" w:eastAsia="zh-CN"/>
              </w:rPr>
              <w:t>三年</w:t>
            </w:r>
            <w:r>
              <w:rPr>
                <w:rFonts w:hint="eastAsia" w:ascii="宋体" w:hAnsi="宋体" w:cs="宋体"/>
                <w:kern w:val="0"/>
                <w:sz w:val="21"/>
                <w:szCs w:val="21"/>
                <w:lang w:val="en-US" w:eastAsia="zh-CN"/>
              </w:rPr>
              <w:t>与国家漏洞库合作的产品漏洞库规则更新</w:t>
            </w:r>
            <w:r>
              <w:rPr>
                <w:rFonts w:hint="eastAsia" w:cs="宋体"/>
                <w:kern w:val="0"/>
                <w:sz w:val="21"/>
                <w:szCs w:val="21"/>
                <w:lang w:val="en-US" w:eastAsia="zh-CN"/>
              </w:rPr>
              <w:t>服务</w:t>
            </w:r>
            <w:r>
              <w:rPr>
                <w:rFonts w:hint="eastAsia" w:ascii="宋体" w:hAnsi="宋体" w:cs="宋体"/>
                <w:kern w:val="0"/>
                <w:sz w:val="21"/>
                <w:szCs w:val="21"/>
                <w:lang w:val="en-US" w:eastAsia="zh-CN"/>
              </w:rPr>
              <w:t>，以保证有效期内产品漏洞情报库处于最新版状态</w:t>
            </w:r>
            <w:r>
              <w:rPr>
                <w:rFonts w:hint="eastAsia" w:cs="宋体"/>
                <w:kern w:val="0"/>
                <w:sz w:val="21"/>
                <w:szCs w:val="21"/>
                <w:lang w:val="en-US" w:eastAsia="zh-CN"/>
              </w:rPr>
              <w:t>。</w:t>
            </w:r>
          </w:p>
        </w:tc>
      </w:tr>
      <w:tr w14:paraId="26EB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385C2A24">
            <w:pPr>
              <w:widowControl w:val="0"/>
              <w:jc w:val="center"/>
              <w:rPr>
                <w:rFonts w:hint="eastAsia" w:eastAsia="宋体"/>
                <w:sz w:val="21"/>
                <w:szCs w:val="21"/>
                <w:vertAlign w:val="baseline"/>
                <w:lang w:val="en-US" w:eastAsia="zh-CN"/>
              </w:rPr>
            </w:pPr>
            <w:r>
              <w:rPr>
                <w:rFonts w:hint="eastAsia"/>
                <w:sz w:val="21"/>
                <w:szCs w:val="21"/>
                <w:vertAlign w:val="baseline"/>
                <w:lang w:val="en-US" w:eastAsia="zh-CN"/>
              </w:rPr>
              <w:t>2</w:t>
            </w:r>
          </w:p>
        </w:tc>
        <w:tc>
          <w:tcPr>
            <w:tcW w:w="1578" w:type="dxa"/>
            <w:vAlign w:val="center"/>
          </w:tcPr>
          <w:p w14:paraId="7AF5F68A">
            <w:pPr>
              <w:widowControl w:val="0"/>
              <w:jc w:val="center"/>
              <w:rPr>
                <w:rFonts w:hint="default" w:eastAsia="宋体"/>
                <w:sz w:val="21"/>
                <w:szCs w:val="21"/>
                <w:vertAlign w:val="baseline"/>
                <w:lang w:val="en-US" w:eastAsia="zh-CN"/>
              </w:rPr>
            </w:pPr>
            <w:r>
              <w:rPr>
                <w:rFonts w:ascii="Times New Roman" w:hAnsi="Times New Roman"/>
                <w:snapToGrid w:val="0"/>
                <w:color w:val="auto"/>
                <w:kern w:val="0"/>
                <w:sz w:val="21"/>
                <w:szCs w:val="21"/>
              </w:rPr>
              <w:t>▲</w:t>
            </w:r>
            <w:r>
              <w:rPr>
                <w:rFonts w:hint="eastAsia"/>
                <w:sz w:val="21"/>
                <w:szCs w:val="21"/>
                <w:vertAlign w:val="baseline"/>
                <w:lang w:val="en-US" w:eastAsia="zh-CN"/>
              </w:rPr>
              <w:t>服务要求</w:t>
            </w:r>
          </w:p>
        </w:tc>
        <w:tc>
          <w:tcPr>
            <w:tcW w:w="6090" w:type="dxa"/>
          </w:tcPr>
          <w:p w14:paraId="7A059C19">
            <w:pPr>
              <w:widowControl w:val="0"/>
              <w:jc w:val="both"/>
              <w:rPr>
                <w:rFonts w:hint="eastAsia" w:eastAsia="宋体"/>
                <w:sz w:val="21"/>
                <w:szCs w:val="21"/>
                <w:vertAlign w:val="baseline"/>
                <w:lang w:val="en-US" w:eastAsia="zh-CN"/>
              </w:rPr>
            </w:pPr>
            <w:r>
              <w:rPr>
                <w:rFonts w:hint="eastAsia" w:ascii="宋体" w:hAnsi="宋体" w:cs="宋体"/>
                <w:kern w:val="0"/>
                <w:sz w:val="21"/>
                <w:szCs w:val="21"/>
                <w:lang w:val="en-US" w:eastAsia="zh-CN"/>
              </w:rPr>
              <w:t>提供</w:t>
            </w:r>
            <w:r>
              <w:rPr>
                <w:rFonts w:hint="eastAsia" w:ascii="宋体" w:hAnsi="宋体" w:cs="宋体"/>
                <w:kern w:val="0"/>
                <w:sz w:val="21"/>
                <w:szCs w:val="21"/>
              </w:rPr>
              <w:t>400热线电话，官网在线IM客服等方式提供远程技术服务，帮助客户解决产品使用过程中遇到的问题，提供产品咨询、故障处理等技术支持服务</w:t>
            </w:r>
            <w:r>
              <w:rPr>
                <w:rFonts w:hint="eastAsia" w:ascii="宋体" w:hAnsi="宋体" w:cs="宋体"/>
                <w:kern w:val="0"/>
                <w:sz w:val="21"/>
                <w:szCs w:val="21"/>
                <w:lang w:eastAsia="zh-CN"/>
              </w:rPr>
              <w:t>，</w:t>
            </w:r>
            <w:r>
              <w:rPr>
                <w:rFonts w:hint="eastAsia" w:ascii="宋体" w:hAnsi="宋体" w:cs="宋体"/>
                <w:kern w:val="0"/>
                <w:sz w:val="21"/>
                <w:szCs w:val="21"/>
              </w:rPr>
              <w:t>对于紧急问题需提供2小时响应，</w:t>
            </w:r>
            <w:r>
              <w:rPr>
                <w:rFonts w:hint="eastAsia" w:ascii="宋体" w:hAnsi="宋体" w:cs="宋体"/>
                <w:kern w:val="0"/>
                <w:sz w:val="21"/>
                <w:szCs w:val="21"/>
                <w:lang w:val="en-US" w:eastAsia="zh-CN"/>
              </w:rPr>
              <w:t>8</w:t>
            </w:r>
            <w:r>
              <w:rPr>
                <w:rFonts w:hint="eastAsia" w:ascii="宋体" w:hAnsi="宋体" w:cs="宋体"/>
                <w:kern w:val="0"/>
                <w:sz w:val="21"/>
                <w:szCs w:val="21"/>
              </w:rPr>
              <w:t>小时解决问题服务，对于</w:t>
            </w:r>
            <w:r>
              <w:rPr>
                <w:rFonts w:hint="eastAsia" w:ascii="宋体" w:hAnsi="宋体" w:cs="宋体"/>
                <w:kern w:val="0"/>
                <w:sz w:val="21"/>
                <w:szCs w:val="21"/>
                <w:lang w:val="en-US" w:eastAsia="zh-CN"/>
              </w:rPr>
              <w:t>8</w:t>
            </w:r>
            <w:r>
              <w:rPr>
                <w:rFonts w:hint="eastAsia" w:ascii="宋体" w:hAnsi="宋体" w:cs="宋体"/>
                <w:kern w:val="0"/>
                <w:sz w:val="21"/>
                <w:szCs w:val="21"/>
              </w:rPr>
              <w:t>小时内无法解决的，需在</w:t>
            </w:r>
            <w:r>
              <w:rPr>
                <w:rFonts w:hint="eastAsia" w:ascii="宋体" w:hAnsi="宋体" w:cs="宋体"/>
                <w:kern w:val="0"/>
                <w:sz w:val="21"/>
                <w:szCs w:val="21"/>
                <w:lang w:val="en-US" w:eastAsia="zh-CN"/>
              </w:rPr>
              <w:t>12</w:t>
            </w:r>
            <w:r>
              <w:rPr>
                <w:rFonts w:hint="eastAsia" w:ascii="宋体" w:hAnsi="宋体" w:cs="宋体"/>
                <w:kern w:val="0"/>
                <w:sz w:val="21"/>
                <w:szCs w:val="21"/>
              </w:rPr>
              <w:t>小时内提供备机及备品备件</w:t>
            </w:r>
            <w:r>
              <w:rPr>
                <w:rFonts w:hint="eastAsia" w:ascii="宋体" w:hAnsi="宋体" w:cs="宋体"/>
                <w:kern w:val="0"/>
                <w:sz w:val="21"/>
                <w:szCs w:val="21"/>
                <w:lang w:eastAsia="zh-CN"/>
              </w:rPr>
              <w:t>，</w:t>
            </w:r>
            <w:r>
              <w:rPr>
                <w:rFonts w:hint="eastAsia" w:ascii="宋体" w:hAnsi="宋体" w:cs="宋体"/>
                <w:kern w:val="0"/>
                <w:sz w:val="21"/>
                <w:szCs w:val="21"/>
              </w:rPr>
              <w:t>验收时需提供原厂商服务承诺函并通过800等进行确认</w:t>
            </w:r>
            <w:r>
              <w:rPr>
                <w:rFonts w:hint="eastAsia" w:ascii="宋体" w:hAnsi="宋体" w:cs="宋体"/>
                <w:kern w:val="0"/>
                <w:sz w:val="21"/>
                <w:szCs w:val="21"/>
                <w:lang w:eastAsia="zh-CN"/>
              </w:rPr>
              <w:t>。</w:t>
            </w:r>
          </w:p>
        </w:tc>
      </w:tr>
      <w:tr w14:paraId="3137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73E79670">
            <w:pPr>
              <w:widowControl w:val="0"/>
              <w:jc w:val="center"/>
              <w:rPr>
                <w:rFonts w:hint="default"/>
                <w:sz w:val="21"/>
                <w:szCs w:val="21"/>
                <w:vertAlign w:val="baseline"/>
                <w:lang w:val="en-US" w:eastAsia="zh-CN"/>
              </w:rPr>
            </w:pPr>
            <w:r>
              <w:rPr>
                <w:rFonts w:hint="eastAsia"/>
                <w:sz w:val="21"/>
                <w:szCs w:val="21"/>
                <w:vertAlign w:val="baseline"/>
                <w:lang w:val="en-US" w:eastAsia="zh-CN"/>
              </w:rPr>
              <w:t>3</w:t>
            </w:r>
          </w:p>
        </w:tc>
        <w:tc>
          <w:tcPr>
            <w:tcW w:w="1578" w:type="dxa"/>
            <w:vAlign w:val="center"/>
          </w:tcPr>
          <w:p w14:paraId="3CA4DF33">
            <w:pPr>
              <w:widowControl w:val="0"/>
              <w:jc w:val="center"/>
              <w:rPr>
                <w:rFonts w:ascii="Times New Roman" w:hAnsi="Times New Roman"/>
                <w:snapToGrid w:val="0"/>
                <w:color w:val="auto"/>
                <w:kern w:val="0"/>
                <w:sz w:val="21"/>
                <w:szCs w:val="21"/>
              </w:rPr>
            </w:pPr>
            <w:r>
              <w:rPr>
                <w:rFonts w:hint="eastAsia"/>
                <w:sz w:val="21"/>
                <w:szCs w:val="21"/>
                <w:lang w:val="en-US" w:eastAsia="zh-CN"/>
              </w:rPr>
              <w:t>服务承诺函</w:t>
            </w:r>
          </w:p>
        </w:tc>
        <w:tc>
          <w:tcPr>
            <w:tcW w:w="6090" w:type="dxa"/>
          </w:tcPr>
          <w:p w14:paraId="112E9C2A">
            <w:pPr>
              <w:widowControl w:val="0"/>
              <w:jc w:val="both"/>
              <w:rPr>
                <w:rFonts w:hint="eastAsia" w:ascii="宋体" w:hAnsi="宋体" w:cs="宋体"/>
                <w:kern w:val="0"/>
                <w:sz w:val="21"/>
                <w:szCs w:val="21"/>
                <w:lang w:val="en-US" w:eastAsia="zh-CN"/>
              </w:rPr>
            </w:pPr>
            <w:r>
              <w:rPr>
                <w:rFonts w:hint="eastAsia"/>
                <w:sz w:val="21"/>
                <w:szCs w:val="21"/>
                <w:lang w:val="en-US" w:eastAsia="zh-CN"/>
              </w:rPr>
              <w:t>合同签订时，提供原厂商针对本项目的服务承诺函</w:t>
            </w:r>
          </w:p>
        </w:tc>
      </w:tr>
    </w:tbl>
    <w:p w14:paraId="770A6946">
      <w:pPr>
        <w:rPr>
          <w:rFonts w:hint="eastAsia"/>
          <w:sz w:val="21"/>
          <w:szCs w:val="21"/>
        </w:rPr>
      </w:pPr>
    </w:p>
    <w:p w14:paraId="7EA211E6">
      <w:pPr>
        <w:pStyle w:val="5"/>
        <w:bidi w:val="0"/>
        <w:rPr>
          <w:rFonts w:hint="default" w:eastAsia="黑体"/>
          <w:sz w:val="21"/>
          <w:szCs w:val="21"/>
          <w:lang w:val="en-US" w:eastAsia="zh-CN"/>
        </w:rPr>
      </w:pPr>
      <w:r>
        <w:rPr>
          <w:rFonts w:hint="eastAsia"/>
          <w:sz w:val="21"/>
          <w:szCs w:val="21"/>
        </w:rPr>
        <w:t>Waf设备续保</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38"/>
        <w:gridCol w:w="6090"/>
      </w:tblGrid>
      <w:tr w14:paraId="3621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14:paraId="598486F0">
            <w:pPr>
              <w:widowControl w:val="0"/>
              <w:jc w:val="center"/>
              <w:rPr>
                <w:rFonts w:hint="eastAsia" w:eastAsia="宋体"/>
                <w:sz w:val="21"/>
                <w:szCs w:val="21"/>
                <w:vertAlign w:val="baseline"/>
                <w:lang w:val="en-US" w:eastAsia="zh-CN"/>
              </w:rPr>
            </w:pPr>
            <w:r>
              <w:rPr>
                <w:rFonts w:hint="eastAsia"/>
                <w:sz w:val="21"/>
                <w:szCs w:val="21"/>
                <w:vertAlign w:val="baseline"/>
                <w:lang w:val="en-US" w:eastAsia="zh-CN"/>
              </w:rPr>
              <w:t>序号</w:t>
            </w:r>
          </w:p>
        </w:tc>
        <w:tc>
          <w:tcPr>
            <w:tcW w:w="1538" w:type="dxa"/>
          </w:tcPr>
          <w:p w14:paraId="39284CBE">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技术指标</w:t>
            </w:r>
          </w:p>
        </w:tc>
        <w:tc>
          <w:tcPr>
            <w:tcW w:w="6090" w:type="dxa"/>
          </w:tcPr>
          <w:p w14:paraId="4091B9E0">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指标要求</w:t>
            </w:r>
          </w:p>
        </w:tc>
      </w:tr>
      <w:tr w14:paraId="1AE0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shd w:val="clear" w:color="auto" w:fill="auto"/>
            <w:vAlign w:val="top"/>
          </w:tcPr>
          <w:p w14:paraId="61694478">
            <w:pPr>
              <w:widowControl w:val="0"/>
              <w:jc w:val="center"/>
              <w:rPr>
                <w:rFonts w:hint="eastAsia" w:ascii="宋体" w:hAnsi="宋体" w:eastAsia="宋体" w:cs="宋体"/>
                <w:sz w:val="21"/>
                <w:szCs w:val="21"/>
                <w:vertAlign w:val="baseline"/>
                <w:lang w:val="en-US" w:eastAsia="zh-CN" w:bidi="ar-SA"/>
              </w:rPr>
            </w:pPr>
            <w:r>
              <w:rPr>
                <w:rFonts w:hint="eastAsia"/>
                <w:sz w:val="21"/>
                <w:szCs w:val="21"/>
                <w:vertAlign w:val="baseline"/>
                <w:lang w:val="en-US" w:eastAsia="zh-CN"/>
              </w:rPr>
              <w:t>1</w:t>
            </w:r>
          </w:p>
        </w:tc>
        <w:tc>
          <w:tcPr>
            <w:tcW w:w="1538" w:type="dxa"/>
            <w:shd w:val="clear" w:color="auto" w:fill="auto"/>
            <w:vAlign w:val="top"/>
          </w:tcPr>
          <w:p w14:paraId="6CF293D1">
            <w:pPr>
              <w:widowControl w:val="0"/>
              <w:jc w:val="both"/>
              <w:rPr>
                <w:rFonts w:hint="eastAsia" w:ascii="宋体" w:hAnsi="宋体" w:eastAsia="宋体" w:cs="宋体"/>
                <w:sz w:val="21"/>
                <w:szCs w:val="21"/>
                <w:vertAlign w:val="baseline"/>
                <w:lang w:val="en-US" w:eastAsia="zh-CN" w:bidi="ar-SA"/>
              </w:rPr>
            </w:pPr>
            <w:r>
              <w:rPr>
                <w:rFonts w:hint="eastAsia"/>
                <w:sz w:val="21"/>
                <w:szCs w:val="21"/>
                <w:vertAlign w:val="baseline"/>
                <w:lang w:val="en-US" w:eastAsia="zh-CN"/>
              </w:rPr>
              <w:t>续保要求</w:t>
            </w:r>
          </w:p>
        </w:tc>
        <w:tc>
          <w:tcPr>
            <w:tcW w:w="6090" w:type="dxa"/>
          </w:tcPr>
          <w:p w14:paraId="318628DB">
            <w:pPr>
              <w:widowControl w:val="0"/>
              <w:jc w:val="both"/>
              <w:rPr>
                <w:rFonts w:hint="default"/>
                <w:sz w:val="21"/>
                <w:szCs w:val="21"/>
                <w:vertAlign w:val="baseline"/>
                <w:lang w:val="en-US" w:eastAsia="zh-CN"/>
              </w:rPr>
            </w:pPr>
            <w:r>
              <w:rPr>
                <w:rFonts w:hint="eastAsia"/>
                <w:sz w:val="21"/>
                <w:szCs w:val="21"/>
                <w:vertAlign w:val="baseline"/>
                <w:lang w:val="en-US" w:eastAsia="zh-CN"/>
              </w:rPr>
              <w:t>针对医院现有1台安恒</w:t>
            </w:r>
            <w:r>
              <w:rPr>
                <w:rFonts w:hint="eastAsia"/>
                <w:sz w:val="21"/>
                <w:szCs w:val="21"/>
                <w:highlight w:val="none"/>
                <w:lang w:val="en-US" w:eastAsia="zh-CN"/>
              </w:rPr>
              <w:t>Waf设备续保到</w:t>
            </w:r>
            <w:r>
              <w:rPr>
                <w:rFonts w:hint="eastAsia"/>
                <w:sz w:val="21"/>
                <w:szCs w:val="21"/>
                <w:vertAlign w:val="baseline"/>
                <w:lang w:val="en-US" w:eastAsia="zh-CN"/>
              </w:rPr>
              <w:t>2028年12月31日</w:t>
            </w:r>
          </w:p>
        </w:tc>
      </w:tr>
      <w:tr w14:paraId="090F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14:paraId="749DC559">
            <w:pPr>
              <w:widowControl w:val="0"/>
              <w:jc w:val="center"/>
              <w:rPr>
                <w:rFonts w:hint="default"/>
                <w:sz w:val="21"/>
                <w:szCs w:val="21"/>
                <w:vertAlign w:val="baseline"/>
                <w:lang w:val="en-US" w:eastAsia="zh-CN"/>
              </w:rPr>
            </w:pPr>
            <w:r>
              <w:rPr>
                <w:rFonts w:hint="eastAsia"/>
                <w:sz w:val="21"/>
                <w:szCs w:val="21"/>
                <w:vertAlign w:val="baseline"/>
                <w:lang w:val="en-US" w:eastAsia="zh-CN"/>
              </w:rPr>
              <w:t>2</w:t>
            </w:r>
          </w:p>
        </w:tc>
        <w:tc>
          <w:tcPr>
            <w:tcW w:w="1538" w:type="dxa"/>
          </w:tcPr>
          <w:p w14:paraId="28BC66F1">
            <w:pPr>
              <w:widowControl w:val="0"/>
              <w:jc w:val="both"/>
              <w:rPr>
                <w:rFonts w:hint="default"/>
                <w:sz w:val="21"/>
                <w:szCs w:val="21"/>
                <w:vertAlign w:val="baseline"/>
                <w:lang w:val="en-US" w:eastAsia="zh-CN"/>
              </w:rPr>
            </w:pPr>
            <w:r>
              <w:rPr>
                <w:rFonts w:ascii="Times New Roman" w:hAnsi="Times New Roman"/>
                <w:snapToGrid w:val="0"/>
                <w:color w:val="auto"/>
                <w:kern w:val="0"/>
                <w:sz w:val="21"/>
                <w:szCs w:val="21"/>
              </w:rPr>
              <w:t>▲</w:t>
            </w:r>
            <w:r>
              <w:rPr>
                <w:rFonts w:hint="eastAsia"/>
                <w:sz w:val="21"/>
                <w:szCs w:val="21"/>
                <w:vertAlign w:val="baseline"/>
                <w:lang w:val="en-US" w:eastAsia="zh-CN"/>
              </w:rPr>
              <w:t>服务要求</w:t>
            </w:r>
          </w:p>
        </w:tc>
        <w:tc>
          <w:tcPr>
            <w:tcW w:w="6090" w:type="dxa"/>
          </w:tcPr>
          <w:p w14:paraId="6B71AA6D">
            <w:pPr>
              <w:widowControl w:val="0"/>
              <w:jc w:val="both"/>
              <w:rPr>
                <w:rFonts w:hint="eastAsia"/>
                <w:sz w:val="21"/>
                <w:szCs w:val="21"/>
                <w:vertAlign w:val="baseline"/>
                <w:lang w:val="en-US" w:eastAsia="zh-CN"/>
              </w:rPr>
            </w:pPr>
            <w:r>
              <w:rPr>
                <w:rFonts w:hint="eastAsia"/>
                <w:sz w:val="21"/>
                <w:szCs w:val="21"/>
                <w:vertAlign w:val="baseline"/>
                <w:lang w:val="en-US" w:eastAsia="zh-CN"/>
              </w:rPr>
              <w:t>网络安全设备维保要求对医院的网络安全设备提供整机维护服务，在保修期内发生的故障，中标供应商需全力维修至设备正常运行。要求中标人在维保期内提供：包括但不限于软件版本、特征库升级及硬件维修等服务。</w:t>
            </w:r>
          </w:p>
          <w:p w14:paraId="30B016A5">
            <w:pPr>
              <w:widowControl w:val="0"/>
              <w:jc w:val="both"/>
              <w:rPr>
                <w:rFonts w:hint="eastAsia"/>
                <w:sz w:val="21"/>
                <w:szCs w:val="21"/>
                <w:vertAlign w:val="baseline"/>
                <w:lang w:val="en-US" w:eastAsia="zh-CN"/>
              </w:rPr>
            </w:pPr>
            <w:r>
              <w:rPr>
                <w:rFonts w:hint="eastAsia"/>
                <w:sz w:val="21"/>
                <w:szCs w:val="21"/>
                <w:vertAlign w:val="baseline"/>
                <w:lang w:val="en-US" w:eastAsia="zh-CN"/>
              </w:rPr>
              <w:t>中标后3个工作日内提供原厂质保承诺函</w:t>
            </w:r>
          </w:p>
        </w:tc>
      </w:tr>
      <w:tr w14:paraId="6C2B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14:paraId="35483662">
            <w:pPr>
              <w:widowControl w:val="0"/>
              <w:jc w:val="center"/>
              <w:rPr>
                <w:rFonts w:hint="default"/>
                <w:sz w:val="21"/>
                <w:szCs w:val="21"/>
                <w:vertAlign w:val="baseline"/>
                <w:lang w:val="en-US" w:eastAsia="zh-CN"/>
              </w:rPr>
            </w:pPr>
            <w:r>
              <w:rPr>
                <w:rFonts w:hint="eastAsia"/>
                <w:sz w:val="21"/>
                <w:szCs w:val="21"/>
                <w:vertAlign w:val="baseline"/>
                <w:lang w:val="en-US" w:eastAsia="zh-CN"/>
              </w:rPr>
              <w:t>3</w:t>
            </w:r>
          </w:p>
        </w:tc>
        <w:tc>
          <w:tcPr>
            <w:tcW w:w="1538" w:type="dxa"/>
          </w:tcPr>
          <w:p w14:paraId="648DB353">
            <w:pPr>
              <w:widowControl w:val="0"/>
              <w:jc w:val="both"/>
              <w:rPr>
                <w:rFonts w:ascii="Times New Roman" w:hAnsi="Times New Roman"/>
                <w:snapToGrid w:val="0"/>
                <w:color w:val="auto"/>
                <w:kern w:val="0"/>
                <w:sz w:val="21"/>
                <w:szCs w:val="21"/>
              </w:rPr>
            </w:pPr>
            <w:r>
              <w:rPr>
                <w:rFonts w:hint="eastAsia"/>
                <w:sz w:val="21"/>
                <w:szCs w:val="21"/>
                <w:lang w:val="en-US" w:eastAsia="zh-CN"/>
              </w:rPr>
              <w:t>服务承诺函</w:t>
            </w:r>
          </w:p>
        </w:tc>
        <w:tc>
          <w:tcPr>
            <w:tcW w:w="6090" w:type="dxa"/>
          </w:tcPr>
          <w:p w14:paraId="63109957">
            <w:pPr>
              <w:widowControl w:val="0"/>
              <w:jc w:val="both"/>
              <w:rPr>
                <w:rFonts w:hint="eastAsia"/>
                <w:sz w:val="21"/>
                <w:szCs w:val="21"/>
                <w:vertAlign w:val="baseline"/>
                <w:lang w:val="en-US" w:eastAsia="zh-CN"/>
              </w:rPr>
            </w:pPr>
            <w:r>
              <w:rPr>
                <w:rFonts w:hint="eastAsia"/>
                <w:sz w:val="21"/>
                <w:szCs w:val="21"/>
                <w:lang w:val="en-US" w:eastAsia="zh-CN"/>
              </w:rPr>
              <w:t>合同签订时，提供原厂商针对本项目的服务承诺函</w:t>
            </w:r>
          </w:p>
        </w:tc>
      </w:tr>
    </w:tbl>
    <w:p w14:paraId="3853BB77">
      <w:pPr>
        <w:rPr>
          <w:rFonts w:hint="eastAsia"/>
          <w:sz w:val="21"/>
          <w:szCs w:val="21"/>
        </w:rPr>
      </w:pPr>
    </w:p>
    <w:p w14:paraId="22A609B9">
      <w:pPr>
        <w:pStyle w:val="5"/>
        <w:bidi w:val="0"/>
        <w:rPr>
          <w:rFonts w:hint="default" w:eastAsia="黑体"/>
          <w:sz w:val="21"/>
          <w:szCs w:val="21"/>
          <w:lang w:val="en-US" w:eastAsia="zh-CN"/>
        </w:rPr>
      </w:pPr>
      <w:r>
        <w:rPr>
          <w:rFonts w:hint="eastAsia"/>
          <w:sz w:val="21"/>
          <w:szCs w:val="21"/>
        </w:rPr>
        <w:t>日志审计设备续保</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548"/>
        <w:gridCol w:w="6090"/>
      </w:tblGrid>
      <w:tr w14:paraId="35CA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tcPr>
          <w:p w14:paraId="062390B7">
            <w:pPr>
              <w:widowControl w:val="0"/>
              <w:jc w:val="center"/>
              <w:rPr>
                <w:rFonts w:hint="eastAsia" w:eastAsia="宋体"/>
                <w:sz w:val="21"/>
                <w:szCs w:val="21"/>
                <w:vertAlign w:val="baseline"/>
                <w:lang w:val="en-US" w:eastAsia="zh-CN"/>
              </w:rPr>
            </w:pPr>
            <w:r>
              <w:rPr>
                <w:rFonts w:hint="eastAsia"/>
                <w:sz w:val="21"/>
                <w:szCs w:val="21"/>
                <w:vertAlign w:val="baseline"/>
                <w:lang w:val="en-US" w:eastAsia="zh-CN"/>
              </w:rPr>
              <w:t>序号</w:t>
            </w:r>
          </w:p>
        </w:tc>
        <w:tc>
          <w:tcPr>
            <w:tcW w:w="1548" w:type="dxa"/>
          </w:tcPr>
          <w:p w14:paraId="49D51159">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技术指标</w:t>
            </w:r>
          </w:p>
        </w:tc>
        <w:tc>
          <w:tcPr>
            <w:tcW w:w="6090" w:type="dxa"/>
          </w:tcPr>
          <w:p w14:paraId="6284A77A">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指标要求</w:t>
            </w:r>
          </w:p>
        </w:tc>
      </w:tr>
      <w:tr w14:paraId="5FE9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shd w:val="clear" w:color="auto" w:fill="auto"/>
            <w:vAlign w:val="center"/>
          </w:tcPr>
          <w:p w14:paraId="11D5E52B">
            <w:pPr>
              <w:widowControl w:val="0"/>
              <w:jc w:val="center"/>
              <w:rPr>
                <w:rFonts w:hint="eastAsia" w:ascii="宋体" w:hAnsi="宋体" w:eastAsia="宋体" w:cs="宋体"/>
                <w:sz w:val="21"/>
                <w:szCs w:val="21"/>
                <w:vertAlign w:val="baseline"/>
                <w:lang w:val="en-US" w:eastAsia="zh-CN" w:bidi="ar-SA"/>
              </w:rPr>
            </w:pPr>
            <w:r>
              <w:rPr>
                <w:rFonts w:hint="eastAsia"/>
                <w:sz w:val="21"/>
                <w:szCs w:val="21"/>
                <w:vertAlign w:val="baseline"/>
                <w:lang w:val="en-US" w:eastAsia="zh-CN"/>
              </w:rPr>
              <w:t>1</w:t>
            </w:r>
          </w:p>
        </w:tc>
        <w:tc>
          <w:tcPr>
            <w:tcW w:w="1548" w:type="dxa"/>
            <w:shd w:val="clear" w:color="auto" w:fill="auto"/>
            <w:vAlign w:val="center"/>
          </w:tcPr>
          <w:p w14:paraId="740B1945">
            <w:pPr>
              <w:widowControl w:val="0"/>
              <w:jc w:val="center"/>
              <w:rPr>
                <w:rFonts w:hint="eastAsia" w:ascii="宋体" w:hAnsi="宋体" w:eastAsia="宋体" w:cs="宋体"/>
                <w:sz w:val="21"/>
                <w:szCs w:val="21"/>
                <w:vertAlign w:val="baseline"/>
                <w:lang w:val="en-US" w:eastAsia="zh-CN" w:bidi="ar-SA"/>
              </w:rPr>
            </w:pPr>
            <w:r>
              <w:rPr>
                <w:rFonts w:hint="eastAsia"/>
                <w:sz w:val="21"/>
                <w:szCs w:val="21"/>
                <w:vertAlign w:val="baseline"/>
                <w:lang w:val="en-US" w:eastAsia="zh-CN"/>
              </w:rPr>
              <w:t>续保要求</w:t>
            </w:r>
          </w:p>
        </w:tc>
        <w:tc>
          <w:tcPr>
            <w:tcW w:w="6090" w:type="dxa"/>
          </w:tcPr>
          <w:p w14:paraId="3720D45E">
            <w:pPr>
              <w:widowControl w:val="0"/>
              <w:jc w:val="both"/>
              <w:rPr>
                <w:rFonts w:hint="default"/>
                <w:sz w:val="21"/>
                <w:szCs w:val="21"/>
                <w:vertAlign w:val="baseline"/>
                <w:lang w:val="en-US" w:eastAsia="zh-CN"/>
              </w:rPr>
            </w:pPr>
            <w:r>
              <w:rPr>
                <w:rFonts w:hint="eastAsia"/>
                <w:sz w:val="21"/>
                <w:szCs w:val="21"/>
                <w:vertAlign w:val="baseline"/>
                <w:lang w:val="en-US" w:eastAsia="zh-CN"/>
              </w:rPr>
              <w:t>针对医院现有1台安恒</w:t>
            </w:r>
            <w:r>
              <w:rPr>
                <w:rFonts w:hint="eastAsia"/>
                <w:sz w:val="21"/>
                <w:szCs w:val="21"/>
                <w:highlight w:val="none"/>
                <w:lang w:val="en-US" w:eastAsia="zh-CN"/>
              </w:rPr>
              <w:t>日志审计设备续保到</w:t>
            </w:r>
            <w:r>
              <w:rPr>
                <w:rFonts w:hint="eastAsia"/>
                <w:sz w:val="21"/>
                <w:szCs w:val="21"/>
                <w:vertAlign w:val="baseline"/>
                <w:lang w:val="en-US" w:eastAsia="zh-CN"/>
              </w:rPr>
              <w:t>2028年12月31日</w:t>
            </w:r>
          </w:p>
        </w:tc>
      </w:tr>
      <w:tr w14:paraId="70D4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5D3853C4">
            <w:pPr>
              <w:widowControl w:val="0"/>
              <w:jc w:val="center"/>
              <w:rPr>
                <w:rFonts w:hint="default"/>
                <w:sz w:val="21"/>
                <w:szCs w:val="21"/>
                <w:vertAlign w:val="baseline"/>
                <w:lang w:val="en-US" w:eastAsia="zh-CN"/>
              </w:rPr>
            </w:pPr>
            <w:r>
              <w:rPr>
                <w:rFonts w:hint="eastAsia"/>
                <w:sz w:val="21"/>
                <w:szCs w:val="21"/>
                <w:vertAlign w:val="baseline"/>
                <w:lang w:val="en-US" w:eastAsia="zh-CN"/>
              </w:rPr>
              <w:t>2</w:t>
            </w:r>
          </w:p>
        </w:tc>
        <w:tc>
          <w:tcPr>
            <w:tcW w:w="1548" w:type="dxa"/>
            <w:vAlign w:val="center"/>
          </w:tcPr>
          <w:p w14:paraId="16C128D7">
            <w:pPr>
              <w:widowControl w:val="0"/>
              <w:jc w:val="center"/>
              <w:rPr>
                <w:rFonts w:hint="default"/>
                <w:sz w:val="21"/>
                <w:szCs w:val="21"/>
                <w:vertAlign w:val="baseline"/>
                <w:lang w:val="en-US" w:eastAsia="zh-CN"/>
              </w:rPr>
            </w:pPr>
            <w:r>
              <w:rPr>
                <w:rFonts w:ascii="Times New Roman" w:hAnsi="Times New Roman"/>
                <w:snapToGrid w:val="0"/>
                <w:color w:val="auto"/>
                <w:kern w:val="0"/>
                <w:sz w:val="21"/>
                <w:szCs w:val="21"/>
              </w:rPr>
              <w:t>▲</w:t>
            </w:r>
            <w:r>
              <w:rPr>
                <w:rFonts w:hint="eastAsia"/>
                <w:sz w:val="21"/>
                <w:szCs w:val="21"/>
                <w:vertAlign w:val="baseline"/>
                <w:lang w:val="en-US" w:eastAsia="zh-CN"/>
              </w:rPr>
              <w:t>服务要求</w:t>
            </w:r>
          </w:p>
        </w:tc>
        <w:tc>
          <w:tcPr>
            <w:tcW w:w="6090" w:type="dxa"/>
          </w:tcPr>
          <w:p w14:paraId="23DCE465">
            <w:pPr>
              <w:widowControl w:val="0"/>
              <w:jc w:val="both"/>
              <w:rPr>
                <w:rFonts w:hint="eastAsia"/>
                <w:sz w:val="21"/>
                <w:szCs w:val="21"/>
                <w:vertAlign w:val="baseline"/>
                <w:lang w:val="en-US" w:eastAsia="zh-CN"/>
              </w:rPr>
            </w:pPr>
            <w:r>
              <w:rPr>
                <w:rFonts w:hint="eastAsia"/>
                <w:sz w:val="21"/>
                <w:szCs w:val="21"/>
                <w:vertAlign w:val="baseline"/>
                <w:lang w:val="en-US" w:eastAsia="zh-CN"/>
              </w:rPr>
              <w:t>网络安全设备维保要求对医院的网络安全设备提供整机维护服务，在保修期内发生的故障，中标供应商需全力维修至设备正常运行。要求中标人在维保期内提供：包括但不限于软件版本、特征库升级及硬件维修等服务。</w:t>
            </w:r>
          </w:p>
          <w:p w14:paraId="50B4DBA4">
            <w:pPr>
              <w:widowControl w:val="0"/>
              <w:jc w:val="both"/>
              <w:rPr>
                <w:rFonts w:hint="eastAsia"/>
                <w:sz w:val="21"/>
                <w:szCs w:val="21"/>
                <w:vertAlign w:val="baseline"/>
                <w:lang w:val="en-US" w:eastAsia="zh-CN"/>
              </w:rPr>
            </w:pPr>
            <w:r>
              <w:rPr>
                <w:rFonts w:hint="eastAsia"/>
                <w:sz w:val="21"/>
                <w:szCs w:val="21"/>
                <w:vertAlign w:val="baseline"/>
                <w:lang w:val="en-US" w:eastAsia="zh-CN"/>
              </w:rPr>
              <w:t>中标后3个工作日内提供原厂质保承诺函</w:t>
            </w:r>
          </w:p>
        </w:tc>
      </w:tr>
      <w:tr w14:paraId="3996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1CFDC43C">
            <w:pPr>
              <w:widowControl w:val="0"/>
              <w:jc w:val="center"/>
              <w:rPr>
                <w:rFonts w:hint="default"/>
                <w:sz w:val="21"/>
                <w:szCs w:val="21"/>
                <w:vertAlign w:val="baseline"/>
                <w:lang w:val="en-US" w:eastAsia="zh-CN"/>
              </w:rPr>
            </w:pPr>
            <w:r>
              <w:rPr>
                <w:rFonts w:hint="eastAsia"/>
                <w:sz w:val="21"/>
                <w:szCs w:val="21"/>
                <w:vertAlign w:val="baseline"/>
                <w:lang w:val="en-US" w:eastAsia="zh-CN"/>
              </w:rPr>
              <w:t>3</w:t>
            </w:r>
          </w:p>
        </w:tc>
        <w:tc>
          <w:tcPr>
            <w:tcW w:w="1548" w:type="dxa"/>
            <w:vAlign w:val="center"/>
          </w:tcPr>
          <w:p w14:paraId="2903A3E3">
            <w:pPr>
              <w:widowControl w:val="0"/>
              <w:jc w:val="center"/>
              <w:rPr>
                <w:rFonts w:ascii="Times New Roman" w:hAnsi="Times New Roman"/>
                <w:snapToGrid w:val="0"/>
                <w:color w:val="auto"/>
                <w:kern w:val="0"/>
                <w:sz w:val="21"/>
                <w:szCs w:val="21"/>
              </w:rPr>
            </w:pPr>
            <w:r>
              <w:rPr>
                <w:rFonts w:hint="eastAsia"/>
                <w:sz w:val="21"/>
                <w:szCs w:val="21"/>
                <w:lang w:val="en-US" w:eastAsia="zh-CN"/>
              </w:rPr>
              <w:t>服务承诺函</w:t>
            </w:r>
          </w:p>
        </w:tc>
        <w:tc>
          <w:tcPr>
            <w:tcW w:w="6090" w:type="dxa"/>
          </w:tcPr>
          <w:p w14:paraId="67FCCB75">
            <w:pPr>
              <w:widowControl w:val="0"/>
              <w:jc w:val="both"/>
              <w:rPr>
                <w:rFonts w:hint="eastAsia"/>
                <w:sz w:val="21"/>
                <w:szCs w:val="21"/>
                <w:vertAlign w:val="baseline"/>
                <w:lang w:val="en-US" w:eastAsia="zh-CN"/>
              </w:rPr>
            </w:pPr>
            <w:r>
              <w:rPr>
                <w:rFonts w:hint="eastAsia"/>
                <w:sz w:val="21"/>
                <w:szCs w:val="21"/>
                <w:lang w:val="en-US" w:eastAsia="zh-CN"/>
              </w:rPr>
              <w:t>合同签订时，提供原厂商针对本项目的服务承诺函</w:t>
            </w:r>
          </w:p>
        </w:tc>
      </w:tr>
    </w:tbl>
    <w:p w14:paraId="25BDCFDB">
      <w:pPr>
        <w:rPr>
          <w:rFonts w:hint="eastAsia"/>
          <w:sz w:val="21"/>
          <w:szCs w:val="21"/>
        </w:rPr>
      </w:pPr>
    </w:p>
    <w:p w14:paraId="3A0A9712">
      <w:pPr>
        <w:pStyle w:val="5"/>
        <w:bidi w:val="0"/>
        <w:rPr>
          <w:rFonts w:hint="default" w:eastAsia="黑体"/>
          <w:sz w:val="21"/>
          <w:szCs w:val="21"/>
          <w:lang w:val="en-US" w:eastAsia="zh-CN"/>
        </w:rPr>
      </w:pPr>
      <w:r>
        <w:rPr>
          <w:rFonts w:hint="eastAsia"/>
          <w:sz w:val="21"/>
          <w:szCs w:val="21"/>
        </w:rPr>
        <w:t>数据库审计设备续保</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498"/>
        <w:gridCol w:w="6090"/>
      </w:tblGrid>
      <w:tr w14:paraId="72FA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17" w:type="dxa"/>
          </w:tcPr>
          <w:p w14:paraId="4A385AAD">
            <w:pPr>
              <w:widowControl w:val="0"/>
              <w:jc w:val="center"/>
              <w:rPr>
                <w:rFonts w:hint="eastAsia" w:eastAsia="宋体"/>
                <w:sz w:val="21"/>
                <w:szCs w:val="21"/>
                <w:vertAlign w:val="baseline"/>
                <w:lang w:val="en-US" w:eastAsia="zh-CN"/>
              </w:rPr>
            </w:pPr>
            <w:r>
              <w:rPr>
                <w:rFonts w:hint="eastAsia"/>
                <w:sz w:val="21"/>
                <w:szCs w:val="21"/>
                <w:vertAlign w:val="baseline"/>
                <w:lang w:val="en-US" w:eastAsia="zh-CN"/>
              </w:rPr>
              <w:t>序号</w:t>
            </w:r>
          </w:p>
        </w:tc>
        <w:tc>
          <w:tcPr>
            <w:tcW w:w="1498" w:type="dxa"/>
          </w:tcPr>
          <w:p w14:paraId="492C6B6B">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技术指标</w:t>
            </w:r>
          </w:p>
        </w:tc>
        <w:tc>
          <w:tcPr>
            <w:tcW w:w="6090" w:type="dxa"/>
          </w:tcPr>
          <w:p w14:paraId="643B2EDD">
            <w:pPr>
              <w:widowControl w:val="0"/>
              <w:jc w:val="both"/>
              <w:rPr>
                <w:rFonts w:hint="default" w:eastAsia="宋体"/>
                <w:sz w:val="21"/>
                <w:szCs w:val="21"/>
                <w:vertAlign w:val="baseline"/>
                <w:lang w:val="en-US" w:eastAsia="zh-CN"/>
              </w:rPr>
            </w:pPr>
            <w:r>
              <w:rPr>
                <w:rFonts w:hint="eastAsia"/>
                <w:sz w:val="21"/>
                <w:szCs w:val="21"/>
                <w:vertAlign w:val="baseline"/>
                <w:lang w:val="en-US" w:eastAsia="zh-CN"/>
              </w:rPr>
              <w:t>指标要求</w:t>
            </w:r>
          </w:p>
        </w:tc>
      </w:tr>
      <w:tr w14:paraId="5082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shd w:val="clear" w:color="auto" w:fill="auto"/>
            <w:vAlign w:val="center"/>
          </w:tcPr>
          <w:p w14:paraId="43BA924D">
            <w:pPr>
              <w:widowControl w:val="0"/>
              <w:jc w:val="center"/>
              <w:rPr>
                <w:rFonts w:hint="eastAsia" w:ascii="宋体" w:hAnsi="宋体" w:eastAsia="宋体" w:cs="宋体"/>
                <w:sz w:val="21"/>
                <w:szCs w:val="21"/>
                <w:vertAlign w:val="baseline"/>
                <w:lang w:val="en-US" w:eastAsia="zh-CN" w:bidi="ar-SA"/>
              </w:rPr>
            </w:pPr>
            <w:r>
              <w:rPr>
                <w:rFonts w:hint="eastAsia"/>
                <w:sz w:val="21"/>
                <w:szCs w:val="21"/>
                <w:vertAlign w:val="baseline"/>
                <w:lang w:val="en-US" w:eastAsia="zh-CN"/>
              </w:rPr>
              <w:t>1</w:t>
            </w:r>
          </w:p>
        </w:tc>
        <w:tc>
          <w:tcPr>
            <w:tcW w:w="1498" w:type="dxa"/>
            <w:shd w:val="clear" w:color="auto" w:fill="auto"/>
            <w:vAlign w:val="center"/>
          </w:tcPr>
          <w:p w14:paraId="1A5B619B">
            <w:pPr>
              <w:widowControl w:val="0"/>
              <w:jc w:val="center"/>
              <w:rPr>
                <w:rFonts w:hint="eastAsia" w:ascii="宋体" w:hAnsi="宋体" w:eastAsia="宋体" w:cs="宋体"/>
                <w:sz w:val="21"/>
                <w:szCs w:val="21"/>
                <w:vertAlign w:val="baseline"/>
                <w:lang w:val="en-US" w:eastAsia="zh-CN" w:bidi="ar-SA"/>
              </w:rPr>
            </w:pPr>
            <w:r>
              <w:rPr>
                <w:rFonts w:hint="eastAsia"/>
                <w:sz w:val="21"/>
                <w:szCs w:val="21"/>
                <w:vertAlign w:val="baseline"/>
                <w:lang w:val="en-US" w:eastAsia="zh-CN"/>
              </w:rPr>
              <w:t>续保要求</w:t>
            </w:r>
          </w:p>
        </w:tc>
        <w:tc>
          <w:tcPr>
            <w:tcW w:w="6090" w:type="dxa"/>
          </w:tcPr>
          <w:p w14:paraId="1E111BF3">
            <w:pPr>
              <w:widowControl w:val="0"/>
              <w:jc w:val="both"/>
              <w:rPr>
                <w:rFonts w:hint="default"/>
                <w:sz w:val="21"/>
                <w:szCs w:val="21"/>
                <w:vertAlign w:val="baseline"/>
                <w:lang w:val="en-US" w:eastAsia="zh-CN"/>
              </w:rPr>
            </w:pPr>
            <w:r>
              <w:rPr>
                <w:rFonts w:hint="eastAsia"/>
                <w:sz w:val="21"/>
                <w:szCs w:val="21"/>
                <w:vertAlign w:val="baseline"/>
                <w:lang w:val="en-US" w:eastAsia="zh-CN"/>
              </w:rPr>
              <w:t>针对医院现有1台安恒</w:t>
            </w:r>
            <w:r>
              <w:rPr>
                <w:rFonts w:hint="eastAsia"/>
                <w:sz w:val="21"/>
                <w:szCs w:val="21"/>
                <w:highlight w:val="none"/>
                <w:lang w:val="en-US" w:eastAsia="zh-CN"/>
              </w:rPr>
              <w:t>数据库审计设备续保到</w:t>
            </w:r>
            <w:r>
              <w:rPr>
                <w:rFonts w:hint="eastAsia"/>
                <w:sz w:val="21"/>
                <w:szCs w:val="21"/>
                <w:vertAlign w:val="baseline"/>
                <w:lang w:val="en-US" w:eastAsia="zh-CN"/>
              </w:rPr>
              <w:t>2028年12月31日</w:t>
            </w:r>
          </w:p>
        </w:tc>
      </w:tr>
      <w:tr w14:paraId="4768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14:paraId="7D7903EA">
            <w:pPr>
              <w:widowControl w:val="0"/>
              <w:jc w:val="center"/>
              <w:rPr>
                <w:rFonts w:hint="default"/>
                <w:sz w:val="21"/>
                <w:szCs w:val="21"/>
                <w:vertAlign w:val="baseline"/>
                <w:lang w:val="en-US" w:eastAsia="zh-CN"/>
              </w:rPr>
            </w:pPr>
            <w:r>
              <w:rPr>
                <w:rFonts w:hint="eastAsia"/>
                <w:sz w:val="21"/>
                <w:szCs w:val="21"/>
                <w:vertAlign w:val="baseline"/>
                <w:lang w:val="en-US" w:eastAsia="zh-CN"/>
              </w:rPr>
              <w:t>2</w:t>
            </w:r>
          </w:p>
        </w:tc>
        <w:tc>
          <w:tcPr>
            <w:tcW w:w="1498" w:type="dxa"/>
            <w:vAlign w:val="center"/>
          </w:tcPr>
          <w:p w14:paraId="7BC3B56C">
            <w:pPr>
              <w:widowControl w:val="0"/>
              <w:jc w:val="center"/>
              <w:rPr>
                <w:rFonts w:hint="default"/>
                <w:sz w:val="21"/>
                <w:szCs w:val="21"/>
                <w:vertAlign w:val="baseline"/>
                <w:lang w:val="en-US" w:eastAsia="zh-CN"/>
              </w:rPr>
            </w:pPr>
            <w:r>
              <w:rPr>
                <w:rFonts w:ascii="Times New Roman" w:hAnsi="Times New Roman"/>
                <w:snapToGrid w:val="0"/>
                <w:color w:val="auto"/>
                <w:kern w:val="0"/>
                <w:sz w:val="21"/>
                <w:szCs w:val="21"/>
              </w:rPr>
              <w:t>▲</w:t>
            </w:r>
            <w:r>
              <w:rPr>
                <w:rFonts w:hint="eastAsia"/>
                <w:sz w:val="21"/>
                <w:szCs w:val="21"/>
                <w:vertAlign w:val="baseline"/>
                <w:lang w:val="en-US" w:eastAsia="zh-CN"/>
              </w:rPr>
              <w:t>服务要求</w:t>
            </w:r>
          </w:p>
        </w:tc>
        <w:tc>
          <w:tcPr>
            <w:tcW w:w="6090" w:type="dxa"/>
          </w:tcPr>
          <w:p w14:paraId="5B8AAB62">
            <w:pPr>
              <w:widowControl w:val="0"/>
              <w:jc w:val="both"/>
              <w:rPr>
                <w:rFonts w:hint="eastAsia"/>
                <w:sz w:val="21"/>
                <w:szCs w:val="21"/>
                <w:vertAlign w:val="baseline"/>
                <w:lang w:val="en-US" w:eastAsia="zh-CN"/>
              </w:rPr>
            </w:pPr>
            <w:r>
              <w:rPr>
                <w:rFonts w:hint="eastAsia"/>
                <w:sz w:val="21"/>
                <w:szCs w:val="21"/>
                <w:vertAlign w:val="baseline"/>
                <w:lang w:val="en-US" w:eastAsia="zh-CN"/>
              </w:rPr>
              <w:t>网络安全设备维保要求对医院的网络安全设备提供整机维护服务，在保修期内发生的故障，中标供应商需全力维修至设备正常运行。要求中标人在维保期内提供：包括但不限于软件版本、特征库升级及硬件维修等服务。</w:t>
            </w:r>
          </w:p>
          <w:p w14:paraId="25AEFA6D">
            <w:pPr>
              <w:widowControl w:val="0"/>
              <w:jc w:val="both"/>
              <w:rPr>
                <w:rFonts w:hint="eastAsia"/>
                <w:sz w:val="21"/>
                <w:szCs w:val="21"/>
                <w:vertAlign w:val="baseline"/>
                <w:lang w:val="en-US" w:eastAsia="zh-CN"/>
              </w:rPr>
            </w:pPr>
            <w:r>
              <w:rPr>
                <w:rFonts w:hint="eastAsia"/>
                <w:sz w:val="21"/>
                <w:szCs w:val="21"/>
                <w:vertAlign w:val="baseline"/>
                <w:lang w:val="en-US" w:eastAsia="zh-CN"/>
              </w:rPr>
              <w:t>中标后3个工作日内提供原厂质保承诺函</w:t>
            </w:r>
          </w:p>
        </w:tc>
      </w:tr>
      <w:tr w14:paraId="78A1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vAlign w:val="center"/>
          </w:tcPr>
          <w:p w14:paraId="5ABA000A">
            <w:pPr>
              <w:widowControl w:val="0"/>
              <w:jc w:val="center"/>
              <w:rPr>
                <w:rFonts w:hint="default"/>
                <w:sz w:val="21"/>
                <w:szCs w:val="21"/>
                <w:vertAlign w:val="baseline"/>
                <w:lang w:val="en-US" w:eastAsia="zh-CN"/>
              </w:rPr>
            </w:pPr>
            <w:r>
              <w:rPr>
                <w:rFonts w:hint="eastAsia"/>
                <w:sz w:val="21"/>
                <w:szCs w:val="21"/>
                <w:vertAlign w:val="baseline"/>
                <w:lang w:val="en-US" w:eastAsia="zh-CN"/>
              </w:rPr>
              <w:t>3</w:t>
            </w:r>
          </w:p>
        </w:tc>
        <w:tc>
          <w:tcPr>
            <w:tcW w:w="1498" w:type="dxa"/>
            <w:vAlign w:val="center"/>
          </w:tcPr>
          <w:p w14:paraId="72C08FE1">
            <w:pPr>
              <w:widowControl w:val="0"/>
              <w:jc w:val="center"/>
              <w:rPr>
                <w:rFonts w:ascii="Times New Roman" w:hAnsi="Times New Roman"/>
                <w:snapToGrid w:val="0"/>
                <w:color w:val="auto"/>
                <w:kern w:val="0"/>
                <w:sz w:val="21"/>
                <w:szCs w:val="21"/>
              </w:rPr>
            </w:pPr>
            <w:r>
              <w:rPr>
                <w:rFonts w:hint="eastAsia"/>
                <w:sz w:val="21"/>
                <w:szCs w:val="21"/>
                <w:lang w:val="en-US" w:eastAsia="zh-CN"/>
              </w:rPr>
              <w:t>服务承诺函</w:t>
            </w:r>
          </w:p>
        </w:tc>
        <w:tc>
          <w:tcPr>
            <w:tcW w:w="6090" w:type="dxa"/>
          </w:tcPr>
          <w:p w14:paraId="25D3DB21">
            <w:pPr>
              <w:widowControl w:val="0"/>
              <w:jc w:val="both"/>
              <w:rPr>
                <w:rFonts w:hint="eastAsia"/>
                <w:sz w:val="21"/>
                <w:szCs w:val="21"/>
                <w:vertAlign w:val="baseline"/>
                <w:lang w:val="en-US" w:eastAsia="zh-CN"/>
              </w:rPr>
            </w:pPr>
            <w:r>
              <w:rPr>
                <w:rFonts w:hint="eastAsia"/>
                <w:sz w:val="21"/>
                <w:szCs w:val="21"/>
                <w:lang w:val="en-US" w:eastAsia="zh-CN"/>
              </w:rPr>
              <w:t>合同签订时，提供原厂商针对本项目的服务承诺函</w:t>
            </w:r>
          </w:p>
        </w:tc>
      </w:tr>
    </w:tbl>
    <w:p w14:paraId="64D91B49">
      <w:pPr>
        <w:rPr>
          <w:rFonts w:hint="eastAsia"/>
          <w:sz w:val="21"/>
          <w:szCs w:val="21"/>
        </w:rPr>
      </w:pPr>
    </w:p>
    <w:p w14:paraId="1389F6F1">
      <w:pPr>
        <w:pStyle w:val="5"/>
        <w:bidi w:val="0"/>
        <w:rPr>
          <w:rFonts w:hint="eastAsia"/>
          <w:sz w:val="21"/>
          <w:szCs w:val="21"/>
          <w:highlight w:val="none"/>
          <w:lang w:val="en-US" w:eastAsia="zh-CN"/>
        </w:rPr>
      </w:pPr>
      <w:r>
        <w:rPr>
          <w:rFonts w:hint="eastAsia"/>
          <w:sz w:val="21"/>
          <w:szCs w:val="21"/>
        </w:rPr>
        <w:t>防火墙续保</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452"/>
        <w:gridCol w:w="6150"/>
      </w:tblGrid>
      <w:tr w14:paraId="4BCB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38" w:type="pct"/>
            <w:vAlign w:val="center"/>
          </w:tcPr>
          <w:p w14:paraId="533EB04C">
            <w:pPr>
              <w:widowControl/>
              <w:jc w:val="center"/>
              <w:rPr>
                <w:rFonts w:hint="default" w:ascii="宋体" w:hAnsi="宋体" w:eastAsia="宋体"/>
                <w:b/>
                <w:bCs/>
                <w:sz w:val="21"/>
                <w:szCs w:val="21"/>
                <w:lang w:val="en-US" w:eastAsia="zh-CN"/>
              </w:rPr>
            </w:pPr>
            <w:r>
              <w:rPr>
                <w:rFonts w:hint="eastAsia" w:ascii="宋体" w:hAnsi="宋体" w:eastAsia="宋体"/>
                <w:b/>
                <w:bCs/>
                <w:sz w:val="21"/>
                <w:szCs w:val="21"/>
                <w:lang w:val="en-US" w:eastAsia="zh-CN"/>
              </w:rPr>
              <w:t>序号</w:t>
            </w:r>
          </w:p>
        </w:tc>
        <w:tc>
          <w:tcPr>
            <w:tcW w:w="852" w:type="pct"/>
            <w:vAlign w:val="center"/>
          </w:tcPr>
          <w:p w14:paraId="17CD1D25">
            <w:pPr>
              <w:widowControl/>
              <w:jc w:val="center"/>
              <w:rPr>
                <w:rFonts w:ascii="宋体" w:hAnsi="宋体" w:eastAsia="宋体" w:cs="宋体"/>
                <w:b/>
                <w:bCs/>
                <w:kern w:val="0"/>
                <w:sz w:val="21"/>
                <w:szCs w:val="21"/>
              </w:rPr>
            </w:pPr>
            <w:r>
              <w:rPr>
                <w:rFonts w:hint="eastAsia" w:ascii="宋体" w:hAnsi="宋体" w:eastAsia="宋体"/>
                <w:b/>
                <w:bCs/>
                <w:sz w:val="21"/>
                <w:szCs w:val="21"/>
              </w:rPr>
              <w:t>技术指标</w:t>
            </w:r>
          </w:p>
        </w:tc>
        <w:tc>
          <w:tcPr>
            <w:tcW w:w="3609" w:type="pct"/>
            <w:vAlign w:val="center"/>
          </w:tcPr>
          <w:p w14:paraId="671A8333">
            <w:pPr>
              <w:widowControl/>
              <w:jc w:val="center"/>
              <w:rPr>
                <w:rFonts w:ascii="宋体" w:hAnsi="宋体" w:eastAsia="宋体" w:cs="宋体"/>
                <w:b/>
                <w:bCs/>
                <w:kern w:val="0"/>
                <w:sz w:val="21"/>
                <w:szCs w:val="21"/>
              </w:rPr>
            </w:pPr>
            <w:r>
              <w:rPr>
                <w:rFonts w:hint="eastAsia" w:ascii="宋体" w:hAnsi="宋体" w:eastAsia="宋体"/>
                <w:b/>
                <w:bCs/>
                <w:sz w:val="21"/>
                <w:szCs w:val="21"/>
              </w:rPr>
              <w:t>指标要求</w:t>
            </w:r>
          </w:p>
        </w:tc>
      </w:tr>
      <w:tr w14:paraId="358D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38" w:type="pct"/>
            <w:vAlign w:val="center"/>
          </w:tcPr>
          <w:p w14:paraId="3BEC808E">
            <w:pPr>
              <w:widowControl/>
              <w:jc w:val="center"/>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w:t>
            </w:r>
          </w:p>
        </w:tc>
        <w:tc>
          <w:tcPr>
            <w:tcW w:w="852" w:type="pct"/>
            <w:vAlign w:val="center"/>
          </w:tcPr>
          <w:p w14:paraId="1D86EC19">
            <w:pPr>
              <w:widowControl/>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续保内容</w:t>
            </w:r>
          </w:p>
        </w:tc>
        <w:tc>
          <w:tcPr>
            <w:tcW w:w="3609" w:type="pct"/>
            <w:vAlign w:val="center"/>
          </w:tcPr>
          <w:p w14:paraId="359654B1">
            <w:pPr>
              <w:widowControl/>
              <w:jc w:val="left"/>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w:t>
            </w:r>
            <w:r>
              <w:rPr>
                <w:rFonts w:ascii="宋体" w:hAnsi="宋体" w:eastAsia="宋体"/>
                <w:color w:val="000000" w:themeColor="text1"/>
                <w:sz w:val="21"/>
                <w:szCs w:val="21"/>
                <w:highlight w:val="none"/>
                <w14:textFill>
                  <w14:solidFill>
                    <w14:schemeClr w14:val="tx1"/>
                  </w14:solidFill>
                </w14:textFill>
              </w:rPr>
              <w:t>NSG5000-TG15(2</w:t>
            </w:r>
            <w:r>
              <w:rPr>
                <w:rFonts w:hint="eastAsia" w:ascii="宋体" w:hAnsi="宋体" w:eastAsia="宋体"/>
                <w:color w:val="000000" w:themeColor="text1"/>
                <w:sz w:val="21"/>
                <w:szCs w:val="21"/>
                <w:highlight w:val="none"/>
                <w14:textFill>
                  <w14:solidFill>
                    <w14:schemeClr w14:val="tx1"/>
                  </w14:solidFill>
                </w14:textFill>
              </w:rPr>
              <w:t>台</w:t>
            </w:r>
            <w:r>
              <w:rPr>
                <w:rFonts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w:t>
            </w:r>
            <w:r>
              <w:rPr>
                <w:rFonts w:ascii="宋体" w:hAnsi="宋体" w:eastAsia="宋体"/>
                <w:color w:val="000000" w:themeColor="text1"/>
                <w:sz w:val="21"/>
                <w:szCs w:val="21"/>
                <w:highlight w:val="none"/>
                <w14:textFill>
                  <w14:solidFill>
                    <w14:schemeClr w14:val="tx1"/>
                  </w14:solidFill>
                </w14:textFill>
              </w:rPr>
              <w:t>3年安全组合升级订阅服务包（威胁情报数据订阅服务、应用识别库、URL分类特征库、病毒防护特征库、入侵防御特征库升级服务）硬件续保3年。</w:t>
            </w:r>
          </w:p>
          <w:p w14:paraId="44E8A457">
            <w:pPr>
              <w:widowControl/>
              <w:jc w:val="lef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w:t>
            </w:r>
            <w:r>
              <w:rPr>
                <w:rFonts w:ascii="宋体" w:hAnsi="宋体" w:eastAsia="宋体"/>
                <w:color w:val="000000" w:themeColor="text1"/>
                <w:sz w:val="21"/>
                <w:szCs w:val="21"/>
                <w:highlight w:val="none"/>
                <w14:textFill>
                  <w14:solidFill>
                    <w14:schemeClr w14:val="tx1"/>
                  </w14:solidFill>
                </w14:textFill>
              </w:rPr>
              <w:t>NSG3000-TE45(1</w:t>
            </w:r>
            <w:r>
              <w:rPr>
                <w:rFonts w:hint="eastAsia" w:ascii="宋体" w:hAnsi="宋体" w:eastAsia="宋体"/>
                <w:color w:val="000000" w:themeColor="text1"/>
                <w:sz w:val="21"/>
                <w:szCs w:val="21"/>
                <w:highlight w:val="none"/>
                <w14:textFill>
                  <w14:solidFill>
                    <w14:schemeClr w14:val="tx1"/>
                  </w14:solidFill>
                </w14:textFill>
              </w:rPr>
              <w:t>台</w:t>
            </w:r>
            <w:r>
              <w:rPr>
                <w:rFonts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w:t>
            </w:r>
            <w:r>
              <w:rPr>
                <w:rFonts w:ascii="宋体" w:hAnsi="宋体" w:eastAsia="宋体"/>
                <w:color w:val="000000" w:themeColor="text1"/>
                <w:sz w:val="21"/>
                <w:szCs w:val="21"/>
                <w:highlight w:val="none"/>
                <w14:textFill>
                  <w14:solidFill>
                    <w14:schemeClr w14:val="tx1"/>
                  </w14:solidFill>
                </w14:textFill>
              </w:rPr>
              <w:t>3年安全组合升级订阅服务包（威胁情报数据订阅服务、应用识别库、URL分类特征库、病毒防护特征库、入侵防御特征库升级服务）硬件续保3年。</w:t>
            </w:r>
          </w:p>
        </w:tc>
      </w:tr>
      <w:tr w14:paraId="2363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538" w:type="pct"/>
            <w:vAlign w:val="center"/>
          </w:tcPr>
          <w:p w14:paraId="5A55771C">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852" w:type="pct"/>
            <w:vMerge w:val="restart"/>
            <w:vAlign w:val="center"/>
          </w:tcPr>
          <w:p w14:paraId="795EC6FC">
            <w:pPr>
              <w:widowControl/>
              <w:jc w:val="center"/>
              <w:rPr>
                <w:rFonts w:ascii="宋体" w:hAnsi="宋体" w:eastAsia="宋体" w:cs="宋体"/>
                <w:kern w:val="0"/>
                <w:sz w:val="21"/>
                <w:szCs w:val="21"/>
              </w:rPr>
            </w:pPr>
            <w:r>
              <w:rPr>
                <w:rFonts w:hint="eastAsia" w:ascii="宋体" w:hAnsi="宋体" w:eastAsia="宋体" w:cs="宋体"/>
                <w:kern w:val="0"/>
                <w:sz w:val="21"/>
                <w:szCs w:val="21"/>
              </w:rPr>
              <w:t>访问控制</w:t>
            </w:r>
          </w:p>
        </w:tc>
        <w:tc>
          <w:tcPr>
            <w:tcW w:w="3609" w:type="pct"/>
            <w:vAlign w:val="center"/>
          </w:tcPr>
          <w:p w14:paraId="5686243C">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所投产品必须支持基于源安全域、目的安全域、源用户、源地址、源地区、目的地址、目的地区、服务、应用、隧道、时间、VLAN等多种方式进行访问控制。</w:t>
            </w:r>
            <w:bookmarkStart w:id="0" w:name="OLE_LINK2"/>
            <w:r>
              <w:rPr>
                <w:rFonts w:hint="eastAsia" w:ascii="宋体" w:hAnsi="宋体" w:eastAsia="宋体" w:cs="宋体"/>
                <w:kern w:val="0"/>
                <w:sz w:val="21"/>
                <w:szCs w:val="21"/>
              </w:rPr>
              <w:t>支持一种基于用户的安全访问控制的技术</w:t>
            </w:r>
            <w:bookmarkEnd w:id="0"/>
            <w:r>
              <w:rPr>
                <w:rFonts w:hint="eastAsia" w:ascii="宋体" w:hAnsi="宋体" w:eastAsia="宋体" w:cs="宋体"/>
                <w:kern w:val="0"/>
                <w:sz w:val="21"/>
                <w:szCs w:val="21"/>
              </w:rPr>
              <w:t xml:space="preserve">，并支持地理区域对象的导入以及重复策略的检查。支持发送反馈报文（当安全策略动作为阻断时，针对不同的报文类型选择发送对应的反馈报文：针对TCP报文反馈reset报文，针对UDP/ICMP报文反馈ICMP不可达报文） </w:t>
            </w:r>
          </w:p>
        </w:tc>
      </w:tr>
      <w:tr w14:paraId="76C2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38" w:type="pct"/>
            <w:vAlign w:val="center"/>
          </w:tcPr>
          <w:p w14:paraId="0E48F97B">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852" w:type="pct"/>
            <w:vMerge w:val="continue"/>
            <w:vAlign w:val="center"/>
          </w:tcPr>
          <w:p w14:paraId="337BB8FE">
            <w:pPr>
              <w:widowControl/>
              <w:jc w:val="left"/>
              <w:rPr>
                <w:rFonts w:ascii="宋体" w:hAnsi="宋体" w:eastAsia="宋体" w:cs="宋体"/>
                <w:kern w:val="0"/>
                <w:sz w:val="21"/>
                <w:szCs w:val="21"/>
              </w:rPr>
            </w:pPr>
          </w:p>
        </w:tc>
        <w:tc>
          <w:tcPr>
            <w:tcW w:w="3609" w:type="pct"/>
            <w:vAlign w:val="center"/>
          </w:tcPr>
          <w:p w14:paraId="6E4990A7">
            <w:pPr>
              <w:widowControl/>
              <w:rPr>
                <w:rFonts w:ascii="宋体" w:hAnsi="宋体" w:eastAsia="宋体" w:cs="宋体"/>
                <w:kern w:val="0"/>
                <w:sz w:val="21"/>
                <w:szCs w:val="21"/>
              </w:rPr>
            </w:pPr>
            <w:r>
              <w:rPr>
                <w:rFonts w:hint="eastAsia" w:ascii="宋体" w:hAnsi="宋体" w:eastAsia="宋体" w:cs="宋体"/>
                <w:kern w:val="0"/>
                <w:sz w:val="21"/>
                <w:szCs w:val="21"/>
              </w:rPr>
              <w:t>所投产品比如支持基于IPv4/v6地址、应用的会话限制，限制动作包每IP新建、每IP并发、所有IP新建、所有IP并发，且可以基于安全域指定限制方向。</w:t>
            </w:r>
          </w:p>
        </w:tc>
      </w:tr>
      <w:tr w14:paraId="66B7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538" w:type="pct"/>
            <w:vAlign w:val="center"/>
          </w:tcPr>
          <w:p w14:paraId="0AF90F7B">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852" w:type="pct"/>
            <w:vMerge w:val="continue"/>
            <w:vAlign w:val="center"/>
          </w:tcPr>
          <w:p w14:paraId="74D1FE99">
            <w:pPr>
              <w:widowControl/>
              <w:jc w:val="left"/>
              <w:rPr>
                <w:rFonts w:ascii="宋体" w:hAnsi="宋体" w:eastAsia="宋体" w:cs="宋体"/>
                <w:kern w:val="0"/>
                <w:sz w:val="21"/>
                <w:szCs w:val="21"/>
              </w:rPr>
            </w:pPr>
          </w:p>
        </w:tc>
        <w:tc>
          <w:tcPr>
            <w:tcW w:w="3609" w:type="pct"/>
            <w:vAlign w:val="center"/>
          </w:tcPr>
          <w:p w14:paraId="45F296F3">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命中时间分析和安全策略推荐。命中时间分析展示被命中的安全策略的名称、状态、命中数、策略创建时间、首次命中时间和最近命中时间；安全策略推荐定可以指定策略流量，分析后自动生成源地址精度更高的安全策略。能够基于源地址精确合并和源地址子网合并，并自动生成策略名称、源对象、目的对象和服务对象。</w:t>
            </w:r>
          </w:p>
        </w:tc>
      </w:tr>
      <w:tr w14:paraId="6260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538" w:type="pct"/>
            <w:vAlign w:val="center"/>
          </w:tcPr>
          <w:p w14:paraId="4DD4A16A">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852" w:type="pct"/>
            <w:vAlign w:val="center"/>
          </w:tcPr>
          <w:p w14:paraId="6D3EE524">
            <w:pPr>
              <w:widowControl/>
              <w:jc w:val="left"/>
              <w:rPr>
                <w:rFonts w:ascii="宋体" w:hAnsi="宋体" w:eastAsia="宋体" w:cs="宋体"/>
                <w:kern w:val="0"/>
                <w:sz w:val="21"/>
                <w:szCs w:val="21"/>
              </w:rPr>
            </w:pPr>
            <w:r>
              <w:rPr>
                <w:rFonts w:hint="eastAsia" w:ascii="宋体" w:hAnsi="宋体" w:eastAsia="宋体" w:cs="宋体"/>
                <w:kern w:val="0"/>
                <w:sz w:val="21"/>
                <w:szCs w:val="21"/>
              </w:rPr>
              <w:t>应用识别与控制</w:t>
            </w:r>
          </w:p>
        </w:tc>
        <w:tc>
          <w:tcPr>
            <w:tcW w:w="3609" w:type="pct"/>
            <w:vAlign w:val="center"/>
          </w:tcPr>
          <w:p w14:paraId="12E06EB5">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应用识别，应用特征库包含的应用数量（非应用协议的规则总数）大于3000种，可深度识别每种应用的属性，为每种应用提供预定义的风险系数，并将应用基于类型、数据传输、风险等级等特征分类</w:t>
            </w:r>
          </w:p>
        </w:tc>
      </w:tr>
      <w:tr w14:paraId="063E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38" w:type="pct"/>
            <w:vAlign w:val="center"/>
          </w:tcPr>
          <w:p w14:paraId="481B23D7">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852" w:type="pct"/>
            <w:vAlign w:val="center"/>
          </w:tcPr>
          <w:p w14:paraId="1F266BA0">
            <w:pPr>
              <w:widowControl/>
              <w:jc w:val="left"/>
              <w:rPr>
                <w:rFonts w:ascii="宋体" w:hAnsi="宋体" w:eastAsia="宋体" w:cs="宋体"/>
                <w:kern w:val="0"/>
                <w:sz w:val="21"/>
                <w:szCs w:val="21"/>
              </w:rPr>
            </w:pPr>
            <w:r>
              <w:rPr>
                <w:rFonts w:hint="eastAsia" w:ascii="宋体" w:hAnsi="宋体" w:eastAsia="宋体" w:cs="宋体"/>
                <w:kern w:val="0"/>
                <w:sz w:val="21"/>
                <w:szCs w:val="21"/>
              </w:rPr>
              <w:t>用户识别与认证</w:t>
            </w:r>
          </w:p>
        </w:tc>
        <w:tc>
          <w:tcPr>
            <w:tcW w:w="3609" w:type="pct"/>
            <w:vAlign w:val="center"/>
          </w:tcPr>
          <w:p w14:paraId="15EAF3DA">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所投产品必须支持基于用户的访问控制，可与LDAP/Radius/证书/Active Directory/TACACS+/POP3等用户认证系统联动</w:t>
            </w:r>
          </w:p>
        </w:tc>
      </w:tr>
      <w:tr w14:paraId="35EA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538" w:type="pct"/>
            <w:vAlign w:val="center"/>
          </w:tcPr>
          <w:p w14:paraId="1A0BCD30">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852" w:type="pct"/>
            <w:vMerge w:val="restart"/>
            <w:vAlign w:val="center"/>
          </w:tcPr>
          <w:p w14:paraId="3DB3B921">
            <w:pPr>
              <w:widowControl/>
              <w:jc w:val="left"/>
              <w:rPr>
                <w:rFonts w:ascii="宋体" w:hAnsi="宋体" w:eastAsia="宋体" w:cs="宋体"/>
                <w:kern w:val="0"/>
                <w:sz w:val="21"/>
                <w:szCs w:val="21"/>
              </w:rPr>
            </w:pPr>
            <w:r>
              <w:rPr>
                <w:rFonts w:hint="eastAsia" w:ascii="宋体" w:hAnsi="宋体" w:eastAsia="宋体" w:cs="宋体"/>
                <w:kern w:val="0"/>
                <w:sz w:val="21"/>
                <w:szCs w:val="21"/>
              </w:rPr>
              <w:t>文件过滤</w:t>
            </w:r>
          </w:p>
        </w:tc>
        <w:tc>
          <w:tcPr>
            <w:tcW w:w="3609" w:type="pct"/>
            <w:vAlign w:val="center"/>
          </w:tcPr>
          <w:p w14:paraId="1DB1FDC5">
            <w:pPr>
              <w:widowControl/>
              <w:rPr>
                <w:rFonts w:ascii="宋体" w:hAnsi="宋体" w:eastAsia="宋体" w:cs="宋体"/>
                <w:kern w:val="0"/>
                <w:sz w:val="21"/>
                <w:szCs w:val="21"/>
              </w:rPr>
            </w:pPr>
            <w:r>
              <w:rPr>
                <w:rFonts w:hint="eastAsia" w:ascii="宋体" w:hAnsi="宋体" w:eastAsia="宋体" w:cs="宋体"/>
                <w:kern w:val="0"/>
                <w:sz w:val="21"/>
                <w:szCs w:val="21"/>
              </w:rPr>
              <w:t xml:space="preserve">所投产品必须支持对应用的文件传输行为进行上传、下载、双向的文件类型过滤，应用至少包含即时通讯、常用协议、文件共享、论坛、博客、网页邮件、微博七种分类； </w:t>
            </w:r>
          </w:p>
        </w:tc>
      </w:tr>
      <w:tr w14:paraId="24EF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538" w:type="pct"/>
            <w:vAlign w:val="center"/>
          </w:tcPr>
          <w:p w14:paraId="7560F9EA">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852" w:type="pct"/>
            <w:vMerge w:val="continue"/>
            <w:vAlign w:val="center"/>
          </w:tcPr>
          <w:p w14:paraId="23737F01">
            <w:pPr>
              <w:widowControl/>
              <w:jc w:val="left"/>
              <w:rPr>
                <w:rFonts w:ascii="宋体" w:hAnsi="宋体" w:eastAsia="宋体" w:cs="宋体"/>
                <w:kern w:val="0"/>
                <w:sz w:val="21"/>
                <w:szCs w:val="21"/>
              </w:rPr>
            </w:pPr>
          </w:p>
        </w:tc>
        <w:tc>
          <w:tcPr>
            <w:tcW w:w="3609" w:type="pct"/>
            <w:vAlign w:val="center"/>
          </w:tcPr>
          <w:p w14:paraId="5B0A062A">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所投产品必须支持上传、下载、双向的文件内容过滤；内容过滤至少支持html、doc、docx、xls、xlsx、ppt、pptx、chm、7z等30种常见文件类型；文件类型识别基于文件特征而非扩展名，更改文件扩展名后仍可有效识别</w:t>
            </w:r>
          </w:p>
        </w:tc>
      </w:tr>
      <w:tr w14:paraId="2793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38" w:type="pct"/>
            <w:vAlign w:val="center"/>
          </w:tcPr>
          <w:p w14:paraId="2D22D42F">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852" w:type="pct"/>
            <w:vMerge w:val="restart"/>
            <w:vAlign w:val="center"/>
          </w:tcPr>
          <w:p w14:paraId="2307C093">
            <w:pPr>
              <w:widowControl/>
              <w:jc w:val="left"/>
              <w:rPr>
                <w:rFonts w:ascii="宋体" w:hAnsi="宋体" w:eastAsia="宋体" w:cs="宋体"/>
                <w:kern w:val="0"/>
                <w:sz w:val="21"/>
                <w:szCs w:val="21"/>
              </w:rPr>
            </w:pPr>
            <w:r>
              <w:rPr>
                <w:rFonts w:hint="eastAsia" w:ascii="宋体" w:hAnsi="宋体" w:eastAsia="宋体" w:cs="宋体"/>
                <w:kern w:val="0"/>
                <w:sz w:val="21"/>
                <w:szCs w:val="21"/>
              </w:rPr>
              <w:t>流量管理</w:t>
            </w:r>
          </w:p>
        </w:tc>
        <w:tc>
          <w:tcPr>
            <w:tcW w:w="3609" w:type="pct"/>
            <w:vAlign w:val="center"/>
          </w:tcPr>
          <w:p w14:paraId="3D13591E">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多调度类相互嵌套最大5级的带宽管理设置。支持设置每IP最大或最小带宽，支持对每IP进行带宽配额管理，可通过优先级实现多应用的差分服务，并支持对剩余带宽进行基于优先级的动态分配；支持转发优先级（DSCP）,包含CS、AF、CP等不少于64种。</w:t>
            </w:r>
          </w:p>
        </w:tc>
      </w:tr>
      <w:tr w14:paraId="4EF7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38" w:type="pct"/>
            <w:vAlign w:val="center"/>
          </w:tcPr>
          <w:p w14:paraId="4A43641C">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852" w:type="pct"/>
            <w:vMerge w:val="continue"/>
            <w:vAlign w:val="center"/>
          </w:tcPr>
          <w:p w14:paraId="6B42E45E">
            <w:pPr>
              <w:widowControl/>
              <w:jc w:val="left"/>
              <w:rPr>
                <w:rFonts w:ascii="宋体" w:hAnsi="宋体" w:eastAsia="宋体" w:cs="宋体"/>
                <w:kern w:val="0"/>
                <w:sz w:val="21"/>
                <w:szCs w:val="21"/>
              </w:rPr>
            </w:pPr>
          </w:p>
        </w:tc>
        <w:tc>
          <w:tcPr>
            <w:tcW w:w="3609" w:type="pct"/>
            <w:vAlign w:val="center"/>
          </w:tcPr>
          <w:p w14:paraId="5E342112">
            <w:pPr>
              <w:widowControl/>
              <w:rPr>
                <w:rFonts w:ascii="宋体" w:hAnsi="宋体" w:eastAsia="宋体" w:cs="宋体"/>
                <w:kern w:val="0"/>
                <w:sz w:val="21"/>
                <w:szCs w:val="21"/>
              </w:rPr>
            </w:pPr>
            <w:r>
              <w:rPr>
                <w:rFonts w:hint="eastAsia" w:ascii="宋体" w:hAnsi="宋体" w:eastAsia="宋体" w:cs="宋体"/>
                <w:kern w:val="0"/>
                <w:sz w:val="21"/>
                <w:szCs w:val="21"/>
              </w:rPr>
              <w:t>支持配置基于安全域、地址、服务、应用、源用户、时间段和DSCP的流量管理规则，且至少支持对3000种应用定制流量管理规则</w:t>
            </w:r>
          </w:p>
        </w:tc>
      </w:tr>
      <w:tr w14:paraId="3F9D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538" w:type="pct"/>
            <w:vAlign w:val="center"/>
          </w:tcPr>
          <w:p w14:paraId="4F63BDFE">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852" w:type="pct"/>
            <w:vAlign w:val="center"/>
          </w:tcPr>
          <w:p w14:paraId="749A9CAC">
            <w:pPr>
              <w:widowControl/>
              <w:jc w:val="left"/>
              <w:rPr>
                <w:rFonts w:ascii="宋体" w:hAnsi="宋体" w:eastAsia="宋体" w:cs="宋体"/>
                <w:kern w:val="0"/>
                <w:sz w:val="21"/>
                <w:szCs w:val="21"/>
              </w:rPr>
            </w:pPr>
            <w:r>
              <w:rPr>
                <w:rFonts w:hint="eastAsia" w:ascii="宋体" w:hAnsi="宋体" w:eastAsia="宋体" w:cs="宋体"/>
                <w:kern w:val="0"/>
                <w:sz w:val="21"/>
                <w:szCs w:val="21"/>
              </w:rPr>
              <w:t>共享上网检测</w:t>
            </w:r>
          </w:p>
        </w:tc>
        <w:tc>
          <w:tcPr>
            <w:tcW w:w="3609" w:type="pct"/>
            <w:vAlign w:val="center"/>
          </w:tcPr>
          <w:p w14:paraId="762D79C6">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所投产品必须支持共享上网检测功能，至少包含共享接入检测和共享接入管控等两项功能，可以通过设置管控地址和例外地址优化管控功能，同时支持阻断或告警动作</w:t>
            </w:r>
          </w:p>
        </w:tc>
      </w:tr>
      <w:tr w14:paraId="50CE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538" w:type="pct"/>
            <w:vAlign w:val="center"/>
          </w:tcPr>
          <w:p w14:paraId="4696E20E">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852" w:type="pct"/>
            <w:vMerge w:val="restart"/>
            <w:vAlign w:val="center"/>
          </w:tcPr>
          <w:p w14:paraId="72618CB7">
            <w:pPr>
              <w:widowControl/>
              <w:jc w:val="center"/>
              <w:rPr>
                <w:rFonts w:ascii="宋体" w:hAnsi="宋体" w:eastAsia="宋体" w:cs="宋体"/>
                <w:kern w:val="0"/>
                <w:sz w:val="21"/>
                <w:szCs w:val="21"/>
              </w:rPr>
            </w:pPr>
            <w:r>
              <w:rPr>
                <w:rFonts w:hint="eastAsia" w:ascii="宋体" w:hAnsi="宋体" w:eastAsia="宋体" w:cs="宋体"/>
                <w:kern w:val="0"/>
                <w:sz w:val="21"/>
                <w:szCs w:val="21"/>
              </w:rPr>
              <w:t>网元管理</w:t>
            </w:r>
          </w:p>
        </w:tc>
        <w:tc>
          <w:tcPr>
            <w:tcW w:w="3609" w:type="pct"/>
            <w:vAlign w:val="center"/>
          </w:tcPr>
          <w:p w14:paraId="2CB0E9D4">
            <w:pPr>
              <w:widowControl/>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所投产品支持将其他硬件安全设备（包括但不限于防火墙、IPS、IDS、WAF、行为管理、流量探针等）加入网元组，并接受流量编排；支持将同类型安全设备划归同一网元组，组成硬件安全资源池（如WAF安全资源池），并将流量通过负载均衡（“源地址哈希”、“源目的地址哈希”，“加权源地址哈希”、“加权源目的地址哈希”、“加权地址端口哈希”、“轮询”和“权重轮询”）的方法编排给组内所有网元</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提供功能截图</w:t>
            </w:r>
            <w:r>
              <w:rPr>
                <w:rFonts w:hint="eastAsia" w:cs="宋体"/>
                <w:kern w:val="0"/>
                <w:sz w:val="21"/>
                <w:szCs w:val="21"/>
                <w:lang w:val="en-US" w:eastAsia="zh-CN"/>
              </w:rPr>
              <w:t>证明</w:t>
            </w:r>
            <w:r>
              <w:rPr>
                <w:rFonts w:hint="eastAsia" w:ascii="宋体" w:hAnsi="宋体" w:eastAsia="宋体" w:cs="宋体"/>
                <w:kern w:val="0"/>
                <w:sz w:val="21"/>
                <w:szCs w:val="21"/>
                <w:lang w:val="en-US" w:eastAsia="zh-CN"/>
              </w:rPr>
              <w:t>材料。</w:t>
            </w:r>
          </w:p>
        </w:tc>
      </w:tr>
      <w:tr w14:paraId="09A4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38" w:type="pct"/>
            <w:vAlign w:val="center"/>
          </w:tcPr>
          <w:p w14:paraId="5F63EC11">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852" w:type="pct"/>
            <w:vMerge w:val="continue"/>
            <w:vAlign w:val="center"/>
          </w:tcPr>
          <w:p w14:paraId="46B28898">
            <w:pPr>
              <w:widowControl/>
              <w:jc w:val="left"/>
              <w:rPr>
                <w:rFonts w:ascii="宋体" w:hAnsi="宋体" w:eastAsia="宋体" w:cs="宋体"/>
                <w:kern w:val="0"/>
                <w:sz w:val="21"/>
                <w:szCs w:val="21"/>
              </w:rPr>
            </w:pPr>
          </w:p>
        </w:tc>
        <w:tc>
          <w:tcPr>
            <w:tcW w:w="3609" w:type="pct"/>
            <w:vAlign w:val="center"/>
          </w:tcPr>
          <w:p w14:paraId="0DF318F3">
            <w:pPr>
              <w:widowControl/>
              <w:rPr>
                <w:rFonts w:ascii="宋体" w:hAnsi="宋体" w:eastAsia="宋体" w:cs="宋体"/>
                <w:kern w:val="0"/>
                <w:sz w:val="21"/>
                <w:szCs w:val="21"/>
              </w:rPr>
            </w:pPr>
            <w:r>
              <w:rPr>
                <w:rFonts w:hint="eastAsia" w:ascii="宋体" w:hAnsi="宋体" w:eastAsia="宋体" w:cs="宋体"/>
                <w:kern w:val="0"/>
                <w:sz w:val="21"/>
                <w:szCs w:val="21"/>
              </w:rPr>
              <w:t>所投产品支持对网元进行健康检查，健康检查至少包括链路健康检查和回环探测</w:t>
            </w:r>
          </w:p>
        </w:tc>
      </w:tr>
      <w:tr w14:paraId="7BD1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38" w:type="pct"/>
            <w:vAlign w:val="center"/>
          </w:tcPr>
          <w:p w14:paraId="6641AC55">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852" w:type="pct"/>
            <w:vMerge w:val="restart"/>
            <w:vAlign w:val="center"/>
          </w:tcPr>
          <w:p w14:paraId="0F4E85ED">
            <w:pPr>
              <w:widowControl/>
              <w:jc w:val="center"/>
              <w:rPr>
                <w:rFonts w:ascii="宋体" w:hAnsi="宋体" w:eastAsia="宋体" w:cs="宋体"/>
                <w:kern w:val="0"/>
                <w:sz w:val="21"/>
                <w:szCs w:val="21"/>
              </w:rPr>
            </w:pPr>
            <w:r>
              <w:rPr>
                <w:rFonts w:hint="eastAsia" w:ascii="宋体" w:hAnsi="宋体" w:eastAsia="宋体" w:cs="宋体"/>
                <w:kern w:val="0"/>
                <w:sz w:val="21"/>
                <w:szCs w:val="21"/>
              </w:rPr>
              <w:t>服务链管理</w:t>
            </w:r>
          </w:p>
        </w:tc>
        <w:tc>
          <w:tcPr>
            <w:tcW w:w="3609" w:type="pct"/>
            <w:vAlign w:val="center"/>
          </w:tcPr>
          <w:p w14:paraId="011294E3">
            <w:pPr>
              <w:widowControl/>
              <w:rPr>
                <w:rFonts w:ascii="宋体" w:hAnsi="宋体" w:eastAsia="宋体" w:cs="宋体"/>
                <w:kern w:val="0"/>
                <w:sz w:val="21"/>
                <w:szCs w:val="21"/>
              </w:rPr>
            </w:pPr>
            <w:r>
              <w:rPr>
                <w:rFonts w:hint="eastAsia" w:ascii="宋体" w:hAnsi="宋体" w:eastAsia="宋体" w:cs="宋体"/>
                <w:kern w:val="0"/>
                <w:sz w:val="21"/>
                <w:szCs w:val="21"/>
              </w:rPr>
              <w:t>所投产品支持灵活的服务链编排功能（服务量管理），支持串接链和旁路链，支持网元组的方向和目的位置设置。</w:t>
            </w:r>
          </w:p>
        </w:tc>
      </w:tr>
      <w:tr w14:paraId="3FF8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38" w:type="pct"/>
            <w:vAlign w:val="center"/>
          </w:tcPr>
          <w:p w14:paraId="448F1154">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852" w:type="pct"/>
            <w:vMerge w:val="continue"/>
            <w:vAlign w:val="center"/>
          </w:tcPr>
          <w:p w14:paraId="04F375D8">
            <w:pPr>
              <w:widowControl/>
              <w:jc w:val="left"/>
              <w:rPr>
                <w:rFonts w:ascii="宋体" w:hAnsi="宋体" w:eastAsia="宋体" w:cs="宋体"/>
                <w:kern w:val="0"/>
                <w:sz w:val="21"/>
                <w:szCs w:val="21"/>
              </w:rPr>
            </w:pPr>
          </w:p>
        </w:tc>
        <w:tc>
          <w:tcPr>
            <w:tcW w:w="3609" w:type="pct"/>
            <w:vAlign w:val="center"/>
          </w:tcPr>
          <w:p w14:paraId="260D1116">
            <w:pPr>
              <w:widowControl/>
              <w:rPr>
                <w:rFonts w:ascii="宋体" w:hAnsi="宋体" w:eastAsia="宋体" w:cs="宋体"/>
                <w:kern w:val="0"/>
                <w:sz w:val="21"/>
                <w:szCs w:val="21"/>
              </w:rPr>
            </w:pPr>
            <w:r>
              <w:rPr>
                <w:rFonts w:hint="eastAsia" w:ascii="宋体" w:hAnsi="宋体" w:eastAsia="宋体" w:cs="宋体"/>
                <w:kern w:val="0"/>
                <w:sz w:val="21"/>
                <w:szCs w:val="21"/>
              </w:rPr>
              <w:t>所投产品支持添加、编辑、删除串接链，旁路链。</w:t>
            </w:r>
          </w:p>
        </w:tc>
      </w:tr>
      <w:tr w14:paraId="0156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38" w:type="pct"/>
            <w:vAlign w:val="center"/>
          </w:tcPr>
          <w:p w14:paraId="4A33DF46">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852" w:type="pct"/>
            <w:vMerge w:val="restart"/>
            <w:vAlign w:val="center"/>
          </w:tcPr>
          <w:p w14:paraId="65B4D949">
            <w:pPr>
              <w:widowControl/>
              <w:jc w:val="center"/>
              <w:rPr>
                <w:rFonts w:ascii="宋体" w:hAnsi="宋体" w:eastAsia="宋体" w:cs="宋体"/>
                <w:kern w:val="0"/>
                <w:sz w:val="21"/>
                <w:szCs w:val="21"/>
              </w:rPr>
            </w:pPr>
            <w:r>
              <w:rPr>
                <w:rFonts w:hint="eastAsia" w:ascii="宋体" w:hAnsi="宋体" w:eastAsia="宋体" w:cs="宋体"/>
                <w:kern w:val="0"/>
                <w:sz w:val="21"/>
                <w:szCs w:val="21"/>
              </w:rPr>
              <w:t>引流策略</w:t>
            </w:r>
          </w:p>
        </w:tc>
        <w:tc>
          <w:tcPr>
            <w:tcW w:w="3609" w:type="pct"/>
            <w:vAlign w:val="center"/>
          </w:tcPr>
          <w:p w14:paraId="256BFAB4">
            <w:pPr>
              <w:widowControl/>
              <w:rPr>
                <w:rFonts w:ascii="宋体" w:hAnsi="宋体" w:eastAsia="宋体" w:cs="宋体"/>
                <w:kern w:val="0"/>
                <w:sz w:val="21"/>
                <w:szCs w:val="21"/>
              </w:rPr>
            </w:pPr>
            <w:r>
              <w:rPr>
                <w:rFonts w:hint="eastAsia" w:ascii="宋体" w:hAnsi="宋体" w:eastAsia="宋体" w:cs="宋体"/>
                <w:kern w:val="0"/>
                <w:sz w:val="21"/>
                <w:szCs w:val="21"/>
              </w:rPr>
              <w:t>所投产品支持引流策略的添加、删除、调序、清除命中数、刷新功能；支持引流策略的启用和禁用功能。</w:t>
            </w:r>
          </w:p>
        </w:tc>
      </w:tr>
      <w:tr w14:paraId="7655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538" w:type="pct"/>
            <w:vAlign w:val="center"/>
          </w:tcPr>
          <w:p w14:paraId="663A27BC">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852" w:type="pct"/>
            <w:vMerge w:val="continue"/>
            <w:vAlign w:val="center"/>
          </w:tcPr>
          <w:p w14:paraId="10B1A001">
            <w:pPr>
              <w:widowControl/>
              <w:jc w:val="left"/>
              <w:rPr>
                <w:rFonts w:ascii="宋体" w:hAnsi="宋体" w:eastAsia="宋体" w:cs="宋体"/>
                <w:kern w:val="0"/>
                <w:sz w:val="21"/>
                <w:szCs w:val="21"/>
              </w:rPr>
            </w:pPr>
          </w:p>
        </w:tc>
        <w:tc>
          <w:tcPr>
            <w:tcW w:w="3609" w:type="pct"/>
            <w:vAlign w:val="center"/>
          </w:tcPr>
          <w:p w14:paraId="061D9E3D">
            <w:pPr>
              <w:widowControl/>
              <w:rPr>
                <w:rFonts w:ascii="宋体" w:hAnsi="宋体" w:eastAsia="宋体" w:cs="宋体"/>
                <w:kern w:val="0"/>
                <w:sz w:val="21"/>
                <w:szCs w:val="21"/>
              </w:rPr>
            </w:pPr>
            <w:r>
              <w:rPr>
                <w:rFonts w:hint="eastAsia" w:ascii="宋体" w:hAnsi="宋体" w:eastAsia="宋体" w:cs="宋体"/>
                <w:kern w:val="0"/>
                <w:sz w:val="21"/>
                <w:szCs w:val="21"/>
              </w:rPr>
              <w:t>所投产品支持灵活的细粒度引流策略，可基于源安全域、目的安全域、源用户、源地址、目的地址、服务、VLAN、服务链、流量方向（内网到外网/外网到内网）的引流策略，并详细记录日志。</w:t>
            </w:r>
          </w:p>
        </w:tc>
      </w:tr>
      <w:tr w14:paraId="47B3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38" w:type="pct"/>
            <w:vAlign w:val="center"/>
          </w:tcPr>
          <w:p w14:paraId="6D5B4ADB">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852" w:type="pct"/>
            <w:vAlign w:val="center"/>
          </w:tcPr>
          <w:p w14:paraId="1C3216AA">
            <w:pPr>
              <w:widowControl/>
              <w:jc w:val="left"/>
              <w:rPr>
                <w:rFonts w:ascii="宋体" w:hAnsi="宋体" w:eastAsia="宋体" w:cs="宋体"/>
                <w:kern w:val="0"/>
                <w:sz w:val="21"/>
                <w:szCs w:val="21"/>
              </w:rPr>
            </w:pPr>
            <w:r>
              <w:rPr>
                <w:rFonts w:hint="eastAsia" w:ascii="宋体" w:hAnsi="宋体" w:eastAsia="宋体" w:cs="宋体"/>
                <w:kern w:val="0"/>
                <w:sz w:val="21"/>
                <w:szCs w:val="21"/>
              </w:rPr>
              <w:t>服务链监控</w:t>
            </w:r>
          </w:p>
        </w:tc>
        <w:tc>
          <w:tcPr>
            <w:tcW w:w="3609" w:type="pct"/>
            <w:vAlign w:val="center"/>
          </w:tcPr>
          <w:p w14:paraId="3AD85604">
            <w:pPr>
              <w:widowControl/>
              <w:rPr>
                <w:rFonts w:ascii="宋体" w:hAnsi="宋体" w:eastAsia="宋体" w:cs="宋体"/>
                <w:kern w:val="0"/>
                <w:sz w:val="21"/>
                <w:szCs w:val="21"/>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所投产品支持对编排的流量（服务链）进行监控，以图形化的形式展示出服务链中的流量大小</w:t>
            </w:r>
            <w:r>
              <w:rPr>
                <w:rFonts w:hint="eastAsia" w:ascii="宋体" w:hAnsi="宋体" w:eastAsia="宋体" w:cs="宋体"/>
                <w:kern w:val="0"/>
                <w:sz w:val="21"/>
                <w:szCs w:val="21"/>
                <w:lang w:eastAsia="zh-CN"/>
              </w:rPr>
              <w:t>。</w:t>
            </w:r>
            <w:r>
              <w:rPr>
                <w:rFonts w:ascii="宋体" w:hAnsi="宋体" w:eastAsia="宋体" w:cs="宋体"/>
                <w:kern w:val="0"/>
                <w:sz w:val="21"/>
                <w:szCs w:val="21"/>
                <w:highlight w:val="none"/>
              </w:rPr>
              <w:t>(提供CNAS认可检测机构出具的针对软件功能的检测报告关键页</w:t>
            </w:r>
            <w:r>
              <w:rPr>
                <w:rFonts w:hint="eastAsia" w:ascii="宋体" w:hAnsi="宋体" w:eastAsia="宋体" w:cs="宋体"/>
                <w:kern w:val="0"/>
                <w:sz w:val="21"/>
                <w:szCs w:val="21"/>
                <w:highlight w:val="none"/>
                <w:lang w:val="en-US" w:eastAsia="zh-CN"/>
              </w:rPr>
              <w:t>截图</w:t>
            </w:r>
            <w:r>
              <w:rPr>
                <w:rFonts w:ascii="宋体" w:hAnsi="宋体" w:eastAsia="宋体" w:cs="宋体"/>
                <w:kern w:val="0"/>
                <w:sz w:val="21"/>
                <w:szCs w:val="21"/>
                <w:highlight w:val="none"/>
              </w:rPr>
              <w:t>证明</w:t>
            </w:r>
            <w:r>
              <w:rPr>
                <w:rFonts w:hint="eastAsia" w:ascii="宋体" w:hAnsi="宋体" w:eastAsia="宋体" w:cs="宋体"/>
                <w:kern w:val="0"/>
                <w:sz w:val="21"/>
                <w:szCs w:val="21"/>
                <w:highlight w:val="none"/>
                <w:lang w:val="en-US" w:eastAsia="zh-CN"/>
              </w:rPr>
              <w:t>材料</w:t>
            </w:r>
            <w:r>
              <w:rPr>
                <w:rFonts w:ascii="宋体" w:hAnsi="宋体" w:eastAsia="宋体" w:cs="宋体"/>
                <w:kern w:val="0"/>
                <w:sz w:val="21"/>
                <w:szCs w:val="21"/>
                <w:highlight w:val="none"/>
              </w:rPr>
              <w:t>)</w:t>
            </w:r>
          </w:p>
        </w:tc>
      </w:tr>
      <w:tr w14:paraId="1079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538" w:type="pct"/>
            <w:vAlign w:val="center"/>
          </w:tcPr>
          <w:p w14:paraId="165758BA">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852" w:type="pct"/>
            <w:vAlign w:val="center"/>
          </w:tcPr>
          <w:p w14:paraId="02A89CBC">
            <w:pPr>
              <w:widowControl/>
              <w:jc w:val="left"/>
              <w:rPr>
                <w:rFonts w:ascii="宋体" w:hAnsi="宋体" w:eastAsia="宋体" w:cs="宋体"/>
                <w:kern w:val="0"/>
                <w:sz w:val="21"/>
                <w:szCs w:val="21"/>
              </w:rPr>
            </w:pPr>
            <w:r>
              <w:rPr>
                <w:rFonts w:hint="eastAsia" w:ascii="宋体" w:hAnsi="宋体" w:eastAsia="宋体" w:cs="宋体"/>
                <w:kern w:val="0"/>
                <w:sz w:val="21"/>
                <w:szCs w:val="21"/>
              </w:rPr>
              <w:t>网络攻击防护</w:t>
            </w:r>
          </w:p>
        </w:tc>
        <w:tc>
          <w:tcPr>
            <w:tcW w:w="3609" w:type="pct"/>
            <w:vAlign w:val="center"/>
          </w:tcPr>
          <w:p w14:paraId="1C744B5A">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所投产品必须支持基于不同安全区域防御SYN Flood、UDP  Flood、ICMP  Flood、IP  Flood、Frag Flood、DNS Flood、HTTP Flood、NTP Query Flood 、NTP Reply Flood 和SIP Flood 攻击，并支持警告、丢弃、普通防护、增强防护、授权服务器防护等多种防护措施。</w:t>
            </w:r>
          </w:p>
        </w:tc>
      </w:tr>
      <w:tr w14:paraId="714B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8" w:type="pct"/>
            <w:vAlign w:val="center"/>
          </w:tcPr>
          <w:p w14:paraId="025DDEB3">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852" w:type="pct"/>
            <w:vMerge w:val="restart"/>
            <w:vAlign w:val="center"/>
          </w:tcPr>
          <w:p w14:paraId="4D039C3F">
            <w:pPr>
              <w:widowControl/>
              <w:jc w:val="left"/>
              <w:rPr>
                <w:rFonts w:ascii="宋体" w:hAnsi="宋体" w:eastAsia="宋体" w:cs="宋体"/>
                <w:kern w:val="0"/>
                <w:sz w:val="21"/>
                <w:szCs w:val="21"/>
              </w:rPr>
            </w:pPr>
            <w:r>
              <w:rPr>
                <w:rFonts w:hint="eastAsia" w:ascii="宋体" w:hAnsi="宋体" w:eastAsia="宋体" w:cs="宋体"/>
                <w:kern w:val="0"/>
                <w:sz w:val="21"/>
                <w:szCs w:val="21"/>
              </w:rPr>
              <w:t>病毒防护</w:t>
            </w:r>
          </w:p>
        </w:tc>
        <w:tc>
          <w:tcPr>
            <w:tcW w:w="3609" w:type="pct"/>
            <w:vAlign w:val="center"/>
          </w:tcPr>
          <w:p w14:paraId="515A6CC4">
            <w:pPr>
              <w:widowControl/>
              <w:rPr>
                <w:rFonts w:ascii="宋体" w:hAnsi="宋体" w:eastAsia="宋体" w:cs="宋体"/>
                <w:kern w:val="0"/>
                <w:sz w:val="21"/>
                <w:szCs w:val="21"/>
              </w:rPr>
            </w:pPr>
            <w:r>
              <w:rPr>
                <w:rFonts w:hint="eastAsia" w:ascii="宋体" w:hAnsi="宋体" w:eastAsia="宋体" w:cs="宋体"/>
                <w:kern w:val="0"/>
                <w:sz w:val="21"/>
                <w:szCs w:val="21"/>
              </w:rPr>
              <w:t>所投产品必须能够对HTTP/FTP/POP3/SMTP/IMAP/SMB/IPTUX七种协议进行病毒查杀；本地病毒库规模大于3000万，支持样本留存。</w:t>
            </w:r>
          </w:p>
        </w:tc>
      </w:tr>
      <w:tr w14:paraId="60F5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38" w:type="pct"/>
            <w:vAlign w:val="center"/>
          </w:tcPr>
          <w:p w14:paraId="25C0586C">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852" w:type="pct"/>
            <w:vMerge w:val="continue"/>
            <w:vAlign w:val="center"/>
          </w:tcPr>
          <w:p w14:paraId="0B8A91BC">
            <w:pPr>
              <w:widowControl/>
              <w:jc w:val="left"/>
              <w:rPr>
                <w:rFonts w:ascii="宋体" w:hAnsi="宋体" w:eastAsia="宋体" w:cs="宋体"/>
                <w:kern w:val="0"/>
                <w:sz w:val="21"/>
                <w:szCs w:val="21"/>
              </w:rPr>
            </w:pPr>
          </w:p>
        </w:tc>
        <w:tc>
          <w:tcPr>
            <w:tcW w:w="3609" w:type="pct"/>
            <w:vAlign w:val="center"/>
          </w:tcPr>
          <w:p w14:paraId="663264E0">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所投产品必须支持对最多16级的压缩文件进行解压查杀</w:t>
            </w:r>
          </w:p>
        </w:tc>
      </w:tr>
      <w:tr w14:paraId="4478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38" w:type="pct"/>
            <w:vAlign w:val="center"/>
          </w:tcPr>
          <w:p w14:paraId="37E444F4">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w:t>
            </w:r>
          </w:p>
        </w:tc>
        <w:tc>
          <w:tcPr>
            <w:tcW w:w="852" w:type="pct"/>
            <w:vMerge w:val="continue"/>
            <w:vAlign w:val="center"/>
          </w:tcPr>
          <w:p w14:paraId="3DEC700E">
            <w:pPr>
              <w:widowControl/>
              <w:jc w:val="left"/>
              <w:rPr>
                <w:rFonts w:ascii="宋体" w:hAnsi="宋体" w:eastAsia="宋体" w:cs="宋体"/>
                <w:kern w:val="0"/>
                <w:sz w:val="21"/>
                <w:szCs w:val="21"/>
              </w:rPr>
            </w:pPr>
          </w:p>
        </w:tc>
        <w:tc>
          <w:tcPr>
            <w:tcW w:w="3609" w:type="pct"/>
            <w:vAlign w:val="center"/>
          </w:tcPr>
          <w:p w14:paraId="7D87DF09">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所投产品必须支持病毒样本上传和页面消息推送功能。</w:t>
            </w:r>
          </w:p>
        </w:tc>
      </w:tr>
      <w:tr w14:paraId="61D7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38" w:type="pct"/>
            <w:vAlign w:val="center"/>
          </w:tcPr>
          <w:p w14:paraId="634E95DD">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w:t>
            </w:r>
          </w:p>
        </w:tc>
        <w:tc>
          <w:tcPr>
            <w:tcW w:w="852" w:type="pct"/>
            <w:vMerge w:val="continue"/>
            <w:vAlign w:val="center"/>
          </w:tcPr>
          <w:p w14:paraId="426FA717">
            <w:pPr>
              <w:widowControl/>
              <w:jc w:val="left"/>
              <w:rPr>
                <w:rFonts w:ascii="宋体" w:hAnsi="宋体" w:eastAsia="宋体" w:cs="宋体"/>
                <w:kern w:val="0"/>
                <w:sz w:val="21"/>
                <w:szCs w:val="21"/>
              </w:rPr>
            </w:pPr>
          </w:p>
        </w:tc>
        <w:tc>
          <w:tcPr>
            <w:tcW w:w="3609" w:type="pct"/>
            <w:vAlign w:val="center"/>
          </w:tcPr>
          <w:p w14:paraId="7A4DAB8A">
            <w:pPr>
              <w:widowControl/>
              <w:jc w:val="left"/>
              <w:rPr>
                <w:rFonts w:ascii="宋体" w:hAnsi="宋体" w:eastAsia="宋体" w:cs="宋体"/>
                <w:kern w:val="0"/>
                <w:sz w:val="21"/>
                <w:szCs w:val="21"/>
              </w:rPr>
            </w:pPr>
            <w:r>
              <w:rPr>
                <w:rFonts w:hint="eastAsia" w:ascii="宋体" w:hAnsi="宋体" w:eastAsia="宋体" w:cs="宋体"/>
                <w:kern w:val="0"/>
                <w:sz w:val="21"/>
                <w:szCs w:val="21"/>
              </w:rPr>
              <w:t>所投产品必须支持基于MD5的自定义病毒签名；支持设置例外特征，对特定的病毒特征不进行查杀。</w:t>
            </w:r>
          </w:p>
        </w:tc>
      </w:tr>
      <w:tr w14:paraId="30C0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538" w:type="pct"/>
            <w:vAlign w:val="center"/>
          </w:tcPr>
          <w:p w14:paraId="0A99824C">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852" w:type="pct"/>
            <w:vMerge w:val="restart"/>
            <w:vAlign w:val="center"/>
          </w:tcPr>
          <w:p w14:paraId="6A377BEF">
            <w:pPr>
              <w:widowControl/>
              <w:jc w:val="left"/>
              <w:rPr>
                <w:rFonts w:ascii="宋体" w:hAnsi="宋体" w:eastAsia="宋体" w:cs="宋体"/>
                <w:kern w:val="0"/>
                <w:sz w:val="21"/>
                <w:szCs w:val="21"/>
              </w:rPr>
            </w:pPr>
            <w:r>
              <w:rPr>
                <w:rFonts w:hint="eastAsia" w:ascii="宋体" w:hAnsi="宋体" w:eastAsia="宋体" w:cs="宋体"/>
                <w:kern w:val="0"/>
                <w:sz w:val="21"/>
                <w:szCs w:val="21"/>
              </w:rPr>
              <w:t>入侵防御</w:t>
            </w:r>
          </w:p>
        </w:tc>
        <w:tc>
          <w:tcPr>
            <w:tcW w:w="3609" w:type="pct"/>
            <w:vAlign w:val="center"/>
          </w:tcPr>
          <w:p w14:paraId="27EB9A78">
            <w:pPr>
              <w:jc w:val="left"/>
              <w:rPr>
                <w:rFonts w:ascii="宋体" w:hAnsi="宋体" w:eastAsia="宋体" w:cs="宋体"/>
                <w:kern w:val="0"/>
                <w:sz w:val="21"/>
                <w:szCs w:val="21"/>
              </w:rPr>
            </w:pPr>
            <w:r>
              <w:rPr>
                <w:rFonts w:hint="eastAsia" w:ascii="宋体" w:hAnsi="宋体" w:eastAsia="宋体" w:cs="宋体"/>
                <w:kern w:val="0"/>
                <w:sz w:val="21"/>
                <w:szCs w:val="21"/>
              </w:rPr>
              <w:t>所投产品必须支持在设备漏洞防护特征库直接查阅攻击的名称、CVEID、CNNVDID、CWEID、严重性、影响的平台、类型、描述、解决方案建议等详细信息；</w:t>
            </w:r>
          </w:p>
        </w:tc>
      </w:tr>
      <w:tr w14:paraId="190C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538" w:type="pct"/>
            <w:vAlign w:val="center"/>
          </w:tcPr>
          <w:p w14:paraId="015A3FFA">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c>
          <w:tcPr>
            <w:tcW w:w="852" w:type="pct"/>
            <w:vMerge w:val="continue"/>
            <w:vAlign w:val="center"/>
          </w:tcPr>
          <w:p w14:paraId="42137C15">
            <w:pPr>
              <w:widowControl/>
              <w:jc w:val="left"/>
              <w:rPr>
                <w:rFonts w:ascii="宋体" w:hAnsi="宋体" w:eastAsia="宋体" w:cs="宋体"/>
                <w:kern w:val="0"/>
                <w:sz w:val="21"/>
                <w:szCs w:val="21"/>
              </w:rPr>
            </w:pPr>
          </w:p>
        </w:tc>
        <w:tc>
          <w:tcPr>
            <w:tcW w:w="3609" w:type="pct"/>
            <w:vAlign w:val="center"/>
          </w:tcPr>
          <w:p w14:paraId="1F2BF39D">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所投产品的漏洞防护特征库及间谍软件库包含高危漏洞攻击特征，至少包括“永恒之蓝”、“震网三代”、“Struts”、“Struts2”、“Xshell后门代码”以及对应的攻击的名称、CVEID、CNNVDID、CWEID、严重性、影响的平台、类型、描述、解决方案建议等（CVEID、CNNDID、CWEID等信息在漏洞攻击特征中体现）详细信息； </w:t>
            </w:r>
          </w:p>
        </w:tc>
      </w:tr>
      <w:tr w14:paraId="66AC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538" w:type="pct"/>
            <w:vAlign w:val="center"/>
          </w:tcPr>
          <w:p w14:paraId="0C38C6AD">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26</w:t>
            </w:r>
          </w:p>
        </w:tc>
        <w:tc>
          <w:tcPr>
            <w:tcW w:w="852" w:type="pct"/>
            <w:vMerge w:val="continue"/>
            <w:vAlign w:val="center"/>
          </w:tcPr>
          <w:p w14:paraId="1195384C">
            <w:pPr>
              <w:widowControl/>
              <w:jc w:val="left"/>
              <w:rPr>
                <w:rFonts w:ascii="宋体" w:hAnsi="宋体" w:eastAsia="宋体" w:cs="宋体"/>
                <w:kern w:val="0"/>
                <w:sz w:val="21"/>
                <w:szCs w:val="21"/>
              </w:rPr>
            </w:pPr>
          </w:p>
        </w:tc>
        <w:tc>
          <w:tcPr>
            <w:tcW w:w="3609" w:type="pct"/>
            <w:vAlign w:val="center"/>
          </w:tcPr>
          <w:p w14:paraId="59D8966E">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自定义TCP、UDP、HTTP协议的漏洞特征，漏洞特征可通过多个字段以文本或正则表达式的形式进行有序和无序匹配，并可自定义漏洞的源、目的端口范围；同时可标识自定义漏洞的CVE编号或CNNVD编号。</w:t>
            </w:r>
          </w:p>
        </w:tc>
      </w:tr>
      <w:tr w14:paraId="3BE8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538" w:type="pct"/>
            <w:vAlign w:val="center"/>
          </w:tcPr>
          <w:p w14:paraId="7DD9DFC0">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w:t>
            </w:r>
          </w:p>
        </w:tc>
        <w:tc>
          <w:tcPr>
            <w:tcW w:w="852" w:type="pct"/>
            <w:vMerge w:val="restart"/>
            <w:vAlign w:val="center"/>
          </w:tcPr>
          <w:p w14:paraId="46978FD2">
            <w:pPr>
              <w:widowControl/>
              <w:jc w:val="center"/>
              <w:rPr>
                <w:rFonts w:ascii="宋体" w:hAnsi="宋体" w:eastAsia="宋体" w:cs="宋体"/>
                <w:kern w:val="0"/>
                <w:sz w:val="21"/>
                <w:szCs w:val="21"/>
              </w:rPr>
            </w:pPr>
            <w:r>
              <w:rPr>
                <w:rFonts w:hint="eastAsia" w:ascii="宋体" w:hAnsi="宋体" w:eastAsia="宋体" w:cs="宋体"/>
                <w:kern w:val="0"/>
                <w:sz w:val="21"/>
                <w:szCs w:val="21"/>
              </w:rPr>
              <w:t>SSL 解密</w:t>
            </w:r>
          </w:p>
        </w:tc>
        <w:tc>
          <w:tcPr>
            <w:tcW w:w="3609" w:type="pct"/>
            <w:vAlign w:val="center"/>
          </w:tcPr>
          <w:p w14:paraId="139F15FE">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IPv4和IPv6流量的HTTPS、POP3S、SMTPS、IMAPS协议进行解密，支持配置基于源安全域、目的安全域、源地址、目的地址、SSL协议服务的解密策略，动作可以设置解密或不解密，同时支持将解密后流量镜像到其他设备进行分析统计。</w:t>
            </w:r>
          </w:p>
        </w:tc>
      </w:tr>
      <w:tr w14:paraId="5FB2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38" w:type="pct"/>
            <w:vAlign w:val="center"/>
          </w:tcPr>
          <w:p w14:paraId="35D801BE">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w:t>
            </w:r>
          </w:p>
        </w:tc>
        <w:tc>
          <w:tcPr>
            <w:tcW w:w="852" w:type="pct"/>
            <w:vMerge w:val="continue"/>
            <w:vAlign w:val="center"/>
          </w:tcPr>
          <w:p w14:paraId="6741D43F">
            <w:pPr>
              <w:widowControl/>
              <w:jc w:val="left"/>
              <w:rPr>
                <w:rFonts w:ascii="宋体" w:hAnsi="宋体" w:eastAsia="宋体" w:cs="宋体"/>
                <w:kern w:val="0"/>
                <w:sz w:val="21"/>
                <w:szCs w:val="21"/>
              </w:rPr>
            </w:pPr>
          </w:p>
        </w:tc>
        <w:tc>
          <w:tcPr>
            <w:tcW w:w="3609" w:type="pct"/>
            <w:vAlign w:val="center"/>
          </w:tcPr>
          <w:p w14:paraId="7D5BB6EE">
            <w:pPr>
              <w:widowControl/>
              <w:rPr>
                <w:rFonts w:ascii="宋体" w:hAnsi="宋体" w:eastAsia="宋体" w:cs="宋体"/>
                <w:kern w:val="0"/>
                <w:sz w:val="21"/>
                <w:szCs w:val="21"/>
              </w:rPr>
            </w:pPr>
            <w:r>
              <w:rPr>
                <w:rFonts w:hint="eastAsia" w:ascii="宋体" w:hAnsi="宋体" w:eastAsia="宋体" w:cs="宋体"/>
                <w:kern w:val="0"/>
                <w:sz w:val="21"/>
                <w:szCs w:val="21"/>
              </w:rPr>
              <w:t>支持SSL解密日志信息输出，内容必须包含SSL协商相关的字段不少于13种（SNI、和客户端协商的TLS版本，和服务端协商的TLS版本，和客户端的握手算法，和服务器的握手算法，证书是否可信，服务器证书名称，服务器证书序列号，服务器证书颁发者，服务器证书有效期，协商是否成功，和客户端是否会话复用，和服务端是否会话复用）</w:t>
            </w:r>
          </w:p>
        </w:tc>
      </w:tr>
      <w:tr w14:paraId="0B76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38" w:type="pct"/>
            <w:vAlign w:val="center"/>
          </w:tcPr>
          <w:p w14:paraId="41F0A163">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w:t>
            </w:r>
          </w:p>
        </w:tc>
        <w:tc>
          <w:tcPr>
            <w:tcW w:w="852" w:type="pct"/>
            <w:vMerge w:val="restart"/>
            <w:vAlign w:val="center"/>
          </w:tcPr>
          <w:p w14:paraId="5D262E13">
            <w:pPr>
              <w:widowControl/>
              <w:jc w:val="center"/>
              <w:rPr>
                <w:rFonts w:ascii="宋体" w:hAnsi="宋体" w:eastAsia="宋体" w:cs="宋体"/>
                <w:kern w:val="0"/>
                <w:sz w:val="21"/>
                <w:szCs w:val="21"/>
              </w:rPr>
            </w:pPr>
            <w:r>
              <w:rPr>
                <w:rFonts w:hint="eastAsia" w:ascii="宋体" w:hAnsi="宋体" w:eastAsia="宋体" w:cs="宋体"/>
                <w:kern w:val="0"/>
                <w:sz w:val="21"/>
                <w:szCs w:val="21"/>
              </w:rPr>
              <w:t>蜜罐策略</w:t>
            </w:r>
          </w:p>
        </w:tc>
        <w:tc>
          <w:tcPr>
            <w:tcW w:w="3609" w:type="pct"/>
            <w:vAlign w:val="center"/>
          </w:tcPr>
          <w:p w14:paraId="5EF8DB3B">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所投产品必须支持IPv4和IPv6流量的蜜罐引流策略，支持配置基于源安全域、目的安全域、源地址、目的地址、服务、VLAN的引流策略，并支持强制导流，能够通过设置服务器和端口进行引流</w:t>
            </w:r>
          </w:p>
        </w:tc>
      </w:tr>
      <w:tr w14:paraId="4C8B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38" w:type="pct"/>
            <w:vAlign w:val="center"/>
          </w:tcPr>
          <w:p w14:paraId="4C6178B3">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30</w:t>
            </w:r>
          </w:p>
        </w:tc>
        <w:tc>
          <w:tcPr>
            <w:tcW w:w="852" w:type="pct"/>
            <w:vMerge w:val="continue"/>
            <w:vAlign w:val="center"/>
          </w:tcPr>
          <w:p w14:paraId="7864E833">
            <w:pPr>
              <w:widowControl/>
              <w:jc w:val="left"/>
              <w:rPr>
                <w:rFonts w:ascii="宋体" w:hAnsi="宋体" w:eastAsia="宋体" w:cs="宋体"/>
                <w:kern w:val="0"/>
                <w:sz w:val="21"/>
                <w:szCs w:val="21"/>
              </w:rPr>
            </w:pPr>
          </w:p>
        </w:tc>
        <w:tc>
          <w:tcPr>
            <w:tcW w:w="3609" w:type="pct"/>
            <w:vAlign w:val="center"/>
          </w:tcPr>
          <w:p w14:paraId="037978CC">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所投产品必须支持威胁引流功能，威胁引流可以通过开关设置是否开启，通过添加蜜罐地址实现引流，同时支持添加例外域名，做到精细化引流管控</w:t>
            </w:r>
          </w:p>
        </w:tc>
      </w:tr>
      <w:tr w14:paraId="44EC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538" w:type="pct"/>
            <w:vAlign w:val="center"/>
          </w:tcPr>
          <w:p w14:paraId="08ED952A">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31</w:t>
            </w:r>
          </w:p>
        </w:tc>
        <w:tc>
          <w:tcPr>
            <w:tcW w:w="852" w:type="pct"/>
            <w:vMerge w:val="restart"/>
            <w:vAlign w:val="center"/>
          </w:tcPr>
          <w:p w14:paraId="7260C048">
            <w:pPr>
              <w:widowControl/>
              <w:jc w:val="left"/>
              <w:rPr>
                <w:rFonts w:ascii="宋体" w:hAnsi="宋体" w:eastAsia="宋体" w:cs="宋体"/>
                <w:kern w:val="0"/>
                <w:sz w:val="21"/>
                <w:szCs w:val="21"/>
              </w:rPr>
            </w:pPr>
            <w:r>
              <w:rPr>
                <w:rFonts w:hint="eastAsia" w:ascii="宋体" w:hAnsi="宋体" w:eastAsia="宋体" w:cs="宋体"/>
                <w:kern w:val="0"/>
                <w:sz w:val="21"/>
                <w:szCs w:val="21"/>
              </w:rPr>
              <w:t>网络异常感知</w:t>
            </w:r>
          </w:p>
        </w:tc>
        <w:tc>
          <w:tcPr>
            <w:tcW w:w="3609" w:type="pct"/>
            <w:vAlign w:val="center"/>
          </w:tcPr>
          <w:p w14:paraId="59088AB2">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基于主机或威胁情报视图，统计网络中确认被入侵、攻破的主机数量，至少可查看被入侵、攻破的时间、威胁类别、情报来源、威胁简介、被入侵、攻破的主机IP、用户名、资产等信息；并对威胁情报发现的恶意主机执行自动阻断</w:t>
            </w:r>
          </w:p>
        </w:tc>
      </w:tr>
      <w:tr w14:paraId="05B1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38" w:type="pct"/>
            <w:vAlign w:val="center"/>
          </w:tcPr>
          <w:p w14:paraId="7E4FF4CA">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w:t>
            </w:r>
          </w:p>
        </w:tc>
        <w:tc>
          <w:tcPr>
            <w:tcW w:w="852" w:type="pct"/>
            <w:vMerge w:val="continue"/>
            <w:vAlign w:val="center"/>
          </w:tcPr>
          <w:p w14:paraId="66479BF7">
            <w:pPr>
              <w:widowControl/>
              <w:jc w:val="left"/>
              <w:rPr>
                <w:rFonts w:ascii="宋体" w:hAnsi="宋体" w:eastAsia="宋体" w:cs="宋体"/>
                <w:kern w:val="0"/>
                <w:sz w:val="21"/>
                <w:szCs w:val="21"/>
              </w:rPr>
            </w:pPr>
          </w:p>
        </w:tc>
        <w:tc>
          <w:tcPr>
            <w:tcW w:w="3609" w:type="pct"/>
            <w:vAlign w:val="center"/>
          </w:tcPr>
          <w:p w14:paraId="3B85B528">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用户自定义重点URL分类和应用，并可基于定义的重点关注对象进行用户维度关联，并结合分析中心进行基于关联的用户/地址、URL分类、应用进行二次递进式深度分析，挖掘异常用户及异常网络行为。</w:t>
            </w:r>
          </w:p>
        </w:tc>
      </w:tr>
      <w:tr w14:paraId="7791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38" w:type="pct"/>
            <w:vAlign w:val="center"/>
          </w:tcPr>
          <w:p w14:paraId="69236C7E">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33</w:t>
            </w:r>
          </w:p>
        </w:tc>
        <w:tc>
          <w:tcPr>
            <w:tcW w:w="852" w:type="pct"/>
            <w:vAlign w:val="center"/>
          </w:tcPr>
          <w:p w14:paraId="1AAD64DD">
            <w:pPr>
              <w:widowControl/>
              <w:jc w:val="left"/>
              <w:rPr>
                <w:rFonts w:ascii="宋体" w:hAnsi="宋体" w:eastAsia="宋体" w:cs="宋体"/>
                <w:kern w:val="0"/>
                <w:sz w:val="21"/>
                <w:szCs w:val="21"/>
              </w:rPr>
            </w:pPr>
            <w:r>
              <w:rPr>
                <w:rFonts w:hint="eastAsia" w:ascii="宋体" w:hAnsi="宋体" w:eastAsia="宋体" w:cs="宋体"/>
                <w:kern w:val="0"/>
                <w:sz w:val="21"/>
                <w:szCs w:val="21"/>
              </w:rPr>
              <w:t>安全事件分析</w:t>
            </w:r>
          </w:p>
        </w:tc>
        <w:tc>
          <w:tcPr>
            <w:tcW w:w="3609" w:type="pct"/>
            <w:vAlign w:val="center"/>
          </w:tcPr>
          <w:p w14:paraId="4990EB2D">
            <w:pPr>
              <w:widowControl/>
              <w:rPr>
                <w:rFonts w:ascii="宋体" w:hAnsi="宋体" w:eastAsia="宋体" w:cs="宋体"/>
                <w:kern w:val="0"/>
                <w:sz w:val="21"/>
                <w:szCs w:val="21"/>
              </w:rPr>
            </w:pPr>
            <w:r>
              <w:rPr>
                <w:rFonts w:hint="eastAsia" w:ascii="宋体" w:hAnsi="宋体" w:eastAsia="宋体" w:cs="宋体"/>
                <w:kern w:val="0"/>
                <w:sz w:val="21"/>
                <w:szCs w:val="21"/>
              </w:rPr>
              <w:t>所投设备必须提供关联分析面板，可将Top应用、Top威胁、Top URL分类、Top源地址、Top目的地址等信息关联，并支持以任意元素于为过滤条件且不少于35个维度进行数据钻取</w:t>
            </w:r>
          </w:p>
        </w:tc>
      </w:tr>
      <w:tr w14:paraId="004E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38" w:type="pct"/>
            <w:vAlign w:val="center"/>
          </w:tcPr>
          <w:p w14:paraId="511E05D6">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34</w:t>
            </w:r>
          </w:p>
        </w:tc>
        <w:tc>
          <w:tcPr>
            <w:tcW w:w="852" w:type="pct"/>
            <w:vMerge w:val="restart"/>
            <w:vAlign w:val="center"/>
          </w:tcPr>
          <w:p w14:paraId="746B8C0F">
            <w:pPr>
              <w:widowControl/>
              <w:jc w:val="left"/>
              <w:rPr>
                <w:rFonts w:ascii="宋体" w:hAnsi="宋体" w:eastAsia="宋体" w:cs="宋体"/>
                <w:kern w:val="0"/>
                <w:sz w:val="21"/>
                <w:szCs w:val="21"/>
              </w:rPr>
            </w:pPr>
            <w:r>
              <w:rPr>
                <w:rFonts w:hint="eastAsia" w:ascii="宋体" w:hAnsi="宋体" w:eastAsia="宋体" w:cs="宋体"/>
                <w:kern w:val="0"/>
                <w:sz w:val="21"/>
                <w:szCs w:val="21"/>
              </w:rPr>
              <w:t>策略与处置</w:t>
            </w:r>
          </w:p>
        </w:tc>
        <w:tc>
          <w:tcPr>
            <w:tcW w:w="3609" w:type="pct"/>
            <w:vAlign w:val="center"/>
          </w:tcPr>
          <w:p w14:paraId="02649655">
            <w:pPr>
              <w:widowControl/>
              <w:rPr>
                <w:rFonts w:ascii="宋体" w:hAnsi="宋体" w:eastAsia="宋体" w:cs="宋体"/>
                <w:kern w:val="0"/>
                <w:sz w:val="21"/>
                <w:szCs w:val="21"/>
              </w:rPr>
            </w:pPr>
            <w:r>
              <w:rPr>
                <w:rFonts w:hint="eastAsia" w:ascii="宋体" w:hAnsi="宋体" w:eastAsia="宋体" w:cs="宋体"/>
                <w:kern w:val="0"/>
                <w:sz w:val="21"/>
                <w:szCs w:val="21"/>
              </w:rPr>
              <w:t>所投设备可在单条策略中启用病毒防护、入侵防御、网址过滤、文件过滤、文件内容过滤、终端过滤等安全功能选项。</w:t>
            </w:r>
          </w:p>
        </w:tc>
      </w:tr>
      <w:tr w14:paraId="0DEA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38" w:type="pct"/>
            <w:vAlign w:val="center"/>
          </w:tcPr>
          <w:p w14:paraId="07DC46A1">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35</w:t>
            </w:r>
          </w:p>
        </w:tc>
        <w:tc>
          <w:tcPr>
            <w:tcW w:w="852" w:type="pct"/>
            <w:vMerge w:val="continue"/>
            <w:vAlign w:val="center"/>
          </w:tcPr>
          <w:p w14:paraId="52D29AB2">
            <w:pPr>
              <w:widowControl/>
              <w:jc w:val="left"/>
              <w:rPr>
                <w:rFonts w:ascii="宋体" w:hAnsi="宋体" w:eastAsia="宋体" w:cs="宋体"/>
                <w:kern w:val="0"/>
                <w:sz w:val="21"/>
                <w:szCs w:val="21"/>
              </w:rPr>
            </w:pPr>
          </w:p>
        </w:tc>
        <w:tc>
          <w:tcPr>
            <w:tcW w:w="3609" w:type="pct"/>
            <w:vAlign w:val="center"/>
          </w:tcPr>
          <w:p w14:paraId="749233AF">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接收针对突发重大安全事件的“应急响应消息”，并至少在界面显示安全事件名称、类型、当前防护状态、处置状态以及相应的操作等信息；并可根据设备安全配置的变化动态显示应急响应的处理结果</w:t>
            </w:r>
          </w:p>
        </w:tc>
      </w:tr>
      <w:tr w14:paraId="5953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38" w:type="pct"/>
            <w:vAlign w:val="center"/>
          </w:tcPr>
          <w:p w14:paraId="1A1C6212">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852" w:type="pct"/>
            <w:vMerge w:val="continue"/>
            <w:vAlign w:val="center"/>
          </w:tcPr>
          <w:p w14:paraId="773CCC00">
            <w:pPr>
              <w:widowControl/>
              <w:jc w:val="left"/>
              <w:rPr>
                <w:rFonts w:ascii="宋体" w:hAnsi="宋体" w:eastAsia="宋体" w:cs="宋体"/>
                <w:kern w:val="0"/>
                <w:sz w:val="21"/>
                <w:szCs w:val="21"/>
              </w:rPr>
            </w:pPr>
          </w:p>
        </w:tc>
        <w:tc>
          <w:tcPr>
            <w:tcW w:w="3609" w:type="pct"/>
            <w:vAlign w:val="center"/>
          </w:tcPr>
          <w:p w14:paraId="6734AFF3">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所投产品必须支持针对“应急响应消息”的手动或自动处置，处置方法至少包括基于漏洞的处置和基于威胁情报的处置。</w:t>
            </w:r>
          </w:p>
        </w:tc>
      </w:tr>
      <w:tr w14:paraId="5F57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38" w:type="pct"/>
            <w:vAlign w:val="center"/>
          </w:tcPr>
          <w:p w14:paraId="7792439E">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37</w:t>
            </w:r>
          </w:p>
        </w:tc>
        <w:tc>
          <w:tcPr>
            <w:tcW w:w="852" w:type="pct"/>
            <w:vMerge w:val="restart"/>
            <w:vAlign w:val="center"/>
          </w:tcPr>
          <w:p w14:paraId="2C5C4F7D">
            <w:pPr>
              <w:widowControl/>
              <w:jc w:val="center"/>
              <w:rPr>
                <w:rFonts w:ascii="宋体" w:hAnsi="宋体" w:eastAsia="宋体" w:cs="宋体"/>
                <w:kern w:val="0"/>
                <w:sz w:val="21"/>
                <w:szCs w:val="21"/>
              </w:rPr>
            </w:pPr>
            <w:r>
              <w:rPr>
                <w:rFonts w:hint="eastAsia" w:ascii="宋体" w:hAnsi="宋体" w:eastAsia="宋体" w:cs="宋体"/>
                <w:kern w:val="0"/>
                <w:sz w:val="21"/>
                <w:szCs w:val="21"/>
              </w:rPr>
              <w:t>运维管理</w:t>
            </w:r>
          </w:p>
        </w:tc>
        <w:tc>
          <w:tcPr>
            <w:tcW w:w="3609" w:type="pct"/>
            <w:vAlign w:val="center"/>
          </w:tcPr>
          <w:p w14:paraId="3E717687">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所投产品必须支持双系统备份，且在系统切换中可实现配置的自动迁移；可记录不同时间点的历史配置文件。</w:t>
            </w:r>
          </w:p>
        </w:tc>
      </w:tr>
      <w:tr w14:paraId="702F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538" w:type="pct"/>
            <w:vAlign w:val="center"/>
          </w:tcPr>
          <w:p w14:paraId="3EF49098">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38</w:t>
            </w:r>
          </w:p>
        </w:tc>
        <w:tc>
          <w:tcPr>
            <w:tcW w:w="852" w:type="pct"/>
            <w:vMerge w:val="continue"/>
            <w:vAlign w:val="center"/>
          </w:tcPr>
          <w:p w14:paraId="226D2387">
            <w:pPr>
              <w:widowControl/>
              <w:jc w:val="left"/>
              <w:rPr>
                <w:rFonts w:ascii="宋体" w:hAnsi="宋体" w:eastAsia="宋体" w:cs="宋体"/>
                <w:kern w:val="0"/>
                <w:sz w:val="21"/>
                <w:szCs w:val="21"/>
              </w:rPr>
            </w:pPr>
          </w:p>
        </w:tc>
        <w:tc>
          <w:tcPr>
            <w:tcW w:w="3609" w:type="pct"/>
            <w:vAlign w:val="center"/>
          </w:tcPr>
          <w:p w14:paraId="685FEBB7">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所投产品必须支持将告警信息以SNMP Trap、邮件、声音、短信等形式通知管理员，告警信息的范围至少包括配置变更、病毒事件、攻击事件、异常事件、失陷主机告警、并发数告警、CPU利用率、CPU温度、CPU风扇转速、机箱风扇转速、内存利用率、硬盘利用率、接口带宽比、NAT端口池利用率等；</w:t>
            </w:r>
            <w:r>
              <w:rPr>
                <w:rFonts w:ascii="宋体" w:hAnsi="宋体" w:eastAsia="宋体" w:cs="宋体"/>
                <w:kern w:val="0"/>
                <w:sz w:val="21"/>
                <w:szCs w:val="21"/>
              </w:rPr>
              <w:t xml:space="preserve"> </w:t>
            </w:r>
          </w:p>
        </w:tc>
      </w:tr>
      <w:tr w14:paraId="2D3C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538" w:type="pct"/>
            <w:vAlign w:val="center"/>
          </w:tcPr>
          <w:p w14:paraId="227E5911">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39</w:t>
            </w:r>
          </w:p>
        </w:tc>
        <w:tc>
          <w:tcPr>
            <w:tcW w:w="852" w:type="pct"/>
            <w:vMerge w:val="continue"/>
            <w:vAlign w:val="center"/>
          </w:tcPr>
          <w:p w14:paraId="4519F4C3">
            <w:pPr>
              <w:widowControl/>
              <w:jc w:val="left"/>
              <w:rPr>
                <w:rFonts w:ascii="宋体" w:hAnsi="宋体" w:eastAsia="宋体" w:cs="宋体"/>
                <w:kern w:val="0"/>
                <w:sz w:val="21"/>
                <w:szCs w:val="21"/>
              </w:rPr>
            </w:pPr>
          </w:p>
        </w:tc>
        <w:tc>
          <w:tcPr>
            <w:tcW w:w="3609" w:type="pct"/>
            <w:vAlign w:val="center"/>
          </w:tcPr>
          <w:p w14:paraId="63846F89">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所投产品必须支持入侵防御特征库、病毒库、URL资源库、漏洞扫描库、WEB应用防护库、弱口令检测库、威胁情报库、应用识别库等数据库的实时更新或手动更新。</w:t>
            </w:r>
          </w:p>
        </w:tc>
      </w:tr>
      <w:tr w14:paraId="2F7E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8" w:type="pct"/>
            <w:vAlign w:val="center"/>
          </w:tcPr>
          <w:p w14:paraId="53AE60CE">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40</w:t>
            </w:r>
          </w:p>
        </w:tc>
        <w:tc>
          <w:tcPr>
            <w:tcW w:w="852" w:type="pct"/>
            <w:vMerge w:val="continue"/>
            <w:vAlign w:val="center"/>
          </w:tcPr>
          <w:p w14:paraId="4278E163">
            <w:pPr>
              <w:widowControl/>
              <w:jc w:val="left"/>
              <w:rPr>
                <w:rFonts w:ascii="宋体" w:hAnsi="宋体" w:eastAsia="宋体" w:cs="宋体"/>
                <w:kern w:val="0"/>
                <w:sz w:val="21"/>
                <w:szCs w:val="21"/>
              </w:rPr>
            </w:pPr>
          </w:p>
        </w:tc>
        <w:tc>
          <w:tcPr>
            <w:tcW w:w="3609" w:type="pct"/>
            <w:vAlign w:val="center"/>
          </w:tcPr>
          <w:p w14:paraId="048B4AE7">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所投产品必须支持业务接口下Netflow功能，能够通过Netflow实现对网络进行监控，可支持Netflow数据外发</w:t>
            </w:r>
          </w:p>
        </w:tc>
      </w:tr>
      <w:tr w14:paraId="4564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538" w:type="pct"/>
            <w:vAlign w:val="center"/>
          </w:tcPr>
          <w:p w14:paraId="07F5FDE7">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41</w:t>
            </w:r>
          </w:p>
        </w:tc>
        <w:tc>
          <w:tcPr>
            <w:tcW w:w="852" w:type="pct"/>
            <w:vMerge w:val="continue"/>
            <w:vAlign w:val="center"/>
          </w:tcPr>
          <w:p w14:paraId="1AEB6F22">
            <w:pPr>
              <w:widowControl/>
              <w:jc w:val="left"/>
              <w:rPr>
                <w:rFonts w:ascii="宋体" w:hAnsi="宋体" w:eastAsia="宋体" w:cs="宋体"/>
                <w:kern w:val="0"/>
                <w:sz w:val="21"/>
                <w:szCs w:val="21"/>
              </w:rPr>
            </w:pPr>
          </w:p>
        </w:tc>
        <w:tc>
          <w:tcPr>
            <w:tcW w:w="3609" w:type="pct"/>
            <w:vAlign w:val="center"/>
          </w:tcPr>
          <w:p w14:paraId="4395CEA3">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资产管理，能够通过设置资产监控、VPN、源安全域来控制资产识别范围，支持scanner或onvif类型的扫描方式和网段，实现自动或手动资产扫描；支持通过设置IP地址、MAC地址、资产类型、生效时长、厂商、位置等信息来制定黑/白名单，方便日常资产管理，支持通过设置IP地址、MAC地址、资产类型、操作系统、应用、开放的端口和访问的端口等信息来制定资产指纹库</w:t>
            </w:r>
          </w:p>
        </w:tc>
      </w:tr>
      <w:tr w14:paraId="03C2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38" w:type="pct"/>
            <w:vAlign w:val="center"/>
          </w:tcPr>
          <w:p w14:paraId="5F17AFDA">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42</w:t>
            </w:r>
          </w:p>
        </w:tc>
        <w:tc>
          <w:tcPr>
            <w:tcW w:w="852" w:type="pct"/>
            <w:vMerge w:val="restart"/>
            <w:vAlign w:val="center"/>
          </w:tcPr>
          <w:p w14:paraId="46B54BCA">
            <w:pPr>
              <w:widowControl/>
              <w:jc w:val="left"/>
              <w:rPr>
                <w:rFonts w:ascii="宋体" w:hAnsi="宋体" w:eastAsia="宋体" w:cs="宋体"/>
                <w:kern w:val="0"/>
                <w:sz w:val="21"/>
                <w:szCs w:val="21"/>
              </w:rPr>
            </w:pPr>
            <w:r>
              <w:rPr>
                <w:rFonts w:hint="eastAsia" w:ascii="宋体" w:hAnsi="宋体" w:eastAsia="宋体" w:cs="宋体"/>
                <w:kern w:val="0"/>
                <w:sz w:val="21"/>
                <w:szCs w:val="21"/>
              </w:rPr>
              <w:t>安全协同</w:t>
            </w:r>
          </w:p>
        </w:tc>
        <w:tc>
          <w:tcPr>
            <w:tcW w:w="3609" w:type="pct"/>
            <w:vAlign w:val="center"/>
          </w:tcPr>
          <w:p w14:paraId="6505F935">
            <w:pPr>
              <w:widowControl/>
              <w:jc w:val="left"/>
              <w:rPr>
                <w:rFonts w:ascii="宋体" w:hAnsi="宋体" w:eastAsia="宋体" w:cs="宋体"/>
                <w:kern w:val="0"/>
                <w:sz w:val="21"/>
                <w:szCs w:val="21"/>
              </w:rPr>
            </w:pPr>
            <w:r>
              <w:rPr>
                <w:rFonts w:hint="eastAsia" w:ascii="宋体" w:hAnsi="宋体" w:eastAsia="宋体" w:cs="宋体"/>
                <w:kern w:val="0"/>
                <w:sz w:val="21"/>
                <w:szCs w:val="21"/>
              </w:rPr>
              <w:t>所投产品必须支持与云端联动，至少实现病毒云查杀、URL云识别、应用云识别、云沙箱、威胁情报云检测等功能。</w:t>
            </w:r>
          </w:p>
        </w:tc>
      </w:tr>
      <w:tr w14:paraId="665C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38" w:type="pct"/>
            <w:vAlign w:val="center"/>
          </w:tcPr>
          <w:p w14:paraId="234BA1AC">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43</w:t>
            </w:r>
          </w:p>
        </w:tc>
        <w:tc>
          <w:tcPr>
            <w:tcW w:w="852" w:type="pct"/>
            <w:vMerge w:val="continue"/>
            <w:vAlign w:val="center"/>
          </w:tcPr>
          <w:p w14:paraId="738A13D6">
            <w:pPr>
              <w:widowControl/>
              <w:jc w:val="left"/>
              <w:rPr>
                <w:rFonts w:ascii="宋体" w:hAnsi="宋体" w:eastAsia="宋体" w:cs="宋体"/>
                <w:kern w:val="0"/>
                <w:sz w:val="21"/>
                <w:szCs w:val="21"/>
              </w:rPr>
            </w:pPr>
          </w:p>
        </w:tc>
        <w:tc>
          <w:tcPr>
            <w:tcW w:w="3609" w:type="pct"/>
            <w:vAlign w:val="center"/>
          </w:tcPr>
          <w:p w14:paraId="085A2F17">
            <w:pPr>
              <w:widowControl/>
              <w:jc w:val="left"/>
              <w:rPr>
                <w:rFonts w:ascii="宋体" w:hAnsi="宋体" w:eastAsia="宋体" w:cs="宋体"/>
                <w:kern w:val="0"/>
                <w:sz w:val="21"/>
                <w:szCs w:val="21"/>
              </w:rPr>
            </w:pPr>
            <w:r>
              <w:rPr>
                <w:rFonts w:hint="eastAsia" w:ascii="宋体" w:hAnsi="宋体" w:eastAsia="宋体" w:cs="宋体"/>
                <w:kern w:val="0"/>
                <w:sz w:val="21"/>
                <w:szCs w:val="21"/>
              </w:rPr>
              <w:t>支持本地+云端威胁情报联动能力，本地威胁情报支持手动和自动升级，针对DNS行为可实现控制、放行、阻断和DNS sinkhole。</w:t>
            </w:r>
          </w:p>
        </w:tc>
      </w:tr>
      <w:tr w14:paraId="1B88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38" w:type="pct"/>
            <w:vAlign w:val="center"/>
          </w:tcPr>
          <w:p w14:paraId="20AD3453">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44</w:t>
            </w:r>
          </w:p>
        </w:tc>
        <w:tc>
          <w:tcPr>
            <w:tcW w:w="852" w:type="pct"/>
            <w:vMerge w:val="continue"/>
            <w:vAlign w:val="center"/>
          </w:tcPr>
          <w:p w14:paraId="4A8544CA">
            <w:pPr>
              <w:widowControl/>
              <w:jc w:val="left"/>
              <w:rPr>
                <w:rFonts w:ascii="宋体" w:hAnsi="宋体" w:eastAsia="宋体" w:cs="宋体"/>
                <w:kern w:val="0"/>
                <w:sz w:val="21"/>
                <w:szCs w:val="21"/>
              </w:rPr>
            </w:pPr>
          </w:p>
        </w:tc>
        <w:tc>
          <w:tcPr>
            <w:tcW w:w="3609" w:type="pct"/>
            <w:vAlign w:val="center"/>
          </w:tcPr>
          <w:p w14:paraId="32EE7832">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所投产品必须支持作为轻量级“探针”与现有的态势感知系统联动，上报网络活动产生的数据至网络威胁感知系统；并支持接收来自网络威胁感知系统推送的处置策略，及时拦截绕过防御措施产生的高级威胁。</w:t>
            </w:r>
          </w:p>
        </w:tc>
      </w:tr>
      <w:tr w14:paraId="502B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538" w:type="pct"/>
            <w:vAlign w:val="center"/>
          </w:tcPr>
          <w:p w14:paraId="4F1E9F92">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45</w:t>
            </w:r>
          </w:p>
        </w:tc>
        <w:tc>
          <w:tcPr>
            <w:tcW w:w="852" w:type="pct"/>
            <w:vMerge w:val="continue"/>
            <w:vAlign w:val="center"/>
          </w:tcPr>
          <w:p w14:paraId="3340643A">
            <w:pPr>
              <w:widowControl/>
              <w:jc w:val="left"/>
              <w:rPr>
                <w:rFonts w:ascii="宋体" w:hAnsi="宋体" w:eastAsia="宋体" w:cs="宋体"/>
                <w:kern w:val="0"/>
                <w:sz w:val="21"/>
                <w:szCs w:val="21"/>
              </w:rPr>
            </w:pPr>
          </w:p>
        </w:tc>
        <w:tc>
          <w:tcPr>
            <w:tcW w:w="3609" w:type="pct"/>
            <w:vAlign w:val="center"/>
          </w:tcPr>
          <w:p w14:paraId="2E134BEB">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所投产品必须支持与现有的终端管理软联动，实现基于终端健康状态的访问控制；并支持阻断“高风险”终端网络活动的同时，提示被阻断原因及重定向自定义网址。</w:t>
            </w:r>
          </w:p>
        </w:tc>
      </w:tr>
      <w:tr w14:paraId="2C2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8" w:type="pct"/>
            <w:vAlign w:val="center"/>
          </w:tcPr>
          <w:p w14:paraId="3F82A701">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46</w:t>
            </w:r>
          </w:p>
        </w:tc>
        <w:tc>
          <w:tcPr>
            <w:tcW w:w="852" w:type="pct"/>
            <w:vMerge w:val="continue"/>
            <w:vAlign w:val="center"/>
          </w:tcPr>
          <w:p w14:paraId="184AE970">
            <w:pPr>
              <w:widowControl/>
              <w:jc w:val="left"/>
              <w:rPr>
                <w:rFonts w:ascii="宋体" w:hAnsi="宋体" w:eastAsia="宋体" w:cs="宋体"/>
                <w:kern w:val="0"/>
                <w:sz w:val="21"/>
                <w:szCs w:val="21"/>
              </w:rPr>
            </w:pPr>
          </w:p>
        </w:tc>
        <w:tc>
          <w:tcPr>
            <w:tcW w:w="3609" w:type="pct"/>
            <w:vAlign w:val="center"/>
          </w:tcPr>
          <w:p w14:paraId="4A2E1629">
            <w:pPr>
              <w:widowControl/>
              <w:rPr>
                <w:rFonts w:ascii="宋体" w:hAnsi="宋体" w:eastAsia="宋体" w:cs="宋体"/>
                <w:kern w:val="0"/>
                <w:sz w:val="21"/>
                <w:szCs w:val="21"/>
              </w:rPr>
            </w:pPr>
            <w:r>
              <w:rPr>
                <w:rFonts w:hint="eastAsia" w:ascii="宋体" w:hAnsi="宋体" w:eastAsia="宋体" w:cs="宋体"/>
                <w:kern w:val="0"/>
                <w:sz w:val="21"/>
                <w:szCs w:val="21"/>
              </w:rPr>
              <w:t>所投产品必须支持与同品牌的终端管理系统、蜜罐等联动功能。</w:t>
            </w:r>
          </w:p>
        </w:tc>
      </w:tr>
      <w:tr w14:paraId="455E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38" w:type="pct"/>
            <w:noWrap/>
            <w:vAlign w:val="center"/>
          </w:tcPr>
          <w:p w14:paraId="6D77EB14">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47</w:t>
            </w:r>
          </w:p>
        </w:tc>
        <w:tc>
          <w:tcPr>
            <w:tcW w:w="852" w:type="pct"/>
            <w:vMerge w:val="restart"/>
            <w:noWrap/>
            <w:vAlign w:val="center"/>
          </w:tcPr>
          <w:p w14:paraId="07FEEFB0">
            <w:pPr>
              <w:widowControl/>
              <w:jc w:val="center"/>
              <w:rPr>
                <w:rFonts w:ascii="宋体" w:hAnsi="宋体" w:eastAsia="宋体" w:cs="宋体"/>
                <w:kern w:val="0"/>
                <w:sz w:val="21"/>
                <w:szCs w:val="21"/>
              </w:rPr>
            </w:pPr>
            <w:r>
              <w:rPr>
                <w:rFonts w:hint="eastAsia" w:ascii="宋体" w:hAnsi="宋体" w:eastAsia="宋体" w:cs="宋体"/>
                <w:kern w:val="0"/>
                <w:sz w:val="21"/>
                <w:szCs w:val="21"/>
              </w:rPr>
              <w:t>产品资质</w:t>
            </w:r>
          </w:p>
        </w:tc>
        <w:tc>
          <w:tcPr>
            <w:tcW w:w="3609" w:type="pct"/>
            <w:vAlign w:val="center"/>
          </w:tcPr>
          <w:p w14:paraId="7237A077">
            <w:pPr>
              <w:jc w:val="left"/>
              <w:rPr>
                <w:rFonts w:ascii="宋体" w:hAnsi="宋体" w:eastAsia="宋体" w:cs="宋体"/>
                <w:kern w:val="0"/>
                <w:sz w:val="21"/>
                <w:szCs w:val="21"/>
              </w:rPr>
            </w:pPr>
            <w:r>
              <w:rPr>
                <w:rFonts w:hint="eastAsia" w:ascii="宋体" w:hAnsi="宋体" w:eastAsia="宋体" w:cs="宋体"/>
                <w:kern w:val="0"/>
                <w:sz w:val="21"/>
                <w:szCs w:val="21"/>
              </w:rPr>
              <w:t>所投产品具备国家信息安全测评中心颁发的《信息技术产品安全测评证书》（千兆 或 万兆EAL4+）</w:t>
            </w:r>
          </w:p>
        </w:tc>
      </w:tr>
      <w:tr w14:paraId="68B2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38" w:type="pct"/>
            <w:vAlign w:val="center"/>
          </w:tcPr>
          <w:p w14:paraId="78398144">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48</w:t>
            </w:r>
          </w:p>
        </w:tc>
        <w:tc>
          <w:tcPr>
            <w:tcW w:w="852" w:type="pct"/>
            <w:vMerge w:val="continue"/>
            <w:vAlign w:val="center"/>
          </w:tcPr>
          <w:p w14:paraId="660D6570">
            <w:pPr>
              <w:widowControl/>
              <w:jc w:val="left"/>
              <w:rPr>
                <w:rFonts w:ascii="宋体" w:hAnsi="宋体" w:eastAsia="宋体" w:cs="宋体"/>
                <w:kern w:val="0"/>
                <w:sz w:val="21"/>
                <w:szCs w:val="21"/>
              </w:rPr>
            </w:pPr>
          </w:p>
        </w:tc>
        <w:tc>
          <w:tcPr>
            <w:tcW w:w="3609" w:type="pct"/>
            <w:vAlign w:val="center"/>
          </w:tcPr>
          <w:p w14:paraId="29AB9AD2">
            <w:pPr>
              <w:widowControl/>
              <w:rPr>
                <w:rFonts w:ascii="宋体" w:hAnsi="宋体" w:eastAsia="宋体" w:cs="宋体"/>
                <w:kern w:val="0"/>
                <w:sz w:val="21"/>
                <w:szCs w:val="21"/>
              </w:rPr>
            </w:pPr>
            <w:r>
              <w:rPr>
                <w:rFonts w:hint="eastAsia" w:ascii="宋体" w:hAnsi="宋体" w:eastAsia="宋体" w:cs="宋体"/>
                <w:kern w:val="0"/>
                <w:sz w:val="21"/>
                <w:szCs w:val="21"/>
              </w:rPr>
              <w:t>具备中国信息安全测评中心颁发自主原创证书</w:t>
            </w:r>
          </w:p>
        </w:tc>
      </w:tr>
      <w:tr w14:paraId="0983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38" w:type="pct"/>
            <w:vAlign w:val="center"/>
          </w:tcPr>
          <w:p w14:paraId="015B43E7">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49</w:t>
            </w:r>
          </w:p>
        </w:tc>
        <w:tc>
          <w:tcPr>
            <w:tcW w:w="852" w:type="pct"/>
            <w:vMerge w:val="continue"/>
            <w:vAlign w:val="center"/>
          </w:tcPr>
          <w:p w14:paraId="0A869AB3">
            <w:pPr>
              <w:widowControl/>
              <w:jc w:val="left"/>
              <w:rPr>
                <w:rFonts w:ascii="宋体" w:hAnsi="宋体" w:eastAsia="宋体" w:cs="宋体"/>
                <w:kern w:val="0"/>
                <w:sz w:val="21"/>
                <w:szCs w:val="21"/>
              </w:rPr>
            </w:pPr>
          </w:p>
        </w:tc>
        <w:tc>
          <w:tcPr>
            <w:tcW w:w="3609" w:type="pct"/>
            <w:vAlign w:val="center"/>
          </w:tcPr>
          <w:p w14:paraId="25D049BB">
            <w:pPr>
              <w:widowControl/>
              <w:rPr>
                <w:rFonts w:ascii="宋体" w:hAnsi="宋体" w:eastAsia="宋体" w:cs="宋体"/>
                <w:kern w:val="0"/>
                <w:sz w:val="21"/>
                <w:szCs w:val="21"/>
              </w:rPr>
            </w:pPr>
            <w:r>
              <w:rPr>
                <w:rFonts w:hint="eastAsia" w:ascii="宋体" w:hAnsi="宋体" w:eastAsia="宋体" w:cs="宋体"/>
                <w:kern w:val="0"/>
                <w:sz w:val="21"/>
                <w:szCs w:val="21"/>
              </w:rPr>
              <w:t>具备IPv6 Enabled Logo认证</w:t>
            </w:r>
          </w:p>
        </w:tc>
      </w:tr>
      <w:tr w14:paraId="6A9E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38" w:type="pct"/>
            <w:vAlign w:val="center"/>
          </w:tcPr>
          <w:p w14:paraId="0F70301E">
            <w:pPr>
              <w:widowControl/>
              <w:rPr>
                <w:rFonts w:hint="default" w:ascii="宋体" w:hAnsi="宋体" w:eastAsia="宋体" w:cs="宋体"/>
                <w:kern w:val="0"/>
                <w:sz w:val="21"/>
                <w:szCs w:val="21"/>
                <w:lang w:val="en-US" w:eastAsia="zh-CN"/>
              </w:rPr>
            </w:pPr>
            <w:bookmarkStart w:id="1" w:name="_Hlk192236793"/>
            <w:r>
              <w:rPr>
                <w:rFonts w:hint="eastAsia" w:ascii="宋体" w:hAnsi="宋体" w:eastAsia="宋体" w:cs="宋体"/>
                <w:kern w:val="0"/>
                <w:sz w:val="21"/>
                <w:szCs w:val="21"/>
                <w:lang w:val="en-US" w:eastAsia="zh-CN"/>
              </w:rPr>
              <w:t>50</w:t>
            </w:r>
          </w:p>
        </w:tc>
        <w:tc>
          <w:tcPr>
            <w:tcW w:w="852" w:type="pct"/>
            <w:vMerge w:val="restart"/>
            <w:vAlign w:val="center"/>
          </w:tcPr>
          <w:p w14:paraId="53D1C3E2">
            <w:pPr>
              <w:widowControl/>
              <w:rPr>
                <w:rFonts w:ascii="宋体" w:hAnsi="宋体" w:eastAsia="宋体" w:cs="宋体"/>
                <w:kern w:val="0"/>
                <w:sz w:val="21"/>
                <w:szCs w:val="21"/>
              </w:rPr>
            </w:pPr>
            <w:r>
              <w:rPr>
                <w:rFonts w:hint="eastAsia" w:ascii="宋体" w:hAnsi="宋体" w:eastAsia="宋体" w:cs="宋体"/>
                <w:kern w:val="0"/>
                <w:sz w:val="21"/>
                <w:szCs w:val="21"/>
              </w:rPr>
              <w:t>厂商资质</w:t>
            </w:r>
          </w:p>
        </w:tc>
        <w:tc>
          <w:tcPr>
            <w:tcW w:w="3609" w:type="pct"/>
            <w:vAlign w:val="center"/>
          </w:tcPr>
          <w:p w14:paraId="20F93C1A">
            <w:pPr>
              <w:widowControl/>
              <w:rPr>
                <w:rFonts w:ascii="宋体" w:hAnsi="宋体" w:eastAsia="宋体" w:cs="宋体"/>
                <w:kern w:val="0"/>
                <w:sz w:val="21"/>
                <w:szCs w:val="21"/>
              </w:rPr>
            </w:pPr>
            <w:r>
              <w:rPr>
                <w:rFonts w:hint="eastAsia" w:ascii="宋体" w:hAnsi="宋体" w:eastAsia="宋体"/>
                <w:sz w:val="21"/>
                <w:szCs w:val="21"/>
              </w:rPr>
              <w:t>设备厂商具备信息通信行业企业信用等级评价--运维服务领域(</w:t>
            </w:r>
            <w:r>
              <w:rPr>
                <w:rFonts w:ascii="宋体" w:hAnsi="宋体" w:eastAsia="宋体"/>
                <w:sz w:val="21"/>
                <w:szCs w:val="21"/>
              </w:rPr>
              <w:t>AAA)</w:t>
            </w:r>
          </w:p>
        </w:tc>
      </w:tr>
      <w:tr w14:paraId="153C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38" w:type="pct"/>
            <w:vAlign w:val="center"/>
          </w:tcPr>
          <w:p w14:paraId="4045166E">
            <w:pPr>
              <w:widowControl/>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51</w:t>
            </w:r>
          </w:p>
        </w:tc>
        <w:tc>
          <w:tcPr>
            <w:tcW w:w="852" w:type="pct"/>
            <w:vMerge w:val="continue"/>
            <w:vAlign w:val="center"/>
          </w:tcPr>
          <w:p w14:paraId="3FFE5382">
            <w:pPr>
              <w:widowControl/>
              <w:rPr>
                <w:rFonts w:ascii="宋体" w:hAnsi="宋体" w:eastAsia="宋体" w:cs="宋体"/>
                <w:kern w:val="0"/>
                <w:sz w:val="21"/>
                <w:szCs w:val="21"/>
              </w:rPr>
            </w:pPr>
          </w:p>
        </w:tc>
        <w:tc>
          <w:tcPr>
            <w:tcW w:w="3609" w:type="pct"/>
            <w:vAlign w:val="center"/>
          </w:tcPr>
          <w:p w14:paraId="392F5B9B">
            <w:pPr>
              <w:widowControl/>
              <w:rPr>
                <w:rFonts w:ascii="宋体" w:hAnsi="宋体" w:eastAsia="宋体"/>
                <w:sz w:val="21"/>
                <w:szCs w:val="21"/>
              </w:rPr>
            </w:pPr>
            <w:r>
              <w:rPr>
                <w:rFonts w:hint="eastAsia" w:ascii="宋体" w:hAnsi="宋体" w:eastAsia="宋体"/>
                <w:sz w:val="21"/>
                <w:szCs w:val="21"/>
              </w:rPr>
              <w:t>设备厂家具备CIC信息化建设及数字化能力评价证书（一级）</w:t>
            </w:r>
          </w:p>
        </w:tc>
      </w:tr>
      <w:tr w14:paraId="1A4C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38" w:type="pct"/>
            <w:vAlign w:val="center"/>
          </w:tcPr>
          <w:p w14:paraId="34959B64">
            <w:pPr>
              <w:widowControl/>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52</w:t>
            </w:r>
          </w:p>
        </w:tc>
        <w:tc>
          <w:tcPr>
            <w:tcW w:w="852" w:type="pct"/>
            <w:vMerge w:val="continue"/>
            <w:vAlign w:val="center"/>
          </w:tcPr>
          <w:p w14:paraId="3F1BEE46">
            <w:pPr>
              <w:widowControl/>
              <w:rPr>
                <w:rFonts w:ascii="宋体" w:hAnsi="宋体" w:eastAsia="宋体" w:cs="宋体"/>
                <w:kern w:val="0"/>
                <w:sz w:val="21"/>
                <w:szCs w:val="21"/>
              </w:rPr>
            </w:pPr>
          </w:p>
        </w:tc>
        <w:tc>
          <w:tcPr>
            <w:tcW w:w="3609" w:type="pct"/>
            <w:vAlign w:val="center"/>
          </w:tcPr>
          <w:p w14:paraId="188A1054">
            <w:pPr>
              <w:widowControl/>
              <w:rPr>
                <w:rFonts w:ascii="宋体" w:hAnsi="宋体" w:eastAsia="宋体"/>
                <w:sz w:val="21"/>
                <w:szCs w:val="21"/>
              </w:rPr>
            </w:pPr>
            <w:r>
              <w:rPr>
                <w:rFonts w:hint="eastAsia" w:ascii="宋体" w:hAnsi="宋体" w:eastAsia="宋体"/>
                <w:sz w:val="21"/>
                <w:szCs w:val="21"/>
              </w:rPr>
              <w:t>设备厂家具备ITSS运行维护符合性证书(二级</w:t>
            </w:r>
            <w:r>
              <w:rPr>
                <w:rFonts w:ascii="宋体" w:hAnsi="宋体" w:eastAsia="宋体"/>
                <w:sz w:val="21"/>
                <w:szCs w:val="21"/>
              </w:rPr>
              <w:t>)</w:t>
            </w:r>
          </w:p>
        </w:tc>
      </w:tr>
      <w:tr w14:paraId="7AB2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38" w:type="pct"/>
            <w:vAlign w:val="center"/>
          </w:tcPr>
          <w:p w14:paraId="04A83A66">
            <w:pPr>
              <w:widowControl/>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53</w:t>
            </w:r>
          </w:p>
        </w:tc>
        <w:tc>
          <w:tcPr>
            <w:tcW w:w="852" w:type="pct"/>
            <w:vMerge w:val="continue"/>
            <w:vAlign w:val="center"/>
          </w:tcPr>
          <w:p w14:paraId="73866FC1">
            <w:pPr>
              <w:widowControl/>
              <w:rPr>
                <w:rFonts w:ascii="宋体" w:hAnsi="宋体" w:eastAsia="宋体" w:cs="宋体"/>
                <w:kern w:val="0"/>
                <w:sz w:val="21"/>
                <w:szCs w:val="21"/>
              </w:rPr>
            </w:pPr>
          </w:p>
        </w:tc>
        <w:tc>
          <w:tcPr>
            <w:tcW w:w="3609" w:type="pct"/>
            <w:vAlign w:val="center"/>
          </w:tcPr>
          <w:p w14:paraId="6F770F2F">
            <w:pPr>
              <w:widowControl/>
              <w:rPr>
                <w:rFonts w:ascii="宋体" w:hAnsi="宋体" w:eastAsia="宋体"/>
                <w:sz w:val="21"/>
                <w:szCs w:val="21"/>
              </w:rPr>
            </w:pPr>
            <w:r>
              <w:rPr>
                <w:rFonts w:hint="eastAsia" w:ascii="宋体" w:hAnsi="宋体" w:eastAsia="宋体" w:cs="宋体"/>
                <w:kern w:val="0"/>
                <w:sz w:val="21"/>
                <w:szCs w:val="21"/>
              </w:rPr>
              <w:t>设备厂商要求为“信息安全等级保护关键技术国家工程实验室”理事单位</w:t>
            </w:r>
          </w:p>
        </w:tc>
      </w:tr>
      <w:tr w14:paraId="0541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38" w:type="pct"/>
            <w:vAlign w:val="center"/>
          </w:tcPr>
          <w:p w14:paraId="2F06E8F7">
            <w:pPr>
              <w:widowControl/>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54</w:t>
            </w:r>
          </w:p>
        </w:tc>
        <w:tc>
          <w:tcPr>
            <w:tcW w:w="852" w:type="pct"/>
            <w:vAlign w:val="center"/>
          </w:tcPr>
          <w:p w14:paraId="63BB63F0">
            <w:pPr>
              <w:widowControl/>
              <w:rPr>
                <w:rFonts w:ascii="宋体" w:hAnsi="宋体" w:eastAsia="宋体" w:cs="宋体"/>
                <w:kern w:val="0"/>
                <w:sz w:val="21"/>
                <w:szCs w:val="21"/>
              </w:rPr>
            </w:pPr>
            <w:r>
              <w:rPr>
                <w:rFonts w:hint="eastAsia" w:ascii="宋体" w:hAnsi="宋体" w:eastAsia="宋体" w:cs="宋体"/>
                <w:kern w:val="0"/>
                <w:sz w:val="21"/>
                <w:szCs w:val="21"/>
              </w:rPr>
              <w:t>服务</w:t>
            </w:r>
          </w:p>
        </w:tc>
        <w:tc>
          <w:tcPr>
            <w:tcW w:w="3609" w:type="pct"/>
            <w:vAlign w:val="center"/>
          </w:tcPr>
          <w:p w14:paraId="68F7F80D">
            <w:pPr>
              <w:widowControl/>
              <w:rPr>
                <w:rFonts w:ascii="宋体" w:hAnsi="宋体" w:eastAsia="宋体" w:cs="宋体"/>
                <w:kern w:val="0"/>
                <w:sz w:val="21"/>
                <w:szCs w:val="21"/>
              </w:rPr>
            </w:pPr>
            <w:r>
              <w:rPr>
                <w:rFonts w:hint="eastAsia" w:ascii="宋体" w:hAnsi="宋体" w:eastAsia="宋体" w:cs="宋体"/>
                <w:kern w:val="0"/>
                <w:sz w:val="21"/>
                <w:szCs w:val="21"/>
              </w:rPr>
              <w:t>签订合同时提供三年原厂商质保服务承诺函及授权书。</w:t>
            </w:r>
          </w:p>
        </w:tc>
      </w:tr>
      <w:tr w14:paraId="4812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38" w:type="pct"/>
            <w:vAlign w:val="center"/>
          </w:tcPr>
          <w:p w14:paraId="7AC2C146">
            <w:pPr>
              <w:widowControl/>
              <w:rPr>
                <w:rFonts w:hint="default" w:ascii="宋体" w:hAnsi="宋体" w:eastAsia="宋体" w:cs="Calibri"/>
                <w:sz w:val="21"/>
                <w:szCs w:val="21"/>
                <w:lang w:val="en-US" w:eastAsia="zh-CN"/>
              </w:rPr>
            </w:pPr>
            <w:r>
              <w:rPr>
                <w:rFonts w:hint="eastAsia" w:ascii="宋体" w:hAnsi="宋体" w:eastAsia="宋体" w:cs="Calibri"/>
                <w:sz w:val="21"/>
                <w:szCs w:val="21"/>
                <w:lang w:val="en-US" w:eastAsia="zh-CN"/>
              </w:rPr>
              <w:t>55</w:t>
            </w:r>
          </w:p>
        </w:tc>
        <w:tc>
          <w:tcPr>
            <w:tcW w:w="852" w:type="pct"/>
            <w:vAlign w:val="center"/>
          </w:tcPr>
          <w:p w14:paraId="21BF8ED9">
            <w:pPr>
              <w:widowControl/>
              <w:rPr>
                <w:rFonts w:ascii="宋体" w:hAnsi="宋体" w:eastAsia="宋体" w:cs="宋体"/>
                <w:kern w:val="0"/>
                <w:sz w:val="21"/>
                <w:szCs w:val="21"/>
              </w:rPr>
            </w:pPr>
            <w:r>
              <w:rPr>
                <w:rFonts w:ascii="宋体" w:hAnsi="宋体" w:eastAsia="宋体" w:cs="Calibri"/>
                <w:sz w:val="21"/>
                <w:szCs w:val="21"/>
                <w:lang w:val="it-IT"/>
              </w:rPr>
              <w:t>产品测试</w:t>
            </w:r>
          </w:p>
        </w:tc>
        <w:tc>
          <w:tcPr>
            <w:tcW w:w="3609" w:type="pct"/>
            <w:vAlign w:val="center"/>
          </w:tcPr>
          <w:p w14:paraId="1EB1FFC9">
            <w:pPr>
              <w:widowControl/>
              <w:rPr>
                <w:rFonts w:ascii="宋体" w:hAnsi="宋体" w:eastAsia="宋体" w:cs="宋体"/>
                <w:kern w:val="0"/>
                <w:sz w:val="21"/>
                <w:szCs w:val="21"/>
              </w:rPr>
            </w:pPr>
            <w:r>
              <w:rPr>
                <w:rFonts w:hint="eastAsia" w:ascii="宋体" w:hAnsi="宋体" w:eastAsia="宋体" w:cs="Calibri"/>
                <w:sz w:val="21"/>
                <w:szCs w:val="21"/>
                <w:lang w:val="it-IT"/>
              </w:rPr>
              <w:t>为防止投标方虚假应答技术指标，从而造成用户在实际使用设备过程中无法实现所需的功能，中标公示期间需要提供同型号的样机进行上述功能要求的逐一测试验证，全部通过后执行合同流程，在指定的时间不能提供测试样机进行测试或测试中发现虚假应标的行为，则中标结果无效，并保留对预中标单位追究相关责任的权利。</w:t>
            </w:r>
          </w:p>
        </w:tc>
      </w:tr>
      <w:tr w14:paraId="3491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38" w:type="pct"/>
            <w:vAlign w:val="center"/>
          </w:tcPr>
          <w:p w14:paraId="268070A7">
            <w:pPr>
              <w:widowControl/>
              <w:rPr>
                <w:rFonts w:hint="default" w:ascii="宋体" w:hAnsi="宋体" w:eastAsia="宋体" w:cs="Calibri"/>
                <w:sz w:val="21"/>
                <w:szCs w:val="21"/>
                <w:lang w:val="en-US" w:eastAsia="zh-CN"/>
              </w:rPr>
            </w:pPr>
            <w:r>
              <w:rPr>
                <w:rFonts w:hint="eastAsia" w:cs="Calibri"/>
                <w:sz w:val="21"/>
                <w:szCs w:val="21"/>
                <w:lang w:val="en-US" w:eastAsia="zh-CN"/>
              </w:rPr>
              <w:t>56</w:t>
            </w:r>
          </w:p>
        </w:tc>
        <w:tc>
          <w:tcPr>
            <w:tcW w:w="852" w:type="pct"/>
            <w:vAlign w:val="center"/>
          </w:tcPr>
          <w:p w14:paraId="320C1493">
            <w:pPr>
              <w:widowControl/>
              <w:rPr>
                <w:rFonts w:ascii="宋体" w:hAnsi="宋体" w:eastAsia="宋体" w:cs="Calibri"/>
                <w:sz w:val="21"/>
                <w:szCs w:val="21"/>
                <w:lang w:val="it-IT"/>
              </w:rPr>
            </w:pPr>
            <w:r>
              <w:rPr>
                <w:rFonts w:hint="eastAsia"/>
                <w:sz w:val="21"/>
                <w:szCs w:val="21"/>
                <w:lang w:val="en-US" w:eastAsia="zh-CN"/>
              </w:rPr>
              <w:t>服务承诺函</w:t>
            </w:r>
          </w:p>
        </w:tc>
        <w:tc>
          <w:tcPr>
            <w:tcW w:w="3609" w:type="pct"/>
            <w:vAlign w:val="center"/>
          </w:tcPr>
          <w:p w14:paraId="1F91D996">
            <w:pPr>
              <w:widowControl/>
              <w:rPr>
                <w:rFonts w:hint="eastAsia" w:ascii="宋体" w:hAnsi="宋体" w:eastAsia="宋体" w:cs="Calibri"/>
                <w:sz w:val="21"/>
                <w:szCs w:val="21"/>
                <w:lang w:val="it-IT"/>
              </w:rPr>
            </w:pPr>
            <w:r>
              <w:rPr>
                <w:rFonts w:hint="eastAsia"/>
                <w:sz w:val="21"/>
                <w:szCs w:val="21"/>
                <w:lang w:val="en-US" w:eastAsia="zh-CN"/>
              </w:rPr>
              <w:t>合同签订时，提供原厂商针对本项目的服务承诺函</w:t>
            </w:r>
          </w:p>
        </w:tc>
      </w:tr>
      <w:bookmarkEnd w:id="1"/>
    </w:tbl>
    <w:p w14:paraId="091CB3A6">
      <w:pPr>
        <w:rPr>
          <w:rFonts w:hint="eastAsia"/>
          <w:sz w:val="21"/>
          <w:szCs w:val="21"/>
          <w:lang w:val="en-US" w:eastAsia="zh-CN"/>
        </w:rPr>
      </w:pPr>
    </w:p>
    <w:p w14:paraId="4440E42E">
      <w:pPr>
        <w:pStyle w:val="5"/>
        <w:bidi w:val="0"/>
        <w:rPr>
          <w:rFonts w:hint="default" w:eastAsia="黑体"/>
          <w:sz w:val="21"/>
          <w:szCs w:val="21"/>
          <w:lang w:val="en-US" w:eastAsia="zh-CN"/>
        </w:rPr>
      </w:pPr>
      <w:r>
        <w:rPr>
          <w:rFonts w:hint="eastAsia"/>
          <w:sz w:val="21"/>
          <w:szCs w:val="21"/>
        </w:rPr>
        <w:t>天眼系统续保</w:t>
      </w:r>
    </w:p>
    <w:p w14:paraId="576CD623">
      <w:pPr>
        <w:pStyle w:val="6"/>
        <w:bidi w:val="0"/>
        <w:rPr>
          <w:rFonts w:hint="eastAsia"/>
          <w:sz w:val="21"/>
          <w:szCs w:val="21"/>
          <w:lang w:val="en-US" w:eastAsia="zh-CN"/>
        </w:rPr>
      </w:pPr>
      <w:r>
        <w:rPr>
          <w:rFonts w:hint="eastAsia"/>
          <w:sz w:val="21"/>
          <w:szCs w:val="21"/>
          <w:lang w:val="en-US" w:eastAsia="zh-CN"/>
        </w:rPr>
        <w:t>天眼探针：</w:t>
      </w:r>
    </w:p>
    <w:tbl>
      <w:tblPr>
        <w:tblStyle w:val="8"/>
        <w:tblW w:w="52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325"/>
        <w:gridCol w:w="1513"/>
        <w:gridCol w:w="5440"/>
      </w:tblGrid>
      <w:tr w14:paraId="5A59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99" w:type="pct"/>
            <w:shd w:val="clear" w:color="000000" w:fill="F4F5F7"/>
            <w:noWrap/>
            <w:vAlign w:val="center"/>
          </w:tcPr>
          <w:p w14:paraId="063E0583">
            <w:pPr>
              <w:widowControl/>
              <w:jc w:val="center"/>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序号</w:t>
            </w:r>
          </w:p>
        </w:tc>
        <w:tc>
          <w:tcPr>
            <w:tcW w:w="1577" w:type="pct"/>
            <w:gridSpan w:val="2"/>
            <w:shd w:val="clear" w:color="000000" w:fill="F4F5F7"/>
            <w:noWrap/>
            <w:vAlign w:val="center"/>
          </w:tcPr>
          <w:p w14:paraId="76E7FE12">
            <w:pPr>
              <w:widowControl/>
              <w:jc w:val="center"/>
              <w:rPr>
                <w:rFonts w:ascii="宋体" w:hAnsi="宋体" w:eastAsia="宋体" w:cs="宋体"/>
                <w:b/>
                <w:bCs/>
                <w:color w:val="000000"/>
                <w:kern w:val="0"/>
                <w:sz w:val="21"/>
                <w:szCs w:val="21"/>
              </w:rPr>
            </w:pPr>
            <w:r>
              <w:rPr>
                <w:rFonts w:hint="eastAsia" w:ascii="宋体" w:hAnsi="宋体" w:eastAsia="宋体"/>
                <w:b/>
                <w:bCs/>
                <w:sz w:val="21"/>
                <w:szCs w:val="21"/>
              </w:rPr>
              <w:t>技术指标</w:t>
            </w:r>
          </w:p>
        </w:tc>
        <w:tc>
          <w:tcPr>
            <w:tcW w:w="3023" w:type="pct"/>
            <w:shd w:val="clear" w:color="000000" w:fill="F4F5F7"/>
            <w:noWrap/>
            <w:vAlign w:val="center"/>
          </w:tcPr>
          <w:p w14:paraId="181C0BCD">
            <w:pPr>
              <w:widowControl/>
              <w:jc w:val="center"/>
              <w:rPr>
                <w:rFonts w:ascii="宋体" w:hAnsi="宋体" w:eastAsia="宋体" w:cs="宋体"/>
                <w:b/>
                <w:bCs/>
                <w:color w:val="000000"/>
                <w:kern w:val="0"/>
                <w:sz w:val="21"/>
                <w:szCs w:val="21"/>
              </w:rPr>
            </w:pPr>
            <w:r>
              <w:rPr>
                <w:rFonts w:hint="eastAsia" w:ascii="宋体" w:hAnsi="宋体" w:eastAsia="宋体"/>
                <w:b/>
                <w:bCs/>
                <w:sz w:val="21"/>
                <w:szCs w:val="21"/>
              </w:rPr>
              <w:t>指标要求</w:t>
            </w:r>
          </w:p>
        </w:tc>
      </w:tr>
      <w:tr w14:paraId="2DEF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399" w:type="pct"/>
            <w:shd w:val="clear" w:color="000000" w:fill="auto"/>
            <w:noWrap/>
            <w:vAlign w:val="center"/>
          </w:tcPr>
          <w:p w14:paraId="47EBECFE">
            <w:pPr>
              <w:widowControl/>
              <w:jc w:val="center"/>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1</w:t>
            </w:r>
          </w:p>
        </w:tc>
        <w:tc>
          <w:tcPr>
            <w:tcW w:w="1577" w:type="pct"/>
            <w:gridSpan w:val="2"/>
            <w:shd w:val="clear" w:color="000000" w:fill="auto"/>
            <w:noWrap/>
            <w:vAlign w:val="center"/>
          </w:tcPr>
          <w:p w14:paraId="06C703D5">
            <w:pPr>
              <w:widowControl/>
              <w:jc w:val="center"/>
              <w:rPr>
                <w:rFonts w:ascii="宋体" w:hAnsi="宋体" w:eastAsia="宋体"/>
                <w:b/>
                <w:bCs/>
                <w:sz w:val="21"/>
                <w:szCs w:val="21"/>
                <w:highlight w:val="none"/>
              </w:rPr>
            </w:pPr>
            <w:r>
              <w:rPr>
                <w:rFonts w:hint="eastAsia" w:ascii="宋体" w:hAnsi="宋体" w:eastAsia="宋体"/>
                <w:sz w:val="21"/>
                <w:szCs w:val="21"/>
                <w:highlight w:val="none"/>
              </w:rPr>
              <w:t>续保内容</w:t>
            </w:r>
          </w:p>
        </w:tc>
        <w:tc>
          <w:tcPr>
            <w:tcW w:w="3023" w:type="pct"/>
            <w:shd w:val="clear" w:color="000000" w:fill="auto"/>
            <w:noWrap/>
            <w:vAlign w:val="center"/>
          </w:tcPr>
          <w:p w14:paraId="3FA45889">
            <w:pPr>
              <w:rPr>
                <w:rFonts w:ascii="宋体" w:hAnsi="宋体" w:eastAsia="宋体"/>
                <w:sz w:val="21"/>
                <w:szCs w:val="21"/>
                <w:highlight w:val="none"/>
              </w:rPr>
            </w:pPr>
            <w:r>
              <w:rPr>
                <w:rFonts w:hint="eastAsia" w:ascii="宋体" w:hAnsi="宋体" w:eastAsia="宋体"/>
                <w:sz w:val="21"/>
                <w:szCs w:val="21"/>
                <w:highlight w:val="none"/>
              </w:rPr>
              <w:t>提供天眼</w:t>
            </w:r>
            <w:r>
              <w:rPr>
                <w:rFonts w:ascii="宋体" w:hAnsi="宋体" w:eastAsia="宋体"/>
                <w:sz w:val="21"/>
                <w:szCs w:val="21"/>
                <w:highlight w:val="none"/>
              </w:rPr>
              <w:t>TSS10000-S53(2</w:t>
            </w:r>
            <w:r>
              <w:rPr>
                <w:rFonts w:hint="eastAsia" w:ascii="宋体" w:hAnsi="宋体" w:eastAsia="宋体"/>
                <w:sz w:val="21"/>
                <w:szCs w:val="21"/>
                <w:highlight w:val="none"/>
              </w:rPr>
              <w:t>台</w:t>
            </w:r>
            <w:r>
              <w:rPr>
                <w:rFonts w:ascii="宋体" w:hAnsi="宋体" w:eastAsia="宋体"/>
                <w:sz w:val="21"/>
                <w:szCs w:val="21"/>
                <w:highlight w:val="none"/>
              </w:rPr>
              <w:t>) 3年规则库升级授权，3年硬件保修，自授权导入之日起可计算，提供天眼TSS10000-S53维保服务，包括故障判断、报修登记以及版本优化升级的服务。7x24小时电话咨询服务；5x8小时远程技术支持服务</w:t>
            </w:r>
            <w:r>
              <w:rPr>
                <w:rFonts w:hint="eastAsia" w:ascii="宋体" w:hAnsi="宋体" w:eastAsia="宋体"/>
                <w:sz w:val="21"/>
                <w:szCs w:val="21"/>
                <w:highlight w:val="none"/>
              </w:rPr>
              <w:t>。</w:t>
            </w:r>
          </w:p>
        </w:tc>
      </w:tr>
      <w:tr w14:paraId="782B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99" w:type="pct"/>
            <w:vAlign w:val="center"/>
          </w:tcPr>
          <w:p w14:paraId="57AB2366">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736" w:type="pct"/>
            <w:vAlign w:val="center"/>
          </w:tcPr>
          <w:p w14:paraId="4152431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部署方式</w:t>
            </w:r>
          </w:p>
        </w:tc>
        <w:tc>
          <w:tcPr>
            <w:tcW w:w="840" w:type="pct"/>
            <w:vAlign w:val="center"/>
          </w:tcPr>
          <w:p w14:paraId="62F7023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双协议栈检测</w:t>
            </w:r>
          </w:p>
        </w:tc>
        <w:tc>
          <w:tcPr>
            <w:tcW w:w="3023" w:type="pct"/>
            <w:vAlign w:val="center"/>
          </w:tcPr>
          <w:p w14:paraId="3C8FBB7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支持IPv4和IPv6网络环境下的部署，接口支持IPv4、IPv6配置，支持对IPv4路由监控和对IPv6路由监控，可同时对IPv4和IPv6网络流量分析检测。</w:t>
            </w:r>
          </w:p>
        </w:tc>
      </w:tr>
      <w:tr w14:paraId="02FC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99" w:type="pct"/>
            <w:vAlign w:val="center"/>
          </w:tcPr>
          <w:p w14:paraId="27DD183A">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736" w:type="pct"/>
            <w:vMerge w:val="restart"/>
            <w:vAlign w:val="center"/>
          </w:tcPr>
          <w:p w14:paraId="255C3295">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流量采集与识别</w:t>
            </w:r>
          </w:p>
        </w:tc>
        <w:tc>
          <w:tcPr>
            <w:tcW w:w="840" w:type="pct"/>
            <w:vAlign w:val="center"/>
          </w:tcPr>
          <w:p w14:paraId="05F61BE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离线数据采集</w:t>
            </w:r>
          </w:p>
        </w:tc>
        <w:tc>
          <w:tcPr>
            <w:tcW w:w="3023" w:type="pct"/>
            <w:vAlign w:val="center"/>
          </w:tcPr>
          <w:p w14:paraId="7DEA1C1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支持手动和FTP方式批量导入PCAP包对离线流量采集，文件大小不低于1个G；并记录PCAP包导入记录及检测状态。</w:t>
            </w:r>
          </w:p>
        </w:tc>
      </w:tr>
      <w:tr w14:paraId="49FB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99" w:type="pct"/>
            <w:vAlign w:val="center"/>
          </w:tcPr>
          <w:p w14:paraId="714F71B1">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736" w:type="pct"/>
            <w:vMerge w:val="continue"/>
            <w:vAlign w:val="center"/>
          </w:tcPr>
          <w:p w14:paraId="7FCD62CF">
            <w:pPr>
              <w:widowControl/>
              <w:jc w:val="left"/>
              <w:rPr>
                <w:rFonts w:ascii="宋体" w:hAnsi="宋体" w:eastAsia="宋体" w:cs="宋体"/>
                <w:color w:val="000000"/>
                <w:kern w:val="0"/>
                <w:sz w:val="21"/>
                <w:szCs w:val="21"/>
              </w:rPr>
            </w:pPr>
          </w:p>
        </w:tc>
        <w:tc>
          <w:tcPr>
            <w:tcW w:w="840" w:type="pct"/>
            <w:vAlign w:val="center"/>
          </w:tcPr>
          <w:p w14:paraId="3CAC959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流量过滤</w:t>
            </w:r>
          </w:p>
        </w:tc>
        <w:tc>
          <w:tcPr>
            <w:tcW w:w="3023" w:type="pct"/>
            <w:vAlign w:val="center"/>
          </w:tcPr>
          <w:p w14:paraId="2AA9340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支持通过ip、ip段、端口、协议、VLAN等进行流量过滤，过滤条件支持and、or、not等逻辑运算创建的BPF过滤语法过滤数据。</w:t>
            </w:r>
          </w:p>
        </w:tc>
      </w:tr>
      <w:tr w14:paraId="1876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99" w:type="pct"/>
            <w:vAlign w:val="center"/>
          </w:tcPr>
          <w:p w14:paraId="6BCBDF8E">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736" w:type="pct"/>
            <w:vMerge w:val="continue"/>
            <w:vAlign w:val="center"/>
          </w:tcPr>
          <w:p w14:paraId="2219926A">
            <w:pPr>
              <w:widowControl/>
              <w:jc w:val="left"/>
              <w:rPr>
                <w:rFonts w:ascii="宋体" w:hAnsi="宋体" w:eastAsia="宋体" w:cs="宋体"/>
                <w:color w:val="000000"/>
                <w:kern w:val="0"/>
                <w:sz w:val="21"/>
                <w:szCs w:val="21"/>
              </w:rPr>
            </w:pPr>
          </w:p>
        </w:tc>
        <w:tc>
          <w:tcPr>
            <w:tcW w:w="840" w:type="pct"/>
            <w:vAlign w:val="center"/>
          </w:tcPr>
          <w:p w14:paraId="24621C7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流量负载记录</w:t>
            </w:r>
          </w:p>
        </w:tc>
        <w:tc>
          <w:tcPr>
            <w:tcW w:w="3023" w:type="pct"/>
            <w:vAlign w:val="center"/>
          </w:tcPr>
          <w:p w14:paraId="3A5DB1B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支持记录TCP，UDP，HTTP协议流量日志中的负载信息：TCP,UDP的上下行负载支持可配，不低于10KB。HTTP协议的请求头，请求体，响应头，响应体支持长度可配，不低于8KB。</w:t>
            </w:r>
          </w:p>
        </w:tc>
      </w:tr>
      <w:tr w14:paraId="2518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399" w:type="pct"/>
            <w:vAlign w:val="center"/>
          </w:tcPr>
          <w:p w14:paraId="229E129E">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w:t>
            </w:r>
          </w:p>
        </w:tc>
        <w:tc>
          <w:tcPr>
            <w:tcW w:w="736" w:type="pct"/>
            <w:vMerge w:val="continue"/>
            <w:vAlign w:val="center"/>
          </w:tcPr>
          <w:p w14:paraId="545B4CB8">
            <w:pPr>
              <w:widowControl/>
              <w:jc w:val="left"/>
              <w:rPr>
                <w:rFonts w:ascii="宋体" w:hAnsi="宋体" w:eastAsia="宋体" w:cs="宋体"/>
                <w:color w:val="000000"/>
                <w:kern w:val="0"/>
                <w:sz w:val="21"/>
                <w:szCs w:val="21"/>
              </w:rPr>
            </w:pPr>
          </w:p>
        </w:tc>
        <w:tc>
          <w:tcPr>
            <w:tcW w:w="840" w:type="pct"/>
            <w:vAlign w:val="center"/>
          </w:tcPr>
          <w:p w14:paraId="3C279BC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网络协议识别</w:t>
            </w:r>
          </w:p>
        </w:tc>
        <w:tc>
          <w:tcPr>
            <w:tcW w:w="3023" w:type="pct"/>
            <w:vAlign w:val="center"/>
          </w:tcPr>
          <w:p w14:paraId="7CF99364">
            <w:pPr>
              <w:widowControl/>
              <w:jc w:val="left"/>
              <w:rPr>
                <w:rFonts w:ascii="宋体" w:hAnsi="宋体" w:eastAsia="宋体" w:cs="宋体"/>
                <w:kern w:val="0"/>
                <w:sz w:val="21"/>
                <w:szCs w:val="21"/>
              </w:rPr>
            </w:pPr>
            <w:r>
              <w:rPr>
                <w:rFonts w:hint="eastAsia" w:ascii="宋体" w:hAnsi="宋体" w:eastAsia="宋体" w:cs="宋体"/>
                <w:kern w:val="0"/>
                <w:sz w:val="21"/>
                <w:szCs w:val="21"/>
              </w:rPr>
              <w:t>支持常见协议识别并还原网络流量，用于取证分析、威胁发现，支持：tcp、udp、icmp、http、dns、dhcp、smtp、pop3、imap、webmail、db2、oracle、mysql、mssql-db、sctp、sybase、smb、sip、ftp、snmp、telnet、nfs、ssl、ssh、ldap、radius、kerberos、netbios、ntp、vnc、ipv6等。</w:t>
            </w:r>
          </w:p>
        </w:tc>
      </w:tr>
      <w:tr w14:paraId="04CD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99" w:type="pct"/>
            <w:vAlign w:val="center"/>
          </w:tcPr>
          <w:p w14:paraId="470BF42C">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w:t>
            </w:r>
          </w:p>
        </w:tc>
        <w:tc>
          <w:tcPr>
            <w:tcW w:w="736" w:type="pct"/>
            <w:vMerge w:val="continue"/>
            <w:vAlign w:val="center"/>
          </w:tcPr>
          <w:p w14:paraId="2836BCE7">
            <w:pPr>
              <w:widowControl/>
              <w:jc w:val="left"/>
              <w:rPr>
                <w:rFonts w:ascii="宋体" w:hAnsi="宋体" w:eastAsia="宋体" w:cs="宋体"/>
                <w:color w:val="000000"/>
                <w:kern w:val="0"/>
                <w:sz w:val="21"/>
                <w:szCs w:val="21"/>
              </w:rPr>
            </w:pPr>
          </w:p>
        </w:tc>
        <w:tc>
          <w:tcPr>
            <w:tcW w:w="840" w:type="pct"/>
            <w:vAlign w:val="center"/>
          </w:tcPr>
          <w:p w14:paraId="7289337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文件协议识别</w:t>
            </w:r>
          </w:p>
        </w:tc>
        <w:tc>
          <w:tcPr>
            <w:tcW w:w="3023" w:type="pct"/>
            <w:vAlign w:val="center"/>
          </w:tcPr>
          <w:p w14:paraId="4007495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支持对HTTP、FTP_DATA、SMB、SMTP、POP3、WEBMAIL、IMAP、TFTP、NFS等类型协议流量中出现文件传输行为进行发现和还原，并记录文件MD5发送至分析设备</w:t>
            </w:r>
          </w:p>
        </w:tc>
      </w:tr>
      <w:tr w14:paraId="6C4F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399" w:type="pct"/>
            <w:vAlign w:val="center"/>
          </w:tcPr>
          <w:p w14:paraId="1961292B">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w:t>
            </w:r>
          </w:p>
        </w:tc>
        <w:tc>
          <w:tcPr>
            <w:tcW w:w="736" w:type="pct"/>
            <w:vMerge w:val="continue"/>
            <w:vAlign w:val="center"/>
          </w:tcPr>
          <w:p w14:paraId="3BBC455C">
            <w:pPr>
              <w:widowControl/>
              <w:jc w:val="left"/>
              <w:rPr>
                <w:rFonts w:ascii="宋体" w:hAnsi="宋体" w:eastAsia="宋体" w:cs="宋体"/>
                <w:color w:val="000000"/>
                <w:kern w:val="0"/>
                <w:sz w:val="21"/>
                <w:szCs w:val="21"/>
              </w:rPr>
            </w:pPr>
          </w:p>
        </w:tc>
        <w:tc>
          <w:tcPr>
            <w:tcW w:w="840" w:type="pct"/>
            <w:vAlign w:val="center"/>
          </w:tcPr>
          <w:p w14:paraId="72270DA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隧道封装识别</w:t>
            </w:r>
          </w:p>
        </w:tc>
        <w:tc>
          <w:tcPr>
            <w:tcW w:w="3023" w:type="pct"/>
            <w:vAlign w:val="center"/>
          </w:tcPr>
          <w:p w14:paraId="0D305189">
            <w:pPr>
              <w:widowControl/>
              <w:jc w:val="left"/>
              <w:rPr>
                <w:rFonts w:ascii="宋体" w:hAnsi="宋体" w:eastAsia="宋体" w:cs="宋体"/>
                <w:b/>
                <w:bCs/>
                <w:color w:val="000000"/>
                <w:kern w:val="0"/>
                <w:sz w:val="21"/>
                <w:szCs w:val="21"/>
              </w:rPr>
            </w:pPr>
            <w:r>
              <w:rPr>
                <w:rFonts w:hint="eastAsia" w:ascii="宋体" w:hAnsi="宋体" w:eastAsia="宋体" w:cs="宋体"/>
                <w:color w:val="000000"/>
                <w:kern w:val="0"/>
                <w:sz w:val="21"/>
                <w:szCs w:val="21"/>
              </w:rPr>
              <w:t>支持多层 VLAN、VXLAN、MPLS、GRE等网络流量的解析检测。云场景下，支持GENEVE协议双层隧道封装流量的解析检测。</w:t>
            </w:r>
          </w:p>
        </w:tc>
      </w:tr>
      <w:tr w14:paraId="44A6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399" w:type="pct"/>
            <w:vAlign w:val="center"/>
          </w:tcPr>
          <w:p w14:paraId="33665C3A">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w:t>
            </w:r>
          </w:p>
        </w:tc>
        <w:tc>
          <w:tcPr>
            <w:tcW w:w="736" w:type="pct"/>
            <w:vMerge w:val="continue"/>
            <w:vAlign w:val="center"/>
          </w:tcPr>
          <w:p w14:paraId="45317E30">
            <w:pPr>
              <w:widowControl/>
              <w:jc w:val="left"/>
              <w:rPr>
                <w:rFonts w:ascii="宋体" w:hAnsi="宋体" w:eastAsia="宋体" w:cs="宋体"/>
                <w:color w:val="000000"/>
                <w:kern w:val="0"/>
                <w:sz w:val="21"/>
                <w:szCs w:val="21"/>
              </w:rPr>
            </w:pPr>
          </w:p>
        </w:tc>
        <w:tc>
          <w:tcPr>
            <w:tcW w:w="840" w:type="pct"/>
            <w:vAlign w:val="center"/>
          </w:tcPr>
          <w:p w14:paraId="0059F1F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日志外发</w:t>
            </w:r>
          </w:p>
        </w:tc>
        <w:tc>
          <w:tcPr>
            <w:tcW w:w="3023" w:type="pct"/>
            <w:vAlign w:val="center"/>
          </w:tcPr>
          <w:p w14:paraId="06F7D85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配置网络日志外发的标准模式、精简模式、自定义模式，支持外发的网络日志的类型包括：TCP流量、UDP流量、异常流量、SSL加密协商、登录行为、域名解析、文件传输、FTP控制通道、LDAP行为、web访问、邮件行为、数据库操作、telnet命令、旁路阻断、MQ流量、Radius行为、Kerberos行为、ICMP流量、syn流量、DHCP解析等20种网络日志。每种网络日志，都支持自定义配置外发的字段。</w:t>
            </w:r>
          </w:p>
        </w:tc>
      </w:tr>
      <w:tr w14:paraId="0754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99" w:type="pct"/>
            <w:vAlign w:val="center"/>
          </w:tcPr>
          <w:p w14:paraId="3A0AA987">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w:t>
            </w:r>
          </w:p>
        </w:tc>
        <w:tc>
          <w:tcPr>
            <w:tcW w:w="736" w:type="pct"/>
            <w:vMerge w:val="continue"/>
            <w:vAlign w:val="center"/>
          </w:tcPr>
          <w:p w14:paraId="23826B4E">
            <w:pPr>
              <w:widowControl/>
              <w:jc w:val="left"/>
              <w:rPr>
                <w:rFonts w:ascii="宋体" w:hAnsi="宋体" w:eastAsia="宋体" w:cs="宋体"/>
                <w:color w:val="000000"/>
                <w:kern w:val="0"/>
                <w:sz w:val="21"/>
                <w:szCs w:val="21"/>
              </w:rPr>
            </w:pPr>
          </w:p>
        </w:tc>
        <w:tc>
          <w:tcPr>
            <w:tcW w:w="840" w:type="pct"/>
            <w:noWrap/>
            <w:vAlign w:val="center"/>
          </w:tcPr>
          <w:p w14:paraId="7E010E1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规则更新</w:t>
            </w:r>
          </w:p>
        </w:tc>
        <w:tc>
          <w:tcPr>
            <w:tcW w:w="3023" w:type="pct"/>
            <w:vAlign w:val="center"/>
          </w:tcPr>
          <w:p w14:paraId="0EDC0FD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新增规则，在规则列表进行标签标记展示，新增规则产生的告警在告警详情进行标签标记展示。</w:t>
            </w:r>
          </w:p>
        </w:tc>
      </w:tr>
      <w:tr w14:paraId="70E2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99" w:type="pct"/>
            <w:vAlign w:val="center"/>
          </w:tcPr>
          <w:p w14:paraId="6ED11491">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11</w:t>
            </w:r>
          </w:p>
        </w:tc>
        <w:tc>
          <w:tcPr>
            <w:tcW w:w="736" w:type="pct"/>
            <w:vMerge w:val="restart"/>
            <w:vAlign w:val="center"/>
          </w:tcPr>
          <w:p w14:paraId="4C6A2CE7">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流量威胁检测</w:t>
            </w:r>
          </w:p>
        </w:tc>
        <w:tc>
          <w:tcPr>
            <w:tcW w:w="840" w:type="pct"/>
            <w:vAlign w:val="center"/>
          </w:tcPr>
          <w:p w14:paraId="1E706B9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检测模式</w:t>
            </w:r>
          </w:p>
        </w:tc>
        <w:tc>
          <w:tcPr>
            <w:tcW w:w="3023" w:type="pct"/>
            <w:vAlign w:val="center"/>
          </w:tcPr>
          <w:p w14:paraId="4F8C2EE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支持检测模式的标准模式、精简模式、自定义模式的切换；支持手动配置各类检测引擎、机器学习模型的开关。</w:t>
            </w:r>
          </w:p>
        </w:tc>
      </w:tr>
      <w:tr w14:paraId="2A9C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399" w:type="pct"/>
            <w:vAlign w:val="center"/>
          </w:tcPr>
          <w:p w14:paraId="0EDE384A">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12</w:t>
            </w:r>
          </w:p>
        </w:tc>
        <w:tc>
          <w:tcPr>
            <w:tcW w:w="736" w:type="pct"/>
            <w:vMerge w:val="continue"/>
            <w:vAlign w:val="center"/>
          </w:tcPr>
          <w:p w14:paraId="788E8DEA">
            <w:pPr>
              <w:widowControl/>
              <w:jc w:val="left"/>
              <w:rPr>
                <w:rFonts w:ascii="宋体" w:hAnsi="宋体" w:eastAsia="宋体" w:cs="宋体"/>
                <w:color w:val="000000"/>
                <w:kern w:val="0"/>
                <w:sz w:val="21"/>
                <w:szCs w:val="21"/>
              </w:rPr>
            </w:pPr>
          </w:p>
        </w:tc>
        <w:tc>
          <w:tcPr>
            <w:tcW w:w="840" w:type="pct"/>
            <w:vAlign w:val="center"/>
          </w:tcPr>
          <w:p w14:paraId="4672013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WEB攻击检测</w:t>
            </w:r>
          </w:p>
        </w:tc>
        <w:tc>
          <w:tcPr>
            <w:tcW w:w="3023" w:type="pct"/>
            <w:vAlign w:val="center"/>
          </w:tcPr>
          <w:p w14:paraId="193F0CA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常见攻击行为检测，支持HTTP双向流量动态检测，检出类型包括：SQL注入，命令执行，代码执行，跨站脚本攻击，权限绕过，暴力破解，扫描工具，数据库攻击，敏感信息泄露，挖矿检测，蠕虫传播，目录遍历，文件包含等。</w:t>
            </w:r>
          </w:p>
        </w:tc>
      </w:tr>
      <w:tr w14:paraId="59D7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99" w:type="pct"/>
            <w:vAlign w:val="center"/>
          </w:tcPr>
          <w:p w14:paraId="31D1DAFC">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13</w:t>
            </w:r>
          </w:p>
        </w:tc>
        <w:tc>
          <w:tcPr>
            <w:tcW w:w="736" w:type="pct"/>
            <w:vMerge w:val="continue"/>
            <w:vAlign w:val="center"/>
          </w:tcPr>
          <w:p w14:paraId="373B060A">
            <w:pPr>
              <w:widowControl/>
              <w:jc w:val="left"/>
              <w:rPr>
                <w:rFonts w:ascii="宋体" w:hAnsi="宋体" w:eastAsia="宋体" w:cs="宋体"/>
                <w:color w:val="000000"/>
                <w:kern w:val="0"/>
                <w:sz w:val="21"/>
                <w:szCs w:val="21"/>
              </w:rPr>
            </w:pPr>
          </w:p>
        </w:tc>
        <w:tc>
          <w:tcPr>
            <w:tcW w:w="840" w:type="pct"/>
            <w:vAlign w:val="center"/>
          </w:tcPr>
          <w:p w14:paraId="64555E8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WEBSHELL攻击检测</w:t>
            </w:r>
          </w:p>
        </w:tc>
        <w:tc>
          <w:tcPr>
            <w:tcW w:w="3023" w:type="pct"/>
            <w:vAlign w:val="center"/>
          </w:tcPr>
          <w:p w14:paraId="70C3A90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支持基于工具特征的WebShell检测，检出类型包括：中国菜刀、蚁剑、冰蝎、哥斯拉、小马生成器webshell上传攻击检测，HTTP代理程序等。</w:t>
            </w:r>
          </w:p>
        </w:tc>
      </w:tr>
      <w:tr w14:paraId="2C81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399" w:type="pct"/>
            <w:vAlign w:val="center"/>
          </w:tcPr>
          <w:p w14:paraId="6DC181A4">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14</w:t>
            </w:r>
          </w:p>
        </w:tc>
        <w:tc>
          <w:tcPr>
            <w:tcW w:w="736" w:type="pct"/>
            <w:vMerge w:val="continue"/>
            <w:vAlign w:val="center"/>
          </w:tcPr>
          <w:p w14:paraId="03CCA98E">
            <w:pPr>
              <w:widowControl/>
              <w:jc w:val="left"/>
              <w:rPr>
                <w:rFonts w:ascii="宋体" w:hAnsi="宋体" w:eastAsia="宋体" w:cs="宋体"/>
                <w:color w:val="000000"/>
                <w:kern w:val="0"/>
                <w:sz w:val="21"/>
                <w:szCs w:val="21"/>
              </w:rPr>
            </w:pPr>
          </w:p>
        </w:tc>
        <w:tc>
          <w:tcPr>
            <w:tcW w:w="840" w:type="pct"/>
            <w:vAlign w:val="center"/>
          </w:tcPr>
          <w:p w14:paraId="34D65F8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网络攻击检测</w:t>
            </w:r>
          </w:p>
        </w:tc>
        <w:tc>
          <w:tcPr>
            <w:tcW w:w="3023" w:type="pct"/>
            <w:vAlign w:val="center"/>
          </w:tcPr>
          <w:p w14:paraId="221610B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支持网络攻击检测，检出类型包括：各种协议的帐号暴力破解，Mysql UDF提权攻击、Microsoft Windows NetLogon权限提升漏洞攻击，向日葵、TeamViewer，psexec远程执行、smbexec在目标上远程执行命令，DCSync_DCShadow疑似攻击、域用户口令爆破行为、域内密码喷洒攻击，njRat后门程序变种通信行为、Cobaltstrike HTTPS beacon通信等</w:t>
            </w:r>
          </w:p>
        </w:tc>
      </w:tr>
      <w:tr w14:paraId="508F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399" w:type="pct"/>
            <w:vAlign w:val="center"/>
          </w:tcPr>
          <w:p w14:paraId="3F130C65">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15</w:t>
            </w:r>
          </w:p>
        </w:tc>
        <w:tc>
          <w:tcPr>
            <w:tcW w:w="736" w:type="pct"/>
            <w:vMerge w:val="continue"/>
            <w:vAlign w:val="center"/>
          </w:tcPr>
          <w:p w14:paraId="5AEC594A">
            <w:pPr>
              <w:widowControl/>
              <w:jc w:val="left"/>
              <w:rPr>
                <w:rFonts w:ascii="宋体" w:hAnsi="宋体" w:eastAsia="宋体" w:cs="宋体"/>
                <w:color w:val="000000"/>
                <w:kern w:val="0"/>
                <w:sz w:val="21"/>
                <w:szCs w:val="21"/>
              </w:rPr>
            </w:pPr>
          </w:p>
        </w:tc>
        <w:tc>
          <w:tcPr>
            <w:tcW w:w="840" w:type="pct"/>
            <w:vAlign w:val="center"/>
          </w:tcPr>
          <w:p w14:paraId="6D1FC52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加密流量攻击检测</w:t>
            </w:r>
          </w:p>
        </w:tc>
        <w:tc>
          <w:tcPr>
            <w:tcW w:w="3023" w:type="pct"/>
            <w:vAlign w:val="center"/>
          </w:tcPr>
          <w:p w14:paraId="395FF723">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隐秘信道检测。检测类型包括：ICMP、DNS协议等隐蔽隧道攻击检测，恶意软件加密通信的检测，加密web应用的流量检测，非法应用加密通信的检测，SSL加密协议相关的漏洞与攻击的检测，加密通道攻击行为检测，支持JA3指纹检测。</w:t>
            </w:r>
          </w:p>
        </w:tc>
      </w:tr>
      <w:tr w14:paraId="3605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399" w:type="pct"/>
            <w:vAlign w:val="center"/>
          </w:tcPr>
          <w:p w14:paraId="2BD527D9">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16</w:t>
            </w:r>
          </w:p>
        </w:tc>
        <w:tc>
          <w:tcPr>
            <w:tcW w:w="736" w:type="pct"/>
            <w:vMerge w:val="continue"/>
            <w:vAlign w:val="center"/>
          </w:tcPr>
          <w:p w14:paraId="4FA1FC54">
            <w:pPr>
              <w:widowControl/>
              <w:jc w:val="left"/>
              <w:rPr>
                <w:rFonts w:ascii="宋体" w:hAnsi="宋体" w:eastAsia="宋体" w:cs="宋体"/>
                <w:color w:val="000000"/>
                <w:kern w:val="0"/>
                <w:sz w:val="21"/>
                <w:szCs w:val="21"/>
              </w:rPr>
            </w:pPr>
          </w:p>
        </w:tc>
        <w:tc>
          <w:tcPr>
            <w:tcW w:w="840" w:type="pct"/>
            <w:vAlign w:val="center"/>
          </w:tcPr>
          <w:p w14:paraId="721286D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AI检测能力</w:t>
            </w:r>
          </w:p>
        </w:tc>
        <w:tc>
          <w:tcPr>
            <w:tcW w:w="3023" w:type="pct"/>
            <w:vAlign w:val="center"/>
          </w:tcPr>
          <w:p w14:paraId="161DA103">
            <w:pPr>
              <w:widowControl/>
              <w:jc w:val="left"/>
              <w:rPr>
                <w:rFonts w:hint="eastAsia" w:ascii="宋体" w:hAnsi="宋体" w:eastAsia="宋体" w:cs="宋体"/>
                <w:bCs/>
                <w:color w:val="000000"/>
                <w:kern w:val="0"/>
                <w:sz w:val="21"/>
                <w:szCs w:val="21"/>
                <w:lang w:val="en-US" w:eastAsia="zh-CN"/>
              </w:rPr>
            </w:pP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支持灵活开启机器学习模型，增强检测精度，模型至少包括：ICMP隧道检测、DNSTunnel检测、HTTP隧道检测、CS流量检测、MSF检测、挖矿流量检测、代理流量检测、暗网流量检测、弱口令检测、SSH爆破登录成功检测。</w:t>
            </w:r>
            <w:r>
              <w:rPr>
                <w:rFonts w:ascii="宋体" w:hAnsi="宋体" w:eastAsia="宋体" w:cs="宋体"/>
                <w:bCs/>
                <w:color w:val="000000"/>
                <w:kern w:val="0"/>
                <w:sz w:val="21"/>
                <w:szCs w:val="21"/>
              </w:rPr>
              <w:t>提供CNAS认可检测机构出具的针对软件功能的检测报告关键页</w:t>
            </w:r>
            <w:r>
              <w:rPr>
                <w:rFonts w:hint="eastAsia" w:ascii="宋体" w:hAnsi="宋体" w:eastAsia="宋体" w:cs="宋体"/>
                <w:bCs/>
                <w:color w:val="000000"/>
                <w:kern w:val="0"/>
                <w:sz w:val="21"/>
                <w:szCs w:val="21"/>
                <w:lang w:val="en-US" w:eastAsia="zh-CN"/>
              </w:rPr>
              <w:t>截图</w:t>
            </w:r>
            <w:r>
              <w:rPr>
                <w:rFonts w:ascii="宋体" w:hAnsi="宋体" w:eastAsia="宋体" w:cs="宋体"/>
                <w:bCs/>
                <w:color w:val="000000"/>
                <w:kern w:val="0"/>
                <w:sz w:val="21"/>
                <w:szCs w:val="21"/>
              </w:rPr>
              <w:t>证明</w:t>
            </w:r>
            <w:r>
              <w:rPr>
                <w:rFonts w:hint="eastAsia" w:ascii="宋体" w:hAnsi="宋体" w:eastAsia="宋体" w:cs="宋体"/>
                <w:bCs/>
                <w:color w:val="000000"/>
                <w:kern w:val="0"/>
                <w:sz w:val="21"/>
                <w:szCs w:val="21"/>
                <w:lang w:val="en-US" w:eastAsia="zh-CN"/>
              </w:rPr>
              <w:t>材料。</w:t>
            </w:r>
          </w:p>
        </w:tc>
      </w:tr>
      <w:tr w14:paraId="4653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99" w:type="pct"/>
            <w:vAlign w:val="center"/>
          </w:tcPr>
          <w:p w14:paraId="66BB7068">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17</w:t>
            </w:r>
          </w:p>
        </w:tc>
        <w:tc>
          <w:tcPr>
            <w:tcW w:w="736" w:type="pct"/>
            <w:vMerge w:val="continue"/>
            <w:vAlign w:val="center"/>
          </w:tcPr>
          <w:p w14:paraId="485C351A">
            <w:pPr>
              <w:widowControl/>
              <w:jc w:val="left"/>
              <w:rPr>
                <w:rFonts w:ascii="宋体" w:hAnsi="宋体" w:eastAsia="宋体" w:cs="宋体"/>
                <w:color w:val="000000"/>
                <w:kern w:val="0"/>
                <w:sz w:val="21"/>
                <w:szCs w:val="21"/>
              </w:rPr>
            </w:pPr>
          </w:p>
        </w:tc>
        <w:tc>
          <w:tcPr>
            <w:tcW w:w="840" w:type="pct"/>
            <w:vAlign w:val="center"/>
          </w:tcPr>
          <w:p w14:paraId="2935F78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远程工具检测能力</w:t>
            </w:r>
          </w:p>
        </w:tc>
        <w:tc>
          <w:tcPr>
            <w:tcW w:w="3023" w:type="pct"/>
            <w:vAlign w:val="center"/>
          </w:tcPr>
          <w:p w14:paraId="6D80178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支持远控/远程工具检测，工具类型包括：向日葵、ToDesk、Sorillus、Stowaway、CcRemote、DWservice等。</w:t>
            </w:r>
          </w:p>
        </w:tc>
      </w:tr>
      <w:tr w14:paraId="0271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399" w:type="pct"/>
            <w:vAlign w:val="center"/>
          </w:tcPr>
          <w:p w14:paraId="31B2F0AD">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18</w:t>
            </w:r>
          </w:p>
        </w:tc>
        <w:tc>
          <w:tcPr>
            <w:tcW w:w="736" w:type="pct"/>
            <w:vMerge w:val="continue"/>
            <w:vAlign w:val="center"/>
          </w:tcPr>
          <w:p w14:paraId="09FC90C8">
            <w:pPr>
              <w:widowControl/>
              <w:jc w:val="left"/>
              <w:rPr>
                <w:rFonts w:ascii="宋体" w:hAnsi="宋体" w:eastAsia="宋体" w:cs="宋体"/>
                <w:color w:val="000000"/>
                <w:kern w:val="0"/>
                <w:sz w:val="21"/>
                <w:szCs w:val="21"/>
              </w:rPr>
            </w:pPr>
          </w:p>
        </w:tc>
        <w:tc>
          <w:tcPr>
            <w:tcW w:w="840" w:type="pct"/>
            <w:vAlign w:val="center"/>
          </w:tcPr>
          <w:p w14:paraId="7B36580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弱口令检测能力</w:t>
            </w:r>
          </w:p>
        </w:tc>
        <w:tc>
          <w:tcPr>
            <w:tcW w:w="3023" w:type="pct"/>
            <w:vAlign w:val="center"/>
          </w:tcPr>
          <w:p w14:paraId="002CD87D">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支持基于自定义正则表达式以及自定义弱口令字典的弱口令登录行为检测， 同时要支持不同协议弱口令分析。自定义弱口令正则表达式方式支持自定义弱口令强度、复杂度规则。支持配置多条弱口令检测的正则表达式。</w:t>
            </w:r>
          </w:p>
        </w:tc>
      </w:tr>
      <w:tr w14:paraId="7977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99" w:type="pct"/>
            <w:vAlign w:val="center"/>
          </w:tcPr>
          <w:p w14:paraId="4654B8AD">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19</w:t>
            </w:r>
          </w:p>
        </w:tc>
        <w:tc>
          <w:tcPr>
            <w:tcW w:w="736" w:type="pct"/>
            <w:vMerge w:val="continue"/>
            <w:vAlign w:val="center"/>
          </w:tcPr>
          <w:p w14:paraId="3CB2D4C9">
            <w:pPr>
              <w:widowControl/>
              <w:jc w:val="left"/>
              <w:rPr>
                <w:rFonts w:ascii="宋体" w:hAnsi="宋体" w:eastAsia="宋体" w:cs="宋体"/>
                <w:color w:val="000000"/>
                <w:kern w:val="0"/>
                <w:sz w:val="21"/>
                <w:szCs w:val="21"/>
              </w:rPr>
            </w:pPr>
          </w:p>
        </w:tc>
        <w:tc>
          <w:tcPr>
            <w:tcW w:w="840" w:type="pct"/>
            <w:vAlign w:val="center"/>
          </w:tcPr>
          <w:p w14:paraId="45C83A0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挖矿检测能力</w:t>
            </w:r>
          </w:p>
        </w:tc>
        <w:tc>
          <w:tcPr>
            <w:tcW w:w="3023" w:type="pct"/>
            <w:vAlign w:val="center"/>
          </w:tcPr>
          <w:p w14:paraId="23F44E4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支持门罗币、莱特币、以太坊、比特币、斯特币等24+多种币种的检测。</w:t>
            </w:r>
          </w:p>
        </w:tc>
      </w:tr>
      <w:tr w14:paraId="1C88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99" w:type="pct"/>
            <w:vAlign w:val="center"/>
          </w:tcPr>
          <w:p w14:paraId="7D4FA3D1">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w:t>
            </w:r>
          </w:p>
        </w:tc>
        <w:tc>
          <w:tcPr>
            <w:tcW w:w="736" w:type="pct"/>
            <w:vMerge w:val="continue"/>
            <w:vAlign w:val="center"/>
          </w:tcPr>
          <w:p w14:paraId="49E91E9C">
            <w:pPr>
              <w:widowControl/>
              <w:jc w:val="left"/>
              <w:rPr>
                <w:rFonts w:ascii="宋体" w:hAnsi="宋体" w:eastAsia="宋体" w:cs="宋体"/>
                <w:color w:val="000000"/>
                <w:kern w:val="0"/>
                <w:sz w:val="21"/>
                <w:szCs w:val="21"/>
              </w:rPr>
            </w:pPr>
          </w:p>
        </w:tc>
        <w:tc>
          <w:tcPr>
            <w:tcW w:w="840" w:type="pct"/>
            <w:vAlign w:val="center"/>
          </w:tcPr>
          <w:p w14:paraId="6B2F5B6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混淆攻击检测</w:t>
            </w:r>
          </w:p>
        </w:tc>
        <w:tc>
          <w:tcPr>
            <w:tcW w:w="3023" w:type="pct"/>
            <w:vAlign w:val="center"/>
          </w:tcPr>
          <w:p w14:paraId="4E3147C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支持对使用base64、unicode、url编码等混淆手段攻击检测。</w:t>
            </w:r>
          </w:p>
        </w:tc>
      </w:tr>
      <w:tr w14:paraId="4C63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399" w:type="pct"/>
            <w:vAlign w:val="center"/>
          </w:tcPr>
          <w:p w14:paraId="05F3FDED">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21</w:t>
            </w:r>
          </w:p>
        </w:tc>
        <w:tc>
          <w:tcPr>
            <w:tcW w:w="736" w:type="pct"/>
            <w:vMerge w:val="continue"/>
            <w:vAlign w:val="center"/>
          </w:tcPr>
          <w:p w14:paraId="17C3C684">
            <w:pPr>
              <w:widowControl/>
              <w:jc w:val="left"/>
              <w:rPr>
                <w:rFonts w:ascii="宋体" w:hAnsi="宋体" w:eastAsia="宋体" w:cs="宋体"/>
                <w:color w:val="000000"/>
                <w:kern w:val="0"/>
                <w:sz w:val="21"/>
                <w:szCs w:val="21"/>
              </w:rPr>
            </w:pPr>
          </w:p>
        </w:tc>
        <w:tc>
          <w:tcPr>
            <w:tcW w:w="840" w:type="pct"/>
            <w:vAlign w:val="center"/>
          </w:tcPr>
          <w:p w14:paraId="42311B14">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自定义检测漏洞规则</w:t>
            </w:r>
          </w:p>
        </w:tc>
        <w:tc>
          <w:tcPr>
            <w:tcW w:w="3023" w:type="pct"/>
            <w:vAlign w:val="center"/>
          </w:tcPr>
          <w:p w14:paraId="491F7581">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支持自定义漏洞规则</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支持根据攻击载荷自定义漏洞检测规则，可自定义载荷检测位置、检测字段、匹配方式（文本匹配/正则匹配）、匹配载荷内容，并且单条规则可指定多个检查项，同时可定义漏洞威胁级别、威胁分类、攻击结果、CVE编号、CNNVD编号、漏洞描述、漏洞危害、解决方案。</w:t>
            </w:r>
          </w:p>
        </w:tc>
      </w:tr>
      <w:tr w14:paraId="751F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399" w:type="pct"/>
            <w:vAlign w:val="center"/>
          </w:tcPr>
          <w:p w14:paraId="2017733D">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22</w:t>
            </w:r>
          </w:p>
        </w:tc>
        <w:tc>
          <w:tcPr>
            <w:tcW w:w="736" w:type="pct"/>
            <w:vMerge w:val="continue"/>
            <w:vAlign w:val="center"/>
          </w:tcPr>
          <w:p w14:paraId="4940C29D">
            <w:pPr>
              <w:widowControl/>
              <w:jc w:val="left"/>
              <w:rPr>
                <w:rFonts w:ascii="宋体" w:hAnsi="宋体" w:eastAsia="宋体" w:cs="宋体"/>
                <w:color w:val="000000"/>
                <w:kern w:val="0"/>
                <w:sz w:val="21"/>
                <w:szCs w:val="21"/>
              </w:rPr>
            </w:pPr>
          </w:p>
        </w:tc>
        <w:tc>
          <w:tcPr>
            <w:tcW w:w="840" w:type="pct"/>
            <w:vAlign w:val="center"/>
          </w:tcPr>
          <w:p w14:paraId="4677833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自定义检测威胁情报</w:t>
            </w:r>
          </w:p>
        </w:tc>
        <w:tc>
          <w:tcPr>
            <w:tcW w:w="3023" w:type="pct"/>
            <w:vAlign w:val="center"/>
          </w:tcPr>
          <w:p w14:paraId="101B3F9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支持自定义威胁情报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支持根据威胁类型、威胁名称、威胁级别、置信度、情报类型、IP、域名等自定义添加威胁情报，支持STIX、OPENIOC、JSON、XLSX格式的批量导入。</w:t>
            </w:r>
          </w:p>
        </w:tc>
      </w:tr>
      <w:tr w14:paraId="2DE1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99" w:type="pct"/>
            <w:vAlign w:val="center"/>
          </w:tcPr>
          <w:p w14:paraId="161F0A0D">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23</w:t>
            </w:r>
          </w:p>
        </w:tc>
        <w:tc>
          <w:tcPr>
            <w:tcW w:w="736" w:type="pct"/>
            <w:vMerge w:val="continue"/>
            <w:vAlign w:val="center"/>
          </w:tcPr>
          <w:p w14:paraId="5EB29581">
            <w:pPr>
              <w:widowControl/>
              <w:jc w:val="left"/>
              <w:rPr>
                <w:rFonts w:ascii="宋体" w:hAnsi="宋体" w:eastAsia="宋体" w:cs="宋体"/>
                <w:color w:val="000000"/>
                <w:kern w:val="0"/>
                <w:sz w:val="21"/>
                <w:szCs w:val="21"/>
              </w:rPr>
            </w:pPr>
          </w:p>
        </w:tc>
        <w:tc>
          <w:tcPr>
            <w:tcW w:w="840" w:type="pct"/>
            <w:vAlign w:val="center"/>
          </w:tcPr>
          <w:p w14:paraId="3DBFFAB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敏感信息识别及加密展示</w:t>
            </w:r>
          </w:p>
        </w:tc>
        <w:tc>
          <w:tcPr>
            <w:tcW w:w="3023" w:type="pct"/>
            <w:vAlign w:val="center"/>
          </w:tcPr>
          <w:p w14:paraId="57DA26A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支持根据正则/机器学习来判断告警详情是否包含身份证号、用户名、密码等敏感信息，敏感信息加密展示。</w:t>
            </w:r>
          </w:p>
        </w:tc>
      </w:tr>
      <w:tr w14:paraId="76DC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99" w:type="pct"/>
            <w:vAlign w:val="center"/>
          </w:tcPr>
          <w:p w14:paraId="132CC332">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24</w:t>
            </w:r>
          </w:p>
        </w:tc>
        <w:tc>
          <w:tcPr>
            <w:tcW w:w="736" w:type="pct"/>
            <w:vMerge w:val="continue"/>
            <w:vAlign w:val="center"/>
          </w:tcPr>
          <w:p w14:paraId="2DEF4894">
            <w:pPr>
              <w:widowControl/>
              <w:jc w:val="left"/>
              <w:rPr>
                <w:rFonts w:ascii="宋体" w:hAnsi="宋体" w:eastAsia="宋体" w:cs="宋体"/>
                <w:color w:val="000000"/>
                <w:kern w:val="0"/>
                <w:sz w:val="21"/>
                <w:szCs w:val="21"/>
              </w:rPr>
            </w:pPr>
          </w:p>
        </w:tc>
        <w:tc>
          <w:tcPr>
            <w:tcW w:w="840" w:type="pct"/>
            <w:vAlign w:val="center"/>
          </w:tcPr>
          <w:p w14:paraId="3986D28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攻击特征显示</w:t>
            </w:r>
          </w:p>
        </w:tc>
        <w:tc>
          <w:tcPr>
            <w:tcW w:w="3023" w:type="pct"/>
            <w:vAlign w:val="center"/>
          </w:tcPr>
          <w:p w14:paraId="1E0FC840">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支持攻击特征高亮展示，方便分析人员事件分析</w:t>
            </w:r>
          </w:p>
        </w:tc>
      </w:tr>
      <w:tr w14:paraId="5A79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99" w:type="pct"/>
            <w:vAlign w:val="center"/>
          </w:tcPr>
          <w:p w14:paraId="1EE95CBF">
            <w:pPr>
              <w:rPr>
                <w:rFonts w:hint="default" w:ascii="宋体" w:hAnsi="宋体" w:eastAsia="宋体"/>
                <w:sz w:val="21"/>
                <w:szCs w:val="21"/>
                <w:lang w:val="en-US" w:eastAsia="zh-CN"/>
              </w:rPr>
            </w:pPr>
            <w:r>
              <w:rPr>
                <w:rFonts w:hint="eastAsia" w:ascii="宋体" w:hAnsi="宋体" w:eastAsia="宋体"/>
                <w:sz w:val="21"/>
                <w:szCs w:val="21"/>
                <w:lang w:val="en-US" w:eastAsia="zh-CN"/>
              </w:rPr>
              <w:t>25</w:t>
            </w:r>
          </w:p>
        </w:tc>
        <w:tc>
          <w:tcPr>
            <w:tcW w:w="736" w:type="pct"/>
            <w:vMerge w:val="restart"/>
            <w:vAlign w:val="center"/>
          </w:tcPr>
          <w:p w14:paraId="470BB1FB">
            <w:pPr>
              <w:rPr>
                <w:rFonts w:hint="eastAsia" w:ascii="宋体" w:hAnsi="宋体" w:eastAsia="宋体"/>
                <w:sz w:val="21"/>
                <w:szCs w:val="21"/>
              </w:rPr>
            </w:pPr>
            <w:r>
              <w:rPr>
                <w:rFonts w:hint="eastAsia" w:ascii="宋体" w:hAnsi="宋体" w:eastAsia="宋体"/>
                <w:sz w:val="21"/>
                <w:szCs w:val="21"/>
              </w:rPr>
              <w:t>资质证书</w:t>
            </w:r>
          </w:p>
        </w:tc>
        <w:tc>
          <w:tcPr>
            <w:tcW w:w="840" w:type="pct"/>
            <w:vMerge w:val="restart"/>
            <w:vAlign w:val="center"/>
          </w:tcPr>
          <w:p w14:paraId="3E2ECE7B">
            <w:pPr>
              <w:rPr>
                <w:rFonts w:hint="eastAsia" w:ascii="宋体" w:hAnsi="宋体" w:eastAsia="宋体"/>
                <w:sz w:val="21"/>
                <w:szCs w:val="21"/>
              </w:rPr>
            </w:pPr>
            <w:r>
              <w:rPr>
                <w:rFonts w:hint="eastAsia" w:ascii="宋体" w:hAnsi="宋体" w:eastAsia="宋体"/>
                <w:sz w:val="21"/>
                <w:szCs w:val="21"/>
              </w:rPr>
              <w:t>产品资质证书</w:t>
            </w:r>
          </w:p>
        </w:tc>
        <w:tc>
          <w:tcPr>
            <w:tcW w:w="3023" w:type="pct"/>
            <w:vAlign w:val="center"/>
          </w:tcPr>
          <w:p w14:paraId="75A913AD">
            <w:pPr>
              <w:rPr>
                <w:rFonts w:hint="eastAsia" w:ascii="宋体" w:hAnsi="宋体" w:eastAsia="宋体"/>
                <w:sz w:val="21"/>
                <w:szCs w:val="21"/>
              </w:rPr>
            </w:pPr>
            <w:r>
              <w:rPr>
                <w:rFonts w:hint="eastAsia" w:ascii="宋体" w:hAnsi="宋体" w:eastAsia="宋体"/>
                <w:sz w:val="21"/>
                <w:szCs w:val="21"/>
              </w:rPr>
              <w:t>国家信息安全测评信息技术产品安全测评证书（</w:t>
            </w:r>
            <w:r>
              <w:rPr>
                <w:rFonts w:ascii="宋体" w:hAnsi="宋体" w:eastAsia="宋体"/>
                <w:sz w:val="21"/>
                <w:szCs w:val="21"/>
              </w:rPr>
              <w:t>EAL</w:t>
            </w:r>
            <w:r>
              <w:rPr>
                <w:rFonts w:hint="eastAsia" w:ascii="宋体" w:hAnsi="宋体" w:eastAsia="宋体"/>
                <w:sz w:val="21"/>
                <w:szCs w:val="21"/>
              </w:rPr>
              <w:t>3+</w:t>
            </w:r>
            <w:r>
              <w:rPr>
                <w:rFonts w:ascii="宋体" w:hAnsi="宋体" w:eastAsia="宋体"/>
                <w:sz w:val="21"/>
                <w:szCs w:val="21"/>
              </w:rPr>
              <w:t>）</w:t>
            </w:r>
          </w:p>
        </w:tc>
      </w:tr>
      <w:tr w14:paraId="7EA6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99" w:type="pct"/>
            <w:vAlign w:val="center"/>
          </w:tcPr>
          <w:p w14:paraId="5EA13DB4">
            <w:pPr>
              <w:rPr>
                <w:rFonts w:hint="default" w:ascii="宋体" w:hAnsi="宋体" w:eastAsia="宋体"/>
                <w:sz w:val="21"/>
                <w:szCs w:val="21"/>
                <w:lang w:val="en-US" w:eastAsia="zh-CN"/>
              </w:rPr>
            </w:pPr>
            <w:r>
              <w:rPr>
                <w:rFonts w:hint="eastAsia" w:ascii="宋体" w:hAnsi="宋体" w:eastAsia="宋体"/>
                <w:sz w:val="21"/>
                <w:szCs w:val="21"/>
                <w:lang w:val="en-US" w:eastAsia="zh-CN"/>
              </w:rPr>
              <w:t>26</w:t>
            </w:r>
          </w:p>
        </w:tc>
        <w:tc>
          <w:tcPr>
            <w:tcW w:w="736" w:type="pct"/>
            <w:vMerge w:val="continue"/>
            <w:vAlign w:val="center"/>
          </w:tcPr>
          <w:p w14:paraId="3D9A0B65">
            <w:pPr>
              <w:rPr>
                <w:rFonts w:hint="eastAsia" w:ascii="宋体" w:hAnsi="宋体" w:eastAsia="宋体"/>
                <w:sz w:val="21"/>
                <w:szCs w:val="21"/>
              </w:rPr>
            </w:pPr>
          </w:p>
        </w:tc>
        <w:tc>
          <w:tcPr>
            <w:tcW w:w="840" w:type="pct"/>
            <w:vMerge w:val="continue"/>
            <w:vAlign w:val="center"/>
          </w:tcPr>
          <w:p w14:paraId="03F17C3B">
            <w:pPr>
              <w:rPr>
                <w:rFonts w:hint="eastAsia" w:ascii="宋体" w:hAnsi="宋体" w:eastAsia="宋体"/>
                <w:sz w:val="21"/>
                <w:szCs w:val="21"/>
              </w:rPr>
            </w:pPr>
          </w:p>
        </w:tc>
        <w:tc>
          <w:tcPr>
            <w:tcW w:w="3023" w:type="pct"/>
            <w:vAlign w:val="center"/>
          </w:tcPr>
          <w:p w14:paraId="1B6FF837">
            <w:pPr>
              <w:rPr>
                <w:rFonts w:hint="eastAsia" w:ascii="宋体" w:hAnsi="宋体" w:eastAsia="宋体"/>
                <w:sz w:val="21"/>
                <w:szCs w:val="21"/>
              </w:rPr>
            </w:pPr>
            <w:r>
              <w:rPr>
                <w:rFonts w:ascii="宋体" w:hAnsi="宋体" w:eastAsia="宋体"/>
                <w:sz w:val="21"/>
                <w:szCs w:val="21"/>
              </w:rPr>
              <w:t>IT产品信息安全认证证书</w:t>
            </w:r>
          </w:p>
        </w:tc>
      </w:tr>
      <w:tr w14:paraId="115D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99" w:type="pct"/>
            <w:vAlign w:val="center"/>
          </w:tcPr>
          <w:p w14:paraId="0B4F2EB7">
            <w:pPr>
              <w:rPr>
                <w:rFonts w:hint="default" w:ascii="宋体" w:hAnsi="宋体" w:eastAsia="宋体"/>
                <w:sz w:val="21"/>
                <w:szCs w:val="21"/>
                <w:lang w:val="en-US" w:eastAsia="zh-CN"/>
              </w:rPr>
            </w:pPr>
            <w:r>
              <w:rPr>
                <w:rFonts w:hint="eastAsia" w:ascii="宋体" w:hAnsi="宋体" w:eastAsia="宋体"/>
                <w:sz w:val="21"/>
                <w:szCs w:val="21"/>
                <w:lang w:val="en-US" w:eastAsia="zh-CN"/>
              </w:rPr>
              <w:t>27</w:t>
            </w:r>
          </w:p>
        </w:tc>
        <w:tc>
          <w:tcPr>
            <w:tcW w:w="736" w:type="pct"/>
            <w:vMerge w:val="continue"/>
            <w:vAlign w:val="center"/>
          </w:tcPr>
          <w:p w14:paraId="37620174">
            <w:pPr>
              <w:rPr>
                <w:rFonts w:hint="eastAsia" w:ascii="宋体" w:hAnsi="宋体" w:eastAsia="宋体"/>
                <w:sz w:val="21"/>
                <w:szCs w:val="21"/>
              </w:rPr>
            </w:pPr>
          </w:p>
        </w:tc>
        <w:tc>
          <w:tcPr>
            <w:tcW w:w="840" w:type="pct"/>
            <w:vMerge w:val="restart"/>
            <w:vAlign w:val="center"/>
          </w:tcPr>
          <w:p w14:paraId="1C22C069">
            <w:pPr>
              <w:rPr>
                <w:rFonts w:hint="eastAsia" w:ascii="宋体" w:hAnsi="宋体" w:eastAsia="宋体"/>
                <w:sz w:val="21"/>
                <w:szCs w:val="21"/>
              </w:rPr>
            </w:pPr>
            <w:r>
              <w:rPr>
                <w:rFonts w:hint="eastAsia" w:ascii="宋体" w:hAnsi="宋体" w:eastAsia="宋体"/>
                <w:sz w:val="21"/>
                <w:szCs w:val="21"/>
              </w:rPr>
              <w:t>厂商资质证书</w:t>
            </w:r>
          </w:p>
        </w:tc>
        <w:tc>
          <w:tcPr>
            <w:tcW w:w="3023" w:type="pct"/>
            <w:vAlign w:val="center"/>
          </w:tcPr>
          <w:p w14:paraId="0099F186">
            <w:pPr>
              <w:rPr>
                <w:rFonts w:ascii="宋体" w:hAnsi="宋体" w:eastAsia="宋体"/>
                <w:sz w:val="21"/>
                <w:szCs w:val="21"/>
              </w:rPr>
            </w:pPr>
            <w:r>
              <w:rPr>
                <w:rFonts w:ascii="宋体" w:hAnsi="宋体" w:eastAsia="宋体"/>
                <w:sz w:val="21"/>
                <w:szCs w:val="21"/>
              </w:rPr>
              <w:t>CNNVD技术支撑单位</w:t>
            </w:r>
            <w:r>
              <w:rPr>
                <w:rFonts w:hint="eastAsia" w:ascii="宋体" w:hAnsi="宋体" w:eastAsia="宋体"/>
                <w:sz w:val="21"/>
                <w:szCs w:val="21"/>
              </w:rPr>
              <w:t>(核心</w:t>
            </w:r>
            <w:r>
              <w:rPr>
                <w:rFonts w:ascii="宋体" w:hAnsi="宋体" w:eastAsia="宋体"/>
                <w:sz w:val="21"/>
                <w:szCs w:val="21"/>
              </w:rPr>
              <w:t>)</w:t>
            </w:r>
          </w:p>
        </w:tc>
      </w:tr>
      <w:tr w14:paraId="09F3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99" w:type="pct"/>
            <w:vAlign w:val="center"/>
          </w:tcPr>
          <w:p w14:paraId="45ED7FEF">
            <w:pPr>
              <w:rPr>
                <w:rFonts w:hint="default" w:ascii="宋体" w:hAnsi="宋体" w:eastAsia="宋体"/>
                <w:sz w:val="21"/>
                <w:szCs w:val="21"/>
                <w:lang w:val="en-US" w:eastAsia="zh-CN"/>
              </w:rPr>
            </w:pPr>
            <w:r>
              <w:rPr>
                <w:rFonts w:hint="eastAsia" w:ascii="宋体" w:hAnsi="宋体" w:eastAsia="宋体"/>
                <w:sz w:val="21"/>
                <w:szCs w:val="21"/>
                <w:lang w:val="en-US" w:eastAsia="zh-CN"/>
              </w:rPr>
              <w:t>28</w:t>
            </w:r>
          </w:p>
        </w:tc>
        <w:tc>
          <w:tcPr>
            <w:tcW w:w="736" w:type="pct"/>
            <w:vMerge w:val="continue"/>
            <w:vAlign w:val="center"/>
          </w:tcPr>
          <w:p w14:paraId="23115D34">
            <w:pPr>
              <w:rPr>
                <w:rFonts w:hint="eastAsia" w:ascii="宋体" w:hAnsi="宋体" w:eastAsia="宋体"/>
                <w:sz w:val="21"/>
                <w:szCs w:val="21"/>
              </w:rPr>
            </w:pPr>
          </w:p>
        </w:tc>
        <w:tc>
          <w:tcPr>
            <w:tcW w:w="840" w:type="pct"/>
            <w:vMerge w:val="continue"/>
            <w:vAlign w:val="center"/>
          </w:tcPr>
          <w:p w14:paraId="006830A1">
            <w:pPr>
              <w:rPr>
                <w:rFonts w:hint="eastAsia" w:ascii="宋体" w:hAnsi="宋体" w:eastAsia="宋体"/>
                <w:sz w:val="21"/>
                <w:szCs w:val="21"/>
              </w:rPr>
            </w:pPr>
          </w:p>
        </w:tc>
        <w:tc>
          <w:tcPr>
            <w:tcW w:w="3023" w:type="pct"/>
            <w:vAlign w:val="center"/>
          </w:tcPr>
          <w:p w14:paraId="1AA40BB6">
            <w:pPr>
              <w:rPr>
                <w:rFonts w:ascii="宋体" w:hAnsi="宋体" w:eastAsia="宋体"/>
                <w:sz w:val="21"/>
                <w:szCs w:val="21"/>
              </w:rPr>
            </w:pPr>
            <w:r>
              <w:rPr>
                <w:rFonts w:hint="eastAsia" w:ascii="宋体" w:hAnsi="宋体" w:eastAsia="宋体"/>
                <w:sz w:val="21"/>
                <w:szCs w:val="21"/>
              </w:rPr>
              <w:t>信息通信行业企业信用等级评价</w:t>
            </w:r>
            <w:r>
              <w:rPr>
                <w:rFonts w:ascii="宋体" w:hAnsi="宋体" w:eastAsia="宋体"/>
                <w:sz w:val="21"/>
                <w:szCs w:val="21"/>
              </w:rPr>
              <w:t>--运维服务领域</w:t>
            </w:r>
            <w:r>
              <w:rPr>
                <w:rFonts w:hint="eastAsia" w:ascii="宋体" w:hAnsi="宋体" w:eastAsia="宋体"/>
                <w:sz w:val="21"/>
                <w:szCs w:val="21"/>
              </w:rPr>
              <w:t>(</w:t>
            </w:r>
            <w:r>
              <w:rPr>
                <w:rFonts w:ascii="宋体" w:hAnsi="宋体" w:eastAsia="宋体"/>
                <w:sz w:val="21"/>
                <w:szCs w:val="21"/>
              </w:rPr>
              <w:t>AAA)</w:t>
            </w:r>
          </w:p>
        </w:tc>
      </w:tr>
      <w:tr w14:paraId="2748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99" w:type="pct"/>
            <w:vAlign w:val="center"/>
          </w:tcPr>
          <w:p w14:paraId="0A414F3C">
            <w:pPr>
              <w:rPr>
                <w:rFonts w:hint="default" w:ascii="宋体" w:hAnsi="宋体" w:eastAsia="宋体"/>
                <w:sz w:val="21"/>
                <w:szCs w:val="21"/>
                <w:lang w:val="en-US" w:eastAsia="zh-CN"/>
              </w:rPr>
            </w:pPr>
            <w:r>
              <w:rPr>
                <w:rFonts w:hint="eastAsia" w:ascii="宋体" w:hAnsi="宋体" w:eastAsia="宋体"/>
                <w:sz w:val="21"/>
                <w:szCs w:val="21"/>
                <w:lang w:val="en-US" w:eastAsia="zh-CN"/>
              </w:rPr>
              <w:t>29</w:t>
            </w:r>
          </w:p>
        </w:tc>
        <w:tc>
          <w:tcPr>
            <w:tcW w:w="736" w:type="pct"/>
            <w:vMerge w:val="continue"/>
            <w:vAlign w:val="center"/>
          </w:tcPr>
          <w:p w14:paraId="4BBC4812">
            <w:pPr>
              <w:rPr>
                <w:rFonts w:hint="eastAsia" w:ascii="宋体" w:hAnsi="宋体" w:eastAsia="宋体"/>
                <w:sz w:val="21"/>
                <w:szCs w:val="21"/>
              </w:rPr>
            </w:pPr>
          </w:p>
        </w:tc>
        <w:tc>
          <w:tcPr>
            <w:tcW w:w="840" w:type="pct"/>
            <w:vMerge w:val="continue"/>
            <w:vAlign w:val="center"/>
          </w:tcPr>
          <w:p w14:paraId="1221A798">
            <w:pPr>
              <w:rPr>
                <w:rFonts w:hint="eastAsia" w:ascii="宋体" w:hAnsi="宋体" w:eastAsia="宋体"/>
                <w:sz w:val="21"/>
                <w:szCs w:val="21"/>
              </w:rPr>
            </w:pPr>
          </w:p>
        </w:tc>
        <w:tc>
          <w:tcPr>
            <w:tcW w:w="3023" w:type="pct"/>
            <w:vAlign w:val="center"/>
          </w:tcPr>
          <w:p w14:paraId="2373C395">
            <w:pPr>
              <w:rPr>
                <w:rFonts w:hint="eastAsia" w:ascii="宋体" w:hAnsi="宋体" w:eastAsia="宋体"/>
                <w:sz w:val="21"/>
                <w:szCs w:val="21"/>
              </w:rPr>
            </w:pPr>
            <w:r>
              <w:rPr>
                <w:rFonts w:ascii="宋体" w:hAnsi="宋体" w:eastAsia="宋体"/>
                <w:sz w:val="21"/>
                <w:szCs w:val="21"/>
              </w:rPr>
              <w:t>CIC信息化建设及数字化能力评价证书</w:t>
            </w:r>
            <w:r>
              <w:rPr>
                <w:rFonts w:hint="eastAsia" w:ascii="宋体" w:hAnsi="宋体" w:eastAsia="宋体"/>
                <w:sz w:val="21"/>
                <w:szCs w:val="21"/>
              </w:rPr>
              <w:t>（一级）</w:t>
            </w:r>
          </w:p>
        </w:tc>
      </w:tr>
      <w:tr w14:paraId="5D5D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99" w:type="pct"/>
            <w:vAlign w:val="center"/>
          </w:tcPr>
          <w:p w14:paraId="7A320FAD">
            <w:pPr>
              <w:rPr>
                <w:rFonts w:hint="default" w:ascii="宋体" w:hAnsi="宋体" w:eastAsia="宋体"/>
                <w:sz w:val="21"/>
                <w:szCs w:val="21"/>
                <w:lang w:val="en-US" w:eastAsia="zh-CN"/>
              </w:rPr>
            </w:pPr>
            <w:r>
              <w:rPr>
                <w:rFonts w:hint="eastAsia" w:ascii="宋体" w:hAnsi="宋体" w:eastAsia="宋体"/>
                <w:sz w:val="21"/>
                <w:szCs w:val="21"/>
                <w:lang w:val="en-US" w:eastAsia="zh-CN"/>
              </w:rPr>
              <w:t>30</w:t>
            </w:r>
          </w:p>
        </w:tc>
        <w:tc>
          <w:tcPr>
            <w:tcW w:w="736" w:type="pct"/>
            <w:vMerge w:val="continue"/>
            <w:vAlign w:val="center"/>
          </w:tcPr>
          <w:p w14:paraId="2DCD6592">
            <w:pPr>
              <w:rPr>
                <w:rFonts w:hint="eastAsia" w:ascii="宋体" w:hAnsi="宋体" w:eastAsia="宋体"/>
                <w:sz w:val="21"/>
                <w:szCs w:val="21"/>
              </w:rPr>
            </w:pPr>
          </w:p>
        </w:tc>
        <w:tc>
          <w:tcPr>
            <w:tcW w:w="840" w:type="pct"/>
            <w:vMerge w:val="continue"/>
            <w:vAlign w:val="center"/>
          </w:tcPr>
          <w:p w14:paraId="502540B9">
            <w:pPr>
              <w:rPr>
                <w:rFonts w:hint="eastAsia" w:ascii="宋体" w:hAnsi="宋体" w:eastAsia="宋体"/>
                <w:sz w:val="21"/>
                <w:szCs w:val="21"/>
              </w:rPr>
            </w:pPr>
          </w:p>
        </w:tc>
        <w:tc>
          <w:tcPr>
            <w:tcW w:w="3023" w:type="pct"/>
            <w:vAlign w:val="center"/>
          </w:tcPr>
          <w:p w14:paraId="37C13555">
            <w:pPr>
              <w:rPr>
                <w:rFonts w:ascii="宋体" w:hAnsi="宋体" w:eastAsia="宋体"/>
                <w:sz w:val="21"/>
                <w:szCs w:val="21"/>
              </w:rPr>
            </w:pPr>
            <w:r>
              <w:rPr>
                <w:rFonts w:ascii="宋体" w:hAnsi="宋体" w:eastAsia="宋体"/>
                <w:sz w:val="21"/>
                <w:szCs w:val="21"/>
              </w:rPr>
              <w:t>ISO50001能源管理体系</w:t>
            </w:r>
            <w:r>
              <w:rPr>
                <w:rFonts w:hint="eastAsia" w:ascii="宋体" w:hAnsi="宋体" w:eastAsia="宋体"/>
                <w:sz w:val="21"/>
                <w:szCs w:val="21"/>
              </w:rPr>
              <w:t>认证证书</w:t>
            </w:r>
          </w:p>
        </w:tc>
      </w:tr>
      <w:tr w14:paraId="2CE7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99" w:type="pct"/>
            <w:vAlign w:val="center"/>
          </w:tcPr>
          <w:p w14:paraId="24038CFB">
            <w:pPr>
              <w:widowControl/>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31</w:t>
            </w:r>
          </w:p>
        </w:tc>
        <w:tc>
          <w:tcPr>
            <w:tcW w:w="1577" w:type="pct"/>
            <w:gridSpan w:val="2"/>
            <w:vAlign w:val="center"/>
          </w:tcPr>
          <w:p w14:paraId="59896E32">
            <w:pPr>
              <w:widowControl/>
              <w:rPr>
                <w:rFonts w:ascii="宋体" w:hAnsi="宋体" w:eastAsia="宋体" w:cs="宋体"/>
                <w:kern w:val="0"/>
                <w:sz w:val="21"/>
                <w:szCs w:val="21"/>
              </w:rPr>
            </w:pPr>
            <w:r>
              <w:rPr>
                <w:rFonts w:hint="eastAsia" w:ascii="宋体" w:hAnsi="宋体" w:eastAsia="宋体" w:cs="宋体"/>
                <w:kern w:val="0"/>
                <w:sz w:val="21"/>
                <w:szCs w:val="21"/>
              </w:rPr>
              <w:t>服务</w:t>
            </w:r>
          </w:p>
        </w:tc>
        <w:tc>
          <w:tcPr>
            <w:tcW w:w="3023" w:type="pct"/>
            <w:vAlign w:val="center"/>
          </w:tcPr>
          <w:p w14:paraId="18CA79AC">
            <w:pPr>
              <w:widowControl/>
              <w:rPr>
                <w:rFonts w:ascii="宋体" w:hAnsi="宋体" w:eastAsia="宋体" w:cs="宋体"/>
                <w:kern w:val="0"/>
                <w:sz w:val="21"/>
                <w:szCs w:val="21"/>
              </w:rPr>
            </w:pPr>
            <w:r>
              <w:rPr>
                <w:rFonts w:hint="eastAsia" w:ascii="宋体" w:hAnsi="宋体" w:eastAsia="宋体" w:cs="宋体"/>
                <w:kern w:val="0"/>
                <w:sz w:val="21"/>
                <w:szCs w:val="21"/>
              </w:rPr>
              <w:t>签订合同时提供三年原厂商质保服务承诺函及授权书。</w:t>
            </w:r>
          </w:p>
        </w:tc>
      </w:tr>
      <w:tr w14:paraId="582D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399" w:type="pct"/>
            <w:vAlign w:val="center"/>
          </w:tcPr>
          <w:p w14:paraId="40D6250C">
            <w:pPr>
              <w:widowControl/>
              <w:rPr>
                <w:rFonts w:hint="default" w:ascii="宋体" w:hAnsi="宋体" w:eastAsia="宋体" w:cs="Calibri"/>
                <w:sz w:val="21"/>
                <w:szCs w:val="21"/>
                <w:lang w:val="en-US" w:eastAsia="zh-CN"/>
              </w:rPr>
            </w:pPr>
            <w:r>
              <w:rPr>
                <w:rFonts w:hint="eastAsia" w:ascii="宋体" w:hAnsi="宋体" w:eastAsia="宋体" w:cs="Calibri"/>
                <w:sz w:val="21"/>
                <w:szCs w:val="21"/>
                <w:lang w:val="en-US" w:eastAsia="zh-CN"/>
              </w:rPr>
              <w:t>32</w:t>
            </w:r>
          </w:p>
        </w:tc>
        <w:tc>
          <w:tcPr>
            <w:tcW w:w="1577" w:type="pct"/>
            <w:gridSpan w:val="2"/>
            <w:vAlign w:val="center"/>
          </w:tcPr>
          <w:p w14:paraId="1F114A2F">
            <w:pPr>
              <w:widowControl/>
              <w:rPr>
                <w:rFonts w:ascii="宋体" w:hAnsi="宋体" w:eastAsia="宋体" w:cs="宋体"/>
                <w:kern w:val="0"/>
                <w:sz w:val="21"/>
                <w:szCs w:val="21"/>
              </w:rPr>
            </w:pPr>
            <w:r>
              <w:rPr>
                <w:rFonts w:ascii="宋体" w:hAnsi="宋体" w:eastAsia="宋体" w:cs="Calibri"/>
                <w:sz w:val="21"/>
                <w:szCs w:val="21"/>
                <w:lang w:val="it-IT"/>
              </w:rPr>
              <w:t>产品测试</w:t>
            </w:r>
          </w:p>
        </w:tc>
        <w:tc>
          <w:tcPr>
            <w:tcW w:w="3023" w:type="pct"/>
            <w:vAlign w:val="center"/>
          </w:tcPr>
          <w:p w14:paraId="0E70CDEB">
            <w:pPr>
              <w:widowControl/>
              <w:rPr>
                <w:rFonts w:ascii="宋体" w:hAnsi="宋体" w:eastAsia="宋体" w:cs="宋体"/>
                <w:kern w:val="0"/>
                <w:sz w:val="21"/>
                <w:szCs w:val="21"/>
              </w:rPr>
            </w:pPr>
            <w:r>
              <w:rPr>
                <w:rFonts w:hint="eastAsia" w:ascii="宋体" w:hAnsi="宋体" w:eastAsia="宋体" w:cs="Calibri"/>
                <w:sz w:val="21"/>
                <w:szCs w:val="21"/>
                <w:lang w:val="it-IT"/>
              </w:rPr>
              <w:t>为防止投标方虚假应答技术指标，从而造成用户在实际使用设备过程中无法实现所需的功能，中标公示期间需要提供同型号的样机进行上述功能要求的逐一测试验证，全部通过后执行合同流程，在指定的时间不能提供测试样机进行测试或测试中发现虚假应标的行为，则中标结果无效，并保留对预中标单位追究相关责任的权利。</w:t>
            </w:r>
          </w:p>
        </w:tc>
      </w:tr>
      <w:tr w14:paraId="11E6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99" w:type="pct"/>
            <w:vAlign w:val="center"/>
          </w:tcPr>
          <w:p w14:paraId="3144130B">
            <w:pPr>
              <w:widowControl/>
              <w:rPr>
                <w:rFonts w:hint="default" w:ascii="宋体" w:hAnsi="宋体" w:eastAsia="宋体" w:cs="Calibri"/>
                <w:sz w:val="21"/>
                <w:szCs w:val="21"/>
                <w:lang w:val="en-US" w:eastAsia="zh-CN"/>
              </w:rPr>
            </w:pPr>
            <w:r>
              <w:rPr>
                <w:rFonts w:hint="eastAsia" w:cs="Calibri"/>
                <w:sz w:val="21"/>
                <w:szCs w:val="21"/>
                <w:lang w:val="en-US" w:eastAsia="zh-CN"/>
              </w:rPr>
              <w:t>33</w:t>
            </w:r>
          </w:p>
        </w:tc>
        <w:tc>
          <w:tcPr>
            <w:tcW w:w="1577" w:type="pct"/>
            <w:gridSpan w:val="2"/>
            <w:vAlign w:val="center"/>
          </w:tcPr>
          <w:p w14:paraId="6DF6D1F3">
            <w:pPr>
              <w:widowControl/>
              <w:rPr>
                <w:rFonts w:ascii="宋体" w:hAnsi="宋体" w:eastAsia="宋体" w:cs="Calibri"/>
                <w:sz w:val="21"/>
                <w:szCs w:val="21"/>
                <w:lang w:val="it-IT"/>
              </w:rPr>
            </w:pPr>
            <w:r>
              <w:rPr>
                <w:rFonts w:hint="eastAsia"/>
                <w:sz w:val="21"/>
                <w:szCs w:val="21"/>
                <w:lang w:val="en-US" w:eastAsia="zh-CN"/>
              </w:rPr>
              <w:t>服务承诺函</w:t>
            </w:r>
          </w:p>
        </w:tc>
        <w:tc>
          <w:tcPr>
            <w:tcW w:w="3023" w:type="pct"/>
            <w:vAlign w:val="center"/>
          </w:tcPr>
          <w:p w14:paraId="4DB11885">
            <w:pPr>
              <w:widowControl/>
              <w:rPr>
                <w:rFonts w:hint="eastAsia" w:ascii="宋体" w:hAnsi="宋体" w:eastAsia="宋体" w:cs="Calibri"/>
                <w:sz w:val="21"/>
                <w:szCs w:val="21"/>
                <w:lang w:val="it-IT"/>
              </w:rPr>
            </w:pPr>
            <w:r>
              <w:rPr>
                <w:rFonts w:hint="eastAsia"/>
                <w:sz w:val="21"/>
                <w:szCs w:val="21"/>
                <w:lang w:val="en-US" w:eastAsia="zh-CN"/>
              </w:rPr>
              <w:t>合同签订时，提供原厂商针对本项目的服务承诺函</w:t>
            </w:r>
          </w:p>
        </w:tc>
      </w:tr>
    </w:tbl>
    <w:p w14:paraId="135E8C89">
      <w:pPr>
        <w:bidi w:val="0"/>
        <w:rPr>
          <w:rFonts w:hint="eastAsia"/>
          <w:sz w:val="21"/>
          <w:szCs w:val="21"/>
          <w:lang w:val="en-US" w:eastAsia="zh-CN"/>
        </w:rPr>
      </w:pPr>
    </w:p>
    <w:p w14:paraId="1961A5E6">
      <w:pPr>
        <w:pStyle w:val="6"/>
        <w:bidi w:val="0"/>
        <w:rPr>
          <w:rFonts w:hint="eastAsia"/>
          <w:sz w:val="21"/>
          <w:szCs w:val="21"/>
          <w:lang w:val="en-US" w:eastAsia="zh-CN"/>
        </w:rPr>
      </w:pPr>
      <w:r>
        <w:rPr>
          <w:rFonts w:hint="eastAsia"/>
          <w:sz w:val="21"/>
          <w:szCs w:val="21"/>
          <w:lang w:val="en-US" w:eastAsia="zh-CN"/>
        </w:rPr>
        <w:t>天眼平台：</w:t>
      </w:r>
    </w:p>
    <w:tbl>
      <w:tblPr>
        <w:tblStyle w:val="8"/>
        <w:tblW w:w="52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815"/>
        <w:gridCol w:w="941"/>
        <w:gridCol w:w="5487"/>
      </w:tblGrid>
      <w:tr w14:paraId="16DE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7" w:type="pct"/>
            <w:vAlign w:val="center"/>
          </w:tcPr>
          <w:p w14:paraId="304DFE2A">
            <w:pPr>
              <w:jc w:val="center"/>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序号</w:t>
            </w:r>
          </w:p>
        </w:tc>
        <w:tc>
          <w:tcPr>
            <w:tcW w:w="1535" w:type="pct"/>
            <w:gridSpan w:val="2"/>
            <w:vAlign w:val="center"/>
          </w:tcPr>
          <w:p w14:paraId="7A8642F2">
            <w:pPr>
              <w:jc w:val="center"/>
              <w:rPr>
                <w:rFonts w:ascii="宋体" w:hAnsi="宋体" w:eastAsia="宋体"/>
                <w:b/>
                <w:bCs/>
                <w:sz w:val="21"/>
                <w:szCs w:val="21"/>
              </w:rPr>
            </w:pPr>
            <w:r>
              <w:rPr>
                <w:rFonts w:hint="eastAsia" w:ascii="宋体" w:hAnsi="宋体" w:eastAsia="宋体"/>
                <w:b/>
                <w:bCs/>
                <w:sz w:val="21"/>
                <w:szCs w:val="21"/>
              </w:rPr>
              <w:t>技术指标</w:t>
            </w:r>
          </w:p>
        </w:tc>
        <w:tc>
          <w:tcPr>
            <w:tcW w:w="3057" w:type="pct"/>
            <w:vAlign w:val="center"/>
          </w:tcPr>
          <w:p w14:paraId="4A683B8E">
            <w:pPr>
              <w:jc w:val="center"/>
              <w:rPr>
                <w:rFonts w:ascii="宋体" w:hAnsi="宋体" w:eastAsia="宋体"/>
                <w:b/>
                <w:bCs/>
                <w:sz w:val="21"/>
                <w:szCs w:val="21"/>
              </w:rPr>
            </w:pPr>
            <w:r>
              <w:rPr>
                <w:rFonts w:hint="eastAsia" w:ascii="宋体" w:hAnsi="宋体" w:eastAsia="宋体"/>
                <w:b/>
                <w:bCs/>
                <w:sz w:val="21"/>
                <w:szCs w:val="21"/>
              </w:rPr>
              <w:t>指标要求</w:t>
            </w:r>
          </w:p>
        </w:tc>
      </w:tr>
      <w:tr w14:paraId="0FE7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07" w:type="pct"/>
            <w:vAlign w:val="center"/>
          </w:tcPr>
          <w:p w14:paraId="6607C8A5">
            <w:pPr>
              <w:jc w:val="center"/>
              <w:rPr>
                <w:rFonts w:hint="eastAsia" w:ascii="宋体" w:hAnsi="宋体" w:eastAsia="宋体"/>
                <w:bCs/>
                <w:sz w:val="21"/>
                <w:szCs w:val="21"/>
                <w:highlight w:val="none"/>
                <w:lang w:val="en-US" w:eastAsia="zh-CN"/>
              </w:rPr>
            </w:pPr>
            <w:r>
              <w:rPr>
                <w:rFonts w:hint="eastAsia" w:ascii="宋体" w:hAnsi="宋体" w:eastAsia="宋体"/>
                <w:bCs/>
                <w:sz w:val="21"/>
                <w:szCs w:val="21"/>
                <w:highlight w:val="none"/>
                <w:lang w:val="en-US" w:eastAsia="zh-CN"/>
              </w:rPr>
              <w:t>1</w:t>
            </w:r>
          </w:p>
        </w:tc>
        <w:tc>
          <w:tcPr>
            <w:tcW w:w="1535" w:type="pct"/>
            <w:gridSpan w:val="2"/>
            <w:vAlign w:val="center"/>
          </w:tcPr>
          <w:p w14:paraId="1009EC8A">
            <w:pPr>
              <w:jc w:val="center"/>
              <w:rPr>
                <w:rFonts w:hint="eastAsia" w:ascii="宋体" w:hAnsi="宋体" w:eastAsia="宋体"/>
                <w:bCs/>
                <w:sz w:val="21"/>
                <w:szCs w:val="21"/>
                <w:highlight w:val="none"/>
              </w:rPr>
            </w:pPr>
            <w:r>
              <w:rPr>
                <w:rFonts w:hint="eastAsia" w:ascii="宋体" w:hAnsi="宋体" w:eastAsia="宋体"/>
                <w:bCs/>
                <w:sz w:val="21"/>
                <w:szCs w:val="21"/>
                <w:highlight w:val="none"/>
              </w:rPr>
              <w:t>续保内容</w:t>
            </w:r>
          </w:p>
        </w:tc>
        <w:tc>
          <w:tcPr>
            <w:tcW w:w="3057" w:type="pct"/>
            <w:vAlign w:val="center"/>
          </w:tcPr>
          <w:p w14:paraId="796E7711">
            <w:pPr>
              <w:jc w:val="left"/>
              <w:rPr>
                <w:rFonts w:hint="eastAsia" w:ascii="宋体" w:hAnsi="宋体" w:eastAsia="宋体"/>
                <w:bCs/>
                <w:sz w:val="21"/>
                <w:szCs w:val="21"/>
                <w:highlight w:val="none"/>
              </w:rPr>
            </w:pPr>
            <w:r>
              <w:rPr>
                <w:rFonts w:hint="eastAsia" w:ascii="宋体" w:hAnsi="宋体" w:eastAsia="宋体"/>
                <w:bCs/>
                <w:sz w:val="21"/>
                <w:szCs w:val="21"/>
                <w:highlight w:val="none"/>
              </w:rPr>
              <w:t>提供天眼</w:t>
            </w:r>
            <w:r>
              <w:rPr>
                <w:rFonts w:ascii="宋体" w:hAnsi="宋体" w:eastAsia="宋体"/>
                <w:bCs/>
                <w:sz w:val="21"/>
                <w:szCs w:val="21"/>
                <w:highlight w:val="none"/>
              </w:rPr>
              <w:t>TSS10000-A58(</w:t>
            </w:r>
            <w:r>
              <w:rPr>
                <w:rFonts w:hint="eastAsia" w:ascii="宋体" w:hAnsi="宋体" w:eastAsia="宋体"/>
                <w:bCs/>
                <w:sz w:val="21"/>
                <w:szCs w:val="21"/>
                <w:highlight w:val="none"/>
              </w:rPr>
              <w:t>1台</w:t>
            </w:r>
            <w:r>
              <w:rPr>
                <w:rFonts w:ascii="宋体" w:hAnsi="宋体" w:eastAsia="宋体"/>
                <w:bCs/>
                <w:sz w:val="21"/>
                <w:szCs w:val="21"/>
                <w:highlight w:val="none"/>
              </w:rPr>
              <w:t>)维保服务，包括故障判断、报修登记以及版本优化升级的服务。7x24小时电话咨询服务；5x8小时远程技术支持服务</w:t>
            </w:r>
            <w:r>
              <w:rPr>
                <w:rFonts w:ascii="宋体" w:hAnsi="宋体" w:eastAsia="宋体"/>
                <w:sz w:val="21"/>
                <w:szCs w:val="21"/>
                <w:highlight w:val="none"/>
              </w:rPr>
              <w:t>3年规则库升级授权，3年硬件保修</w:t>
            </w:r>
            <w:r>
              <w:rPr>
                <w:rFonts w:hint="eastAsia" w:ascii="宋体" w:hAnsi="宋体" w:eastAsia="宋体"/>
                <w:bCs/>
                <w:sz w:val="21"/>
                <w:szCs w:val="21"/>
                <w:highlight w:val="none"/>
              </w:rPr>
              <w:t>。</w:t>
            </w:r>
          </w:p>
        </w:tc>
      </w:tr>
      <w:tr w14:paraId="685E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407" w:type="pct"/>
            <w:vAlign w:val="center"/>
          </w:tcPr>
          <w:p w14:paraId="556993C2">
            <w:pPr>
              <w:rPr>
                <w:rFonts w:hint="eastAsia" w:ascii="宋体" w:hAnsi="宋体" w:eastAsia="宋体"/>
                <w:sz w:val="21"/>
                <w:szCs w:val="21"/>
                <w:lang w:val="en-US" w:eastAsia="zh-CN"/>
              </w:rPr>
            </w:pPr>
            <w:r>
              <w:rPr>
                <w:rFonts w:hint="eastAsia" w:ascii="宋体" w:hAnsi="宋体" w:eastAsia="宋体"/>
                <w:sz w:val="21"/>
                <w:szCs w:val="21"/>
                <w:lang w:val="en-US" w:eastAsia="zh-CN"/>
              </w:rPr>
              <w:t>2</w:t>
            </w:r>
          </w:p>
        </w:tc>
        <w:tc>
          <w:tcPr>
            <w:tcW w:w="1010" w:type="pct"/>
            <w:vMerge w:val="restart"/>
            <w:vAlign w:val="center"/>
          </w:tcPr>
          <w:p w14:paraId="296E5ACE">
            <w:pPr>
              <w:rPr>
                <w:rFonts w:ascii="宋体" w:hAnsi="宋体" w:eastAsia="宋体"/>
                <w:sz w:val="21"/>
                <w:szCs w:val="21"/>
              </w:rPr>
            </w:pPr>
            <w:r>
              <w:rPr>
                <w:rFonts w:hint="eastAsia" w:ascii="宋体" w:hAnsi="宋体" w:eastAsia="宋体"/>
                <w:sz w:val="21"/>
                <w:szCs w:val="21"/>
              </w:rPr>
              <w:t>资产识别与管理</w:t>
            </w:r>
          </w:p>
        </w:tc>
        <w:tc>
          <w:tcPr>
            <w:tcW w:w="524" w:type="pct"/>
            <w:vAlign w:val="center"/>
          </w:tcPr>
          <w:p w14:paraId="72495DCB">
            <w:pPr>
              <w:rPr>
                <w:rFonts w:ascii="宋体" w:hAnsi="宋体" w:eastAsia="宋体"/>
                <w:sz w:val="21"/>
                <w:szCs w:val="21"/>
              </w:rPr>
            </w:pPr>
            <w:r>
              <w:rPr>
                <w:rFonts w:hint="eastAsia" w:ascii="宋体" w:hAnsi="宋体" w:eastAsia="宋体"/>
                <w:sz w:val="21"/>
                <w:szCs w:val="21"/>
              </w:rPr>
              <w:t>资产管理</w:t>
            </w:r>
          </w:p>
        </w:tc>
        <w:tc>
          <w:tcPr>
            <w:tcW w:w="3057" w:type="pct"/>
            <w:vAlign w:val="center"/>
          </w:tcPr>
          <w:p w14:paraId="185B04B9">
            <w:pPr>
              <w:rPr>
                <w:rFonts w:ascii="宋体" w:hAnsi="宋体" w:eastAsia="宋体"/>
                <w:sz w:val="21"/>
                <w:szCs w:val="21"/>
              </w:rPr>
            </w:pPr>
            <w:r>
              <w:rPr>
                <w:rFonts w:hint="eastAsia" w:ascii="宋体" w:hAnsi="宋体" w:eastAsia="宋体"/>
                <w:sz w:val="21"/>
                <w:szCs w:val="21"/>
              </w:rPr>
              <w:t>支持基于流量和终端来识别资产信息；支持对资产进行标签化、权重管理，资产分组，地理信息配置功能；支持从资产访问关系，资产漏洞，资产基线维度，漏洞众测平台联动维度分析资产。</w:t>
            </w:r>
          </w:p>
        </w:tc>
      </w:tr>
      <w:tr w14:paraId="6668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407" w:type="pct"/>
            <w:vAlign w:val="center"/>
          </w:tcPr>
          <w:p w14:paraId="2344F118">
            <w:pP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010" w:type="pct"/>
            <w:vMerge w:val="continue"/>
            <w:vAlign w:val="center"/>
          </w:tcPr>
          <w:p w14:paraId="74B2421A">
            <w:pPr>
              <w:rPr>
                <w:rFonts w:ascii="宋体" w:hAnsi="宋体" w:eastAsia="宋体"/>
                <w:sz w:val="21"/>
                <w:szCs w:val="21"/>
              </w:rPr>
            </w:pPr>
          </w:p>
        </w:tc>
        <w:tc>
          <w:tcPr>
            <w:tcW w:w="524" w:type="pct"/>
            <w:vAlign w:val="center"/>
          </w:tcPr>
          <w:p w14:paraId="1789A6CE">
            <w:pPr>
              <w:rPr>
                <w:rFonts w:ascii="宋体" w:hAnsi="宋体" w:eastAsia="宋体"/>
                <w:sz w:val="21"/>
                <w:szCs w:val="21"/>
              </w:rPr>
            </w:pPr>
            <w:r>
              <w:rPr>
                <w:rFonts w:hint="eastAsia" w:ascii="宋体" w:hAnsi="宋体" w:eastAsia="宋体"/>
                <w:sz w:val="21"/>
                <w:szCs w:val="21"/>
              </w:rPr>
              <w:t>资产视角专项分析</w:t>
            </w:r>
          </w:p>
        </w:tc>
        <w:tc>
          <w:tcPr>
            <w:tcW w:w="3057" w:type="pct"/>
            <w:vAlign w:val="center"/>
          </w:tcPr>
          <w:p w14:paraId="3A6861A8">
            <w:pPr>
              <w:rPr>
                <w:rFonts w:ascii="宋体" w:hAnsi="宋体" w:eastAsia="宋体"/>
                <w:sz w:val="21"/>
                <w:szCs w:val="21"/>
              </w:rPr>
            </w:pPr>
            <w:r>
              <w:rPr>
                <w:rFonts w:hint="eastAsia" w:ascii="宋体" w:hAnsi="宋体" w:eastAsia="宋体"/>
                <w:sz w:val="21"/>
                <w:szCs w:val="21"/>
              </w:rPr>
              <w:t>支持通过主机资产详情查看全部关联告警，关联告警支持按照IP归并，支持多维度统计，包括但不限于：告警资产数量，不同攻击结果/攻击维度的资产数量，失陷资产组分布，未处置告警/全部告警、不同攻击结果/攻击维度告警数量、告警类型分布情况、攻击阶段分布情况、告警趋势图。</w:t>
            </w:r>
          </w:p>
        </w:tc>
      </w:tr>
      <w:tr w14:paraId="22DF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407" w:type="pct"/>
            <w:vAlign w:val="center"/>
          </w:tcPr>
          <w:p w14:paraId="62376A75">
            <w:pPr>
              <w:rPr>
                <w:rFonts w:hint="eastAsia" w:ascii="宋体" w:hAnsi="宋体" w:eastAsia="宋体"/>
                <w:sz w:val="21"/>
                <w:szCs w:val="21"/>
                <w:lang w:val="en-US" w:eastAsia="zh-CN"/>
              </w:rPr>
            </w:pPr>
            <w:r>
              <w:rPr>
                <w:rFonts w:hint="eastAsia" w:ascii="宋体" w:hAnsi="宋体" w:eastAsia="宋体"/>
                <w:sz w:val="21"/>
                <w:szCs w:val="21"/>
                <w:lang w:val="en-US" w:eastAsia="zh-CN"/>
              </w:rPr>
              <w:t>4</w:t>
            </w:r>
          </w:p>
        </w:tc>
        <w:tc>
          <w:tcPr>
            <w:tcW w:w="1010" w:type="pct"/>
            <w:vMerge w:val="restart"/>
            <w:vAlign w:val="center"/>
          </w:tcPr>
          <w:p w14:paraId="39B98AEA">
            <w:pPr>
              <w:rPr>
                <w:rFonts w:ascii="宋体" w:hAnsi="宋体" w:eastAsia="宋体"/>
                <w:sz w:val="21"/>
                <w:szCs w:val="21"/>
              </w:rPr>
            </w:pPr>
            <w:r>
              <w:rPr>
                <w:rFonts w:hint="eastAsia" w:ascii="宋体" w:hAnsi="宋体" w:eastAsia="宋体"/>
                <w:sz w:val="21"/>
                <w:szCs w:val="21"/>
              </w:rPr>
              <w:t>威胁情报告警检测</w:t>
            </w:r>
          </w:p>
        </w:tc>
        <w:tc>
          <w:tcPr>
            <w:tcW w:w="524" w:type="pct"/>
            <w:vAlign w:val="center"/>
          </w:tcPr>
          <w:p w14:paraId="75A415E2">
            <w:pPr>
              <w:rPr>
                <w:rFonts w:ascii="宋体" w:hAnsi="宋体" w:eastAsia="宋体"/>
                <w:sz w:val="21"/>
                <w:szCs w:val="21"/>
              </w:rPr>
            </w:pPr>
            <w:r>
              <w:rPr>
                <w:rFonts w:hint="eastAsia" w:ascii="宋体" w:hAnsi="宋体" w:eastAsia="宋体"/>
                <w:sz w:val="21"/>
                <w:szCs w:val="21"/>
              </w:rPr>
              <w:t>威胁情报检测</w:t>
            </w:r>
          </w:p>
        </w:tc>
        <w:tc>
          <w:tcPr>
            <w:tcW w:w="3057" w:type="pct"/>
            <w:vAlign w:val="center"/>
          </w:tcPr>
          <w:p w14:paraId="549FA22B">
            <w:pPr>
              <w:rPr>
                <w:rFonts w:ascii="宋体" w:hAnsi="宋体" w:eastAsia="宋体"/>
                <w:sz w:val="21"/>
                <w:szCs w:val="21"/>
              </w:rPr>
            </w:pPr>
            <w:r>
              <w:rPr>
                <w:rFonts w:hint="eastAsia" w:ascii="宋体" w:hAnsi="宋体" w:eastAsia="宋体"/>
                <w:sz w:val="21"/>
                <w:szCs w:val="21"/>
              </w:rPr>
              <w:t>支持基于流量日志进行实时和历史回溯的威胁情报匹配，并自动标记告警标签，包括：情报回溯、自定义情报、内生情报等；</w:t>
            </w:r>
          </w:p>
          <w:p w14:paraId="6B0D4193">
            <w:pPr>
              <w:rPr>
                <w:rFonts w:ascii="宋体" w:hAnsi="宋体" w:eastAsia="宋体"/>
                <w:sz w:val="21"/>
                <w:szCs w:val="21"/>
              </w:rPr>
            </w:pPr>
            <w:r>
              <w:rPr>
                <w:rFonts w:hint="eastAsia" w:ascii="宋体" w:hAnsi="宋体" w:eastAsia="宋体"/>
                <w:sz w:val="21"/>
                <w:szCs w:val="21"/>
              </w:rPr>
              <w:t>IOC类型包括IP，域名等类型，情报总量不低于700万条；检测类型包含APT事件、僵尸网络、勒索软件、黑市工具、远控木马、窃密木马、网络蠕虫、流氓推广、恶意下载、感染型病毒、挖矿病毒、其他恶意软件。</w:t>
            </w:r>
          </w:p>
        </w:tc>
      </w:tr>
      <w:tr w14:paraId="27F5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07" w:type="pct"/>
            <w:vAlign w:val="center"/>
          </w:tcPr>
          <w:p w14:paraId="5225F6D9">
            <w:pPr>
              <w:rPr>
                <w:rFonts w:hint="eastAsia" w:ascii="宋体" w:hAnsi="宋体" w:eastAsia="宋体"/>
                <w:sz w:val="21"/>
                <w:szCs w:val="21"/>
                <w:lang w:val="en-US" w:eastAsia="zh-CN"/>
              </w:rPr>
            </w:pPr>
            <w:r>
              <w:rPr>
                <w:rFonts w:hint="eastAsia" w:ascii="宋体" w:hAnsi="宋体" w:eastAsia="宋体"/>
                <w:sz w:val="21"/>
                <w:szCs w:val="21"/>
                <w:lang w:val="en-US" w:eastAsia="zh-CN"/>
              </w:rPr>
              <w:t>5</w:t>
            </w:r>
          </w:p>
        </w:tc>
        <w:tc>
          <w:tcPr>
            <w:tcW w:w="1010" w:type="pct"/>
            <w:vMerge w:val="continue"/>
            <w:vAlign w:val="center"/>
          </w:tcPr>
          <w:p w14:paraId="2072A717">
            <w:pPr>
              <w:rPr>
                <w:rFonts w:ascii="宋体" w:hAnsi="宋体" w:eastAsia="宋体"/>
                <w:sz w:val="21"/>
                <w:szCs w:val="21"/>
              </w:rPr>
            </w:pPr>
          </w:p>
        </w:tc>
        <w:tc>
          <w:tcPr>
            <w:tcW w:w="524" w:type="pct"/>
            <w:vAlign w:val="center"/>
          </w:tcPr>
          <w:p w14:paraId="4817C0C4">
            <w:pPr>
              <w:rPr>
                <w:rFonts w:ascii="宋体" w:hAnsi="宋体" w:eastAsia="宋体"/>
                <w:sz w:val="21"/>
                <w:szCs w:val="21"/>
              </w:rPr>
            </w:pPr>
            <w:r>
              <w:rPr>
                <w:rFonts w:hint="eastAsia" w:ascii="宋体" w:hAnsi="宋体" w:eastAsia="宋体"/>
                <w:sz w:val="21"/>
                <w:szCs w:val="21"/>
              </w:rPr>
              <w:t>内生威胁情报</w:t>
            </w:r>
          </w:p>
        </w:tc>
        <w:tc>
          <w:tcPr>
            <w:tcW w:w="3057" w:type="pct"/>
            <w:vAlign w:val="center"/>
          </w:tcPr>
          <w:p w14:paraId="369AA40B">
            <w:pPr>
              <w:rPr>
                <w:rFonts w:ascii="宋体" w:hAnsi="宋体" w:eastAsia="宋体"/>
                <w:sz w:val="21"/>
                <w:szCs w:val="21"/>
              </w:rPr>
            </w:pPr>
            <w:r>
              <w:rPr>
                <w:rFonts w:hint="eastAsia" w:ascii="宋体" w:hAnsi="宋体" w:eastAsia="宋体"/>
                <w:sz w:val="21"/>
                <w:szCs w:val="21"/>
              </w:rPr>
              <w:t>内生情报：可以基于文件动态检测发现有外联行为的IP和域名生成可疑的IOC列表，人工确认后生成IOC。</w:t>
            </w:r>
          </w:p>
        </w:tc>
      </w:tr>
      <w:tr w14:paraId="66BD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07" w:type="pct"/>
            <w:vAlign w:val="center"/>
          </w:tcPr>
          <w:p w14:paraId="7AA9970F">
            <w:pPr>
              <w:rPr>
                <w:rFonts w:hint="eastAsia" w:ascii="宋体" w:hAnsi="宋体" w:eastAsia="宋体"/>
                <w:sz w:val="21"/>
                <w:szCs w:val="21"/>
                <w:lang w:val="en-US" w:eastAsia="zh-CN"/>
              </w:rPr>
            </w:pPr>
            <w:r>
              <w:rPr>
                <w:rFonts w:hint="eastAsia" w:ascii="宋体" w:hAnsi="宋体" w:eastAsia="宋体"/>
                <w:sz w:val="21"/>
                <w:szCs w:val="21"/>
                <w:lang w:val="en-US" w:eastAsia="zh-CN"/>
              </w:rPr>
              <w:t>6</w:t>
            </w:r>
          </w:p>
        </w:tc>
        <w:tc>
          <w:tcPr>
            <w:tcW w:w="1010" w:type="pct"/>
            <w:vMerge w:val="continue"/>
            <w:vAlign w:val="center"/>
          </w:tcPr>
          <w:p w14:paraId="26C5CEC9">
            <w:pPr>
              <w:rPr>
                <w:rFonts w:ascii="宋体" w:hAnsi="宋体" w:eastAsia="宋体"/>
                <w:sz w:val="21"/>
                <w:szCs w:val="21"/>
              </w:rPr>
            </w:pPr>
          </w:p>
        </w:tc>
        <w:tc>
          <w:tcPr>
            <w:tcW w:w="524" w:type="pct"/>
            <w:vAlign w:val="center"/>
          </w:tcPr>
          <w:p w14:paraId="517B1BD9">
            <w:pPr>
              <w:rPr>
                <w:rFonts w:ascii="宋体" w:hAnsi="宋体" w:eastAsia="宋体"/>
                <w:sz w:val="21"/>
                <w:szCs w:val="21"/>
              </w:rPr>
            </w:pPr>
            <w:r>
              <w:rPr>
                <w:rFonts w:hint="eastAsia" w:ascii="宋体" w:hAnsi="宋体" w:eastAsia="宋体"/>
                <w:sz w:val="21"/>
                <w:szCs w:val="21"/>
              </w:rPr>
              <w:t>威胁情报专项分析</w:t>
            </w:r>
          </w:p>
        </w:tc>
        <w:tc>
          <w:tcPr>
            <w:tcW w:w="3057" w:type="pct"/>
            <w:vAlign w:val="center"/>
          </w:tcPr>
          <w:p w14:paraId="00D8ECB4">
            <w:pPr>
              <w:rPr>
                <w:rFonts w:ascii="宋体" w:hAnsi="宋体" w:eastAsia="宋体"/>
                <w:sz w:val="21"/>
                <w:szCs w:val="21"/>
              </w:rPr>
            </w:pPr>
            <w:r>
              <w:rPr>
                <w:rFonts w:hint="eastAsia" w:ascii="宋体" w:hAnsi="宋体" w:eastAsia="宋体"/>
                <w:sz w:val="21"/>
                <w:szCs w:val="21"/>
              </w:rPr>
              <w:t>支持专项统计分析告警命中的威胁情报，支持对检索结果进行实时统计，包括威胁事件数量、影响资产数量、威胁类型统计、威胁级别分布等。</w:t>
            </w:r>
          </w:p>
          <w:p w14:paraId="14CE67DE">
            <w:pPr>
              <w:rPr>
                <w:rFonts w:ascii="宋体" w:hAnsi="宋体" w:eastAsia="宋体"/>
                <w:sz w:val="21"/>
                <w:szCs w:val="21"/>
              </w:rPr>
            </w:pPr>
            <w:r>
              <w:rPr>
                <w:rFonts w:hint="eastAsia" w:ascii="宋体" w:hAnsi="宋体" w:eastAsia="宋体"/>
                <w:sz w:val="21"/>
                <w:szCs w:val="21"/>
              </w:rPr>
              <w:t>支持在告警列表中，针对疑似恶意攻击IP/IOC发起情报查询，点击跳转到云端威胁情报平台，可查看此疑似恶意IOC的详细威胁信息，包括IOCtag信息、情报研判结果、研判投票结果、网络场景、IP用途、用户类型、归属组织、地理信息，相关安全报告、相关样本、相关URL、攻击记录、开放端口、相关漏洞信息、开源情报信息、主机资产信息、域名反查、WHOIS信息展示、可视化分析、数字证书展示、情报社区等。</w:t>
            </w:r>
          </w:p>
        </w:tc>
      </w:tr>
      <w:tr w14:paraId="7C10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07" w:type="pct"/>
            <w:vAlign w:val="center"/>
          </w:tcPr>
          <w:p w14:paraId="509535F6">
            <w:pPr>
              <w:rPr>
                <w:rFonts w:hint="eastAsia" w:ascii="宋体" w:hAnsi="宋体" w:eastAsia="宋体"/>
                <w:sz w:val="21"/>
                <w:szCs w:val="21"/>
                <w:lang w:val="en-US" w:eastAsia="zh-CN"/>
              </w:rPr>
            </w:pPr>
            <w:r>
              <w:rPr>
                <w:rFonts w:hint="eastAsia" w:ascii="宋体" w:hAnsi="宋体" w:eastAsia="宋体"/>
                <w:sz w:val="21"/>
                <w:szCs w:val="21"/>
                <w:lang w:val="en-US" w:eastAsia="zh-CN"/>
              </w:rPr>
              <w:t>7</w:t>
            </w:r>
          </w:p>
        </w:tc>
        <w:tc>
          <w:tcPr>
            <w:tcW w:w="1010" w:type="pct"/>
            <w:vMerge w:val="restart"/>
            <w:vAlign w:val="center"/>
          </w:tcPr>
          <w:p w14:paraId="1C8EA35F">
            <w:pPr>
              <w:rPr>
                <w:rFonts w:ascii="宋体" w:hAnsi="宋体" w:eastAsia="宋体"/>
                <w:sz w:val="21"/>
                <w:szCs w:val="21"/>
              </w:rPr>
            </w:pPr>
            <w:r>
              <w:rPr>
                <w:rFonts w:hint="eastAsia" w:ascii="宋体" w:hAnsi="宋体" w:eastAsia="宋体"/>
                <w:sz w:val="21"/>
                <w:szCs w:val="21"/>
              </w:rPr>
              <w:t>安全检测</w:t>
            </w:r>
          </w:p>
        </w:tc>
        <w:tc>
          <w:tcPr>
            <w:tcW w:w="524" w:type="pct"/>
            <w:vAlign w:val="center"/>
          </w:tcPr>
          <w:p w14:paraId="08B45151">
            <w:pPr>
              <w:rPr>
                <w:rFonts w:ascii="宋体" w:hAnsi="宋体" w:eastAsia="宋体"/>
                <w:sz w:val="21"/>
                <w:szCs w:val="21"/>
              </w:rPr>
            </w:pPr>
            <w:r>
              <w:rPr>
                <w:rFonts w:hint="eastAsia" w:ascii="宋体" w:hAnsi="宋体" w:eastAsia="宋体"/>
                <w:sz w:val="21"/>
                <w:szCs w:val="21"/>
              </w:rPr>
              <w:t>APT检测分析功能</w:t>
            </w:r>
          </w:p>
        </w:tc>
        <w:tc>
          <w:tcPr>
            <w:tcW w:w="3057" w:type="pct"/>
            <w:vAlign w:val="center"/>
          </w:tcPr>
          <w:p w14:paraId="61C10D8D">
            <w:pPr>
              <w:rPr>
                <w:rFonts w:ascii="宋体" w:hAnsi="宋体" w:eastAsia="宋体"/>
                <w:sz w:val="21"/>
                <w:szCs w:val="21"/>
              </w:rPr>
            </w:pPr>
            <w:r>
              <w:rPr>
                <w:rFonts w:hint="eastAsia" w:ascii="宋体" w:hAnsi="宋体" w:eastAsia="宋体"/>
                <w:sz w:val="21"/>
                <w:szCs w:val="21"/>
              </w:rPr>
              <w:t>支持获取被监控网络内的网络数据包以进行APT攻击检测和分析，能够分析的攻击事件的协议类型包括HTTP、FTP、TFTP、SNMP、TÉLNET、DNS、SMTP、POP3、IMAP、SMB等</w:t>
            </w:r>
            <w:r>
              <w:rPr>
                <w:rFonts w:ascii="宋体" w:hAnsi="宋体" w:eastAsia="宋体"/>
                <w:sz w:val="21"/>
                <w:szCs w:val="21"/>
              </w:rPr>
              <w:t xml:space="preserve"> </w:t>
            </w:r>
          </w:p>
        </w:tc>
      </w:tr>
      <w:tr w14:paraId="0B34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407" w:type="pct"/>
            <w:vAlign w:val="center"/>
          </w:tcPr>
          <w:p w14:paraId="1FCB4B7F">
            <w:pPr>
              <w:rPr>
                <w:rFonts w:hint="eastAsia" w:ascii="宋体" w:hAnsi="宋体" w:eastAsia="宋体"/>
                <w:sz w:val="21"/>
                <w:szCs w:val="21"/>
                <w:lang w:val="en-US" w:eastAsia="zh-CN"/>
              </w:rPr>
            </w:pPr>
            <w:r>
              <w:rPr>
                <w:rFonts w:hint="eastAsia" w:ascii="宋体" w:hAnsi="宋体" w:eastAsia="宋体"/>
                <w:sz w:val="21"/>
                <w:szCs w:val="21"/>
                <w:lang w:val="en-US" w:eastAsia="zh-CN"/>
              </w:rPr>
              <w:t>8</w:t>
            </w:r>
          </w:p>
        </w:tc>
        <w:tc>
          <w:tcPr>
            <w:tcW w:w="1010" w:type="pct"/>
            <w:vMerge w:val="continue"/>
            <w:vAlign w:val="center"/>
          </w:tcPr>
          <w:p w14:paraId="3656F18C">
            <w:pPr>
              <w:rPr>
                <w:rFonts w:ascii="宋体" w:hAnsi="宋体" w:eastAsia="宋体"/>
                <w:sz w:val="21"/>
                <w:szCs w:val="21"/>
              </w:rPr>
            </w:pPr>
          </w:p>
        </w:tc>
        <w:tc>
          <w:tcPr>
            <w:tcW w:w="524" w:type="pct"/>
            <w:vAlign w:val="center"/>
          </w:tcPr>
          <w:p w14:paraId="1A04CBB3">
            <w:pPr>
              <w:rPr>
                <w:rFonts w:ascii="宋体" w:hAnsi="宋体" w:eastAsia="宋体"/>
                <w:sz w:val="21"/>
                <w:szCs w:val="21"/>
              </w:rPr>
            </w:pPr>
            <w:r>
              <w:rPr>
                <w:rFonts w:hint="eastAsia" w:ascii="宋体" w:hAnsi="宋体" w:eastAsia="宋体"/>
                <w:sz w:val="21"/>
                <w:szCs w:val="21"/>
              </w:rPr>
              <w:t>扫描攻击检测功能</w:t>
            </w:r>
          </w:p>
        </w:tc>
        <w:tc>
          <w:tcPr>
            <w:tcW w:w="3057" w:type="pct"/>
            <w:vAlign w:val="center"/>
          </w:tcPr>
          <w:p w14:paraId="621B134B">
            <w:pPr>
              <w:rPr>
                <w:rFonts w:ascii="宋体" w:hAnsi="宋体" w:eastAsia="宋体"/>
                <w:sz w:val="21"/>
                <w:szCs w:val="21"/>
              </w:rPr>
            </w:pPr>
            <w:r>
              <w:rPr>
                <w:rFonts w:hint="eastAsia" w:ascii="宋体" w:hAnsi="宋体" w:eastAsia="宋体"/>
                <w:sz w:val="21"/>
                <w:szCs w:val="21"/>
              </w:rPr>
              <w:t>支持扫描行为监测，至少支持IP地址发现扫描、端口发现扫描、操作系统发现扫描、应用服务程序发现扫描、SQL 注入漏洞扫描、XSS漏洞扫描、CGI漏洞扫描等行为，并产生告警信息，告警信息包括事件发生的日期和时间、事件描述、攻击源、风险、级别信息</w:t>
            </w:r>
          </w:p>
        </w:tc>
      </w:tr>
      <w:tr w14:paraId="1AEF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407" w:type="pct"/>
            <w:vAlign w:val="center"/>
          </w:tcPr>
          <w:p w14:paraId="5791E9C3">
            <w:pPr>
              <w:rPr>
                <w:rFonts w:hint="eastAsia" w:ascii="宋体" w:hAnsi="宋体" w:eastAsia="宋体"/>
                <w:sz w:val="21"/>
                <w:szCs w:val="21"/>
                <w:lang w:val="en-US" w:eastAsia="zh-CN"/>
              </w:rPr>
            </w:pPr>
            <w:r>
              <w:rPr>
                <w:rFonts w:hint="eastAsia" w:ascii="宋体" w:hAnsi="宋体" w:eastAsia="宋体"/>
                <w:sz w:val="21"/>
                <w:szCs w:val="21"/>
                <w:lang w:val="en-US" w:eastAsia="zh-CN"/>
              </w:rPr>
              <w:t>9</w:t>
            </w:r>
          </w:p>
        </w:tc>
        <w:tc>
          <w:tcPr>
            <w:tcW w:w="1010" w:type="pct"/>
            <w:vMerge w:val="continue"/>
            <w:vAlign w:val="center"/>
          </w:tcPr>
          <w:p w14:paraId="342C5B66">
            <w:pPr>
              <w:rPr>
                <w:rFonts w:ascii="宋体" w:hAnsi="宋体" w:eastAsia="宋体"/>
                <w:sz w:val="21"/>
                <w:szCs w:val="21"/>
              </w:rPr>
            </w:pPr>
          </w:p>
        </w:tc>
        <w:tc>
          <w:tcPr>
            <w:tcW w:w="524" w:type="pct"/>
            <w:vAlign w:val="center"/>
          </w:tcPr>
          <w:p w14:paraId="00C3ACF9">
            <w:pPr>
              <w:rPr>
                <w:rFonts w:ascii="宋体" w:hAnsi="宋体" w:eastAsia="宋体"/>
                <w:sz w:val="21"/>
                <w:szCs w:val="21"/>
              </w:rPr>
            </w:pPr>
            <w:r>
              <w:rPr>
                <w:rFonts w:hint="eastAsia" w:ascii="宋体" w:hAnsi="宋体" w:eastAsia="宋体"/>
                <w:sz w:val="21"/>
                <w:szCs w:val="21"/>
              </w:rPr>
              <w:t>钓鱼攻击检测功能</w:t>
            </w:r>
          </w:p>
        </w:tc>
        <w:tc>
          <w:tcPr>
            <w:tcW w:w="3057" w:type="pct"/>
            <w:vAlign w:val="center"/>
          </w:tcPr>
          <w:p w14:paraId="1C3CF050">
            <w:pPr>
              <w:rPr>
                <w:rFonts w:ascii="宋体" w:hAnsi="宋体" w:eastAsia="宋体"/>
                <w:sz w:val="21"/>
                <w:szCs w:val="21"/>
              </w:rPr>
            </w:pPr>
            <w:r>
              <w:rPr>
                <w:rFonts w:hint="eastAsia" w:ascii="宋体" w:hAnsi="宋体" w:eastAsia="宋体"/>
                <w:sz w:val="21"/>
                <w:szCs w:val="21"/>
              </w:rPr>
              <w:t>支持钓鱼邮件和钓鱼网站监测，能够识别信件内容中包含有恶意附件、信件内容与用户自定义的关键字匹配的钓鱼邮件，能够识别从网站下载的文件为含有恶意内容的文件、网站内容与用户自定义的关键字匹配的钓鱼网站，并产生告警信息，告警信息包括事件发生的日期和时间、事件描述、攻击源、风险、级别信息</w:t>
            </w:r>
            <w:r>
              <w:rPr>
                <w:rFonts w:ascii="宋体" w:hAnsi="宋体" w:eastAsia="宋体"/>
                <w:sz w:val="21"/>
                <w:szCs w:val="21"/>
              </w:rPr>
              <w:t xml:space="preserve"> </w:t>
            </w:r>
          </w:p>
        </w:tc>
      </w:tr>
      <w:tr w14:paraId="215A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407" w:type="pct"/>
            <w:vAlign w:val="center"/>
          </w:tcPr>
          <w:p w14:paraId="3B626F24">
            <w:pPr>
              <w:rPr>
                <w:rFonts w:hint="default" w:ascii="宋体" w:hAnsi="宋体" w:eastAsia="宋体"/>
                <w:sz w:val="21"/>
                <w:szCs w:val="21"/>
                <w:lang w:val="en-US" w:eastAsia="zh-CN"/>
              </w:rPr>
            </w:pPr>
            <w:r>
              <w:rPr>
                <w:rFonts w:hint="eastAsia" w:ascii="宋体" w:hAnsi="宋体" w:eastAsia="宋体"/>
                <w:sz w:val="21"/>
                <w:szCs w:val="21"/>
                <w:lang w:val="en-US" w:eastAsia="zh-CN"/>
              </w:rPr>
              <w:t>10</w:t>
            </w:r>
          </w:p>
        </w:tc>
        <w:tc>
          <w:tcPr>
            <w:tcW w:w="1010" w:type="pct"/>
            <w:vMerge w:val="continue"/>
            <w:vAlign w:val="center"/>
          </w:tcPr>
          <w:p w14:paraId="09D89483">
            <w:pPr>
              <w:rPr>
                <w:rFonts w:ascii="宋体" w:hAnsi="宋体" w:eastAsia="宋体"/>
                <w:sz w:val="21"/>
                <w:szCs w:val="21"/>
              </w:rPr>
            </w:pPr>
          </w:p>
        </w:tc>
        <w:tc>
          <w:tcPr>
            <w:tcW w:w="524" w:type="pct"/>
            <w:vAlign w:val="center"/>
          </w:tcPr>
          <w:p w14:paraId="7EC49A2A">
            <w:pPr>
              <w:rPr>
                <w:rFonts w:ascii="宋体" w:hAnsi="宋体" w:eastAsia="宋体"/>
                <w:sz w:val="21"/>
                <w:szCs w:val="21"/>
              </w:rPr>
            </w:pPr>
            <w:r>
              <w:rPr>
                <w:rFonts w:hint="eastAsia" w:ascii="宋体" w:hAnsi="宋体" w:eastAsia="宋体"/>
                <w:sz w:val="21"/>
                <w:szCs w:val="21"/>
              </w:rPr>
              <w:t>漏洞攻击检查功能</w:t>
            </w:r>
          </w:p>
        </w:tc>
        <w:tc>
          <w:tcPr>
            <w:tcW w:w="3057" w:type="pct"/>
            <w:vAlign w:val="center"/>
          </w:tcPr>
          <w:p w14:paraId="502D22AD">
            <w:pPr>
              <w:rPr>
                <w:rFonts w:ascii="宋体" w:hAnsi="宋体" w:eastAsia="宋体"/>
                <w:sz w:val="21"/>
                <w:szCs w:val="21"/>
              </w:rPr>
            </w:pPr>
            <w:r>
              <w:rPr>
                <w:rFonts w:hint="eastAsia" w:ascii="宋体" w:hAnsi="宋体" w:eastAsia="宋体"/>
                <w:sz w:val="21"/>
                <w:szCs w:val="21"/>
              </w:rPr>
              <w:t>支持漏洞攻击检测，包含操作系统漏洞攻击监测、应用服务程序漏洞攻击监测、浏览器漏洞攻击监测、文件漏洞攻击监测、WEB 漏洞攻击监测等</w:t>
            </w:r>
          </w:p>
        </w:tc>
      </w:tr>
      <w:tr w14:paraId="22A8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407" w:type="pct"/>
            <w:vAlign w:val="center"/>
          </w:tcPr>
          <w:p w14:paraId="7229C3DA">
            <w:pPr>
              <w:rPr>
                <w:rFonts w:hint="default" w:ascii="宋体" w:hAnsi="宋体" w:eastAsia="宋体"/>
                <w:sz w:val="21"/>
                <w:szCs w:val="21"/>
                <w:lang w:val="en-US" w:eastAsia="zh-CN"/>
              </w:rPr>
            </w:pPr>
            <w:r>
              <w:rPr>
                <w:rFonts w:hint="eastAsia" w:ascii="宋体" w:hAnsi="宋体" w:eastAsia="宋体"/>
                <w:sz w:val="21"/>
                <w:szCs w:val="21"/>
                <w:lang w:val="en-US" w:eastAsia="zh-CN"/>
              </w:rPr>
              <w:t>11</w:t>
            </w:r>
          </w:p>
        </w:tc>
        <w:tc>
          <w:tcPr>
            <w:tcW w:w="1010" w:type="pct"/>
            <w:vMerge w:val="continue"/>
            <w:vAlign w:val="center"/>
          </w:tcPr>
          <w:p w14:paraId="4627F569">
            <w:pPr>
              <w:rPr>
                <w:rFonts w:ascii="宋体" w:hAnsi="宋体" w:eastAsia="宋体"/>
                <w:sz w:val="21"/>
                <w:szCs w:val="21"/>
              </w:rPr>
            </w:pPr>
          </w:p>
        </w:tc>
        <w:tc>
          <w:tcPr>
            <w:tcW w:w="524" w:type="pct"/>
            <w:vAlign w:val="center"/>
          </w:tcPr>
          <w:p w14:paraId="5114045B">
            <w:pPr>
              <w:rPr>
                <w:rFonts w:ascii="宋体" w:hAnsi="宋体" w:eastAsia="宋体"/>
                <w:sz w:val="21"/>
                <w:szCs w:val="21"/>
              </w:rPr>
            </w:pPr>
            <w:r>
              <w:rPr>
                <w:rFonts w:hint="eastAsia" w:ascii="宋体" w:hAnsi="宋体" w:eastAsia="宋体"/>
                <w:sz w:val="21"/>
                <w:szCs w:val="21"/>
              </w:rPr>
              <w:t>恶意程序与异常行为检测功能</w:t>
            </w:r>
          </w:p>
        </w:tc>
        <w:tc>
          <w:tcPr>
            <w:tcW w:w="3057" w:type="pct"/>
            <w:vAlign w:val="center"/>
          </w:tcPr>
          <w:p w14:paraId="5A97B431">
            <w:pPr>
              <w:rPr>
                <w:rFonts w:ascii="宋体" w:hAnsi="宋体" w:eastAsia="宋体"/>
                <w:sz w:val="21"/>
                <w:szCs w:val="21"/>
              </w:rPr>
            </w:pPr>
            <w:r>
              <w:rPr>
                <w:rFonts w:hint="eastAsia" w:ascii="宋体" w:hAnsi="宋体" w:eastAsia="宋体"/>
                <w:sz w:val="21"/>
                <w:szCs w:val="21"/>
              </w:rPr>
              <w:t>支持恶意程序传播监测、恶意程序行为监测、异常电子邮件行为监测、异常Web 访问行为监测、异常远程控制行为监测、异常文件传输行为监测等</w:t>
            </w:r>
            <w:r>
              <w:rPr>
                <w:rFonts w:ascii="宋体" w:hAnsi="宋体" w:eastAsia="宋体"/>
                <w:sz w:val="21"/>
                <w:szCs w:val="21"/>
              </w:rPr>
              <w:t xml:space="preserve"> </w:t>
            </w:r>
          </w:p>
        </w:tc>
      </w:tr>
      <w:tr w14:paraId="6500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407" w:type="pct"/>
            <w:vAlign w:val="center"/>
          </w:tcPr>
          <w:p w14:paraId="75881F8C">
            <w:pPr>
              <w:rPr>
                <w:rFonts w:hint="default" w:ascii="宋体" w:hAnsi="宋体" w:eastAsia="宋体"/>
                <w:sz w:val="21"/>
                <w:szCs w:val="21"/>
                <w:lang w:val="en-US" w:eastAsia="zh-CN"/>
              </w:rPr>
            </w:pPr>
            <w:r>
              <w:rPr>
                <w:rFonts w:hint="eastAsia" w:ascii="宋体" w:hAnsi="宋体" w:eastAsia="宋体"/>
                <w:sz w:val="21"/>
                <w:szCs w:val="21"/>
                <w:lang w:val="en-US" w:eastAsia="zh-CN"/>
              </w:rPr>
              <w:t>12</w:t>
            </w:r>
          </w:p>
        </w:tc>
        <w:tc>
          <w:tcPr>
            <w:tcW w:w="1010" w:type="pct"/>
            <w:vMerge w:val="continue"/>
            <w:vAlign w:val="center"/>
          </w:tcPr>
          <w:p w14:paraId="013E3523">
            <w:pPr>
              <w:rPr>
                <w:rFonts w:ascii="宋体" w:hAnsi="宋体" w:eastAsia="宋体"/>
                <w:sz w:val="21"/>
                <w:szCs w:val="21"/>
              </w:rPr>
            </w:pPr>
          </w:p>
        </w:tc>
        <w:tc>
          <w:tcPr>
            <w:tcW w:w="524" w:type="pct"/>
            <w:vAlign w:val="center"/>
          </w:tcPr>
          <w:p w14:paraId="59546006">
            <w:pPr>
              <w:rPr>
                <w:rFonts w:ascii="宋体" w:hAnsi="宋体" w:eastAsia="宋体"/>
                <w:sz w:val="21"/>
                <w:szCs w:val="21"/>
              </w:rPr>
            </w:pPr>
            <w:r>
              <w:rPr>
                <w:rFonts w:hint="eastAsia" w:ascii="宋体" w:hAnsi="宋体" w:eastAsia="宋体"/>
                <w:sz w:val="21"/>
                <w:szCs w:val="21"/>
              </w:rPr>
              <w:t>钓鱼邮件检测功能</w:t>
            </w:r>
          </w:p>
        </w:tc>
        <w:tc>
          <w:tcPr>
            <w:tcW w:w="3057" w:type="pct"/>
            <w:vAlign w:val="center"/>
          </w:tcPr>
          <w:p w14:paraId="3BB291D3">
            <w:pPr>
              <w:rPr>
                <w:rFonts w:ascii="宋体" w:hAnsi="宋体" w:eastAsia="宋体"/>
                <w:sz w:val="21"/>
                <w:szCs w:val="21"/>
              </w:rPr>
            </w:pPr>
            <w:r>
              <w:rPr>
                <w:rFonts w:hint="eastAsia" w:ascii="宋体" w:hAnsi="宋体" w:eastAsia="宋体"/>
                <w:sz w:val="21"/>
                <w:szCs w:val="21"/>
              </w:rPr>
              <w:t>支持基于发件人实际地址与邮件中显示的地址不一致、发件人实际地址所属网络域为伪造或与DNS解析结果不一致、信件内容中包含有恶意URL 链接或恶意附件、信件内容与用户自定义的关键字或内容模版匹配等方式的钓鱼邮件监测</w:t>
            </w:r>
            <w:r>
              <w:rPr>
                <w:rFonts w:ascii="宋体" w:hAnsi="宋体" w:eastAsia="宋体"/>
                <w:sz w:val="21"/>
                <w:szCs w:val="21"/>
              </w:rPr>
              <w:t xml:space="preserve"> </w:t>
            </w:r>
          </w:p>
        </w:tc>
      </w:tr>
      <w:tr w14:paraId="6714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407" w:type="pct"/>
            <w:vAlign w:val="center"/>
          </w:tcPr>
          <w:p w14:paraId="55E044E2">
            <w:pPr>
              <w:rPr>
                <w:rFonts w:hint="default" w:ascii="宋体" w:hAnsi="宋体" w:eastAsia="宋体"/>
                <w:sz w:val="21"/>
                <w:szCs w:val="21"/>
                <w:lang w:val="en-US" w:eastAsia="zh-CN"/>
              </w:rPr>
            </w:pPr>
            <w:r>
              <w:rPr>
                <w:rFonts w:hint="eastAsia" w:ascii="宋体" w:hAnsi="宋体" w:eastAsia="宋体"/>
                <w:sz w:val="21"/>
                <w:szCs w:val="21"/>
                <w:lang w:val="en-US" w:eastAsia="zh-CN"/>
              </w:rPr>
              <w:t>13</w:t>
            </w:r>
          </w:p>
        </w:tc>
        <w:tc>
          <w:tcPr>
            <w:tcW w:w="1010" w:type="pct"/>
            <w:vMerge w:val="continue"/>
            <w:vAlign w:val="center"/>
          </w:tcPr>
          <w:p w14:paraId="138B6B44">
            <w:pPr>
              <w:rPr>
                <w:rFonts w:ascii="宋体" w:hAnsi="宋体" w:eastAsia="宋体"/>
                <w:sz w:val="21"/>
                <w:szCs w:val="21"/>
              </w:rPr>
            </w:pPr>
          </w:p>
        </w:tc>
        <w:tc>
          <w:tcPr>
            <w:tcW w:w="524" w:type="pct"/>
            <w:vAlign w:val="center"/>
          </w:tcPr>
          <w:p w14:paraId="4F2EEF8A">
            <w:pPr>
              <w:rPr>
                <w:rFonts w:ascii="宋体" w:hAnsi="宋体" w:eastAsia="宋体"/>
                <w:sz w:val="21"/>
                <w:szCs w:val="21"/>
              </w:rPr>
            </w:pPr>
            <w:r>
              <w:rPr>
                <w:rFonts w:hint="eastAsia" w:ascii="宋体" w:hAnsi="宋体" w:eastAsia="宋体"/>
                <w:sz w:val="21"/>
                <w:szCs w:val="21"/>
              </w:rPr>
              <w:t>钓鱼网站攻击检测</w:t>
            </w:r>
          </w:p>
        </w:tc>
        <w:tc>
          <w:tcPr>
            <w:tcW w:w="3057" w:type="pct"/>
            <w:vAlign w:val="center"/>
          </w:tcPr>
          <w:p w14:paraId="522A7DA9">
            <w:pPr>
              <w:rPr>
                <w:rFonts w:ascii="宋体" w:hAnsi="宋体" w:eastAsia="宋体"/>
                <w:sz w:val="21"/>
                <w:szCs w:val="21"/>
              </w:rPr>
            </w:pPr>
            <w:r>
              <w:rPr>
                <w:rFonts w:hint="eastAsia" w:ascii="宋体" w:hAnsi="宋体" w:eastAsia="宋体"/>
                <w:sz w:val="21"/>
                <w:szCs w:val="21"/>
              </w:rPr>
              <w:t>支持基于网站域名注册信息与网站信息不符、网站无备案信息或备案信息为伪造、从网站下载的文件为含有恶意内容的文件、网站内容与用户自定义的关键字或内容模版匹配的钓鱼网站攻击监测</w:t>
            </w:r>
          </w:p>
        </w:tc>
      </w:tr>
      <w:tr w14:paraId="16A0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407" w:type="pct"/>
            <w:vAlign w:val="center"/>
          </w:tcPr>
          <w:p w14:paraId="721C0FC6">
            <w:pPr>
              <w:rPr>
                <w:rFonts w:hint="default" w:ascii="宋体" w:hAnsi="宋体" w:eastAsia="宋体"/>
                <w:sz w:val="21"/>
                <w:szCs w:val="21"/>
                <w:lang w:val="en-US" w:eastAsia="zh-CN"/>
              </w:rPr>
            </w:pPr>
            <w:r>
              <w:rPr>
                <w:rFonts w:hint="eastAsia" w:ascii="宋体" w:hAnsi="宋体" w:eastAsia="宋体"/>
                <w:sz w:val="21"/>
                <w:szCs w:val="21"/>
                <w:lang w:val="en-US" w:eastAsia="zh-CN"/>
              </w:rPr>
              <w:t>14</w:t>
            </w:r>
          </w:p>
        </w:tc>
        <w:tc>
          <w:tcPr>
            <w:tcW w:w="1010" w:type="pct"/>
            <w:vMerge w:val="continue"/>
            <w:vAlign w:val="center"/>
          </w:tcPr>
          <w:p w14:paraId="53A3C2CE">
            <w:pPr>
              <w:rPr>
                <w:rFonts w:ascii="宋体" w:hAnsi="宋体" w:eastAsia="宋体"/>
                <w:sz w:val="21"/>
                <w:szCs w:val="21"/>
              </w:rPr>
            </w:pPr>
          </w:p>
        </w:tc>
        <w:tc>
          <w:tcPr>
            <w:tcW w:w="524" w:type="pct"/>
            <w:vAlign w:val="center"/>
          </w:tcPr>
          <w:p w14:paraId="51C01FB8">
            <w:pPr>
              <w:rPr>
                <w:rFonts w:ascii="宋体" w:hAnsi="宋体" w:eastAsia="宋体"/>
                <w:sz w:val="21"/>
                <w:szCs w:val="21"/>
              </w:rPr>
            </w:pPr>
            <w:r>
              <w:rPr>
                <w:rFonts w:hint="eastAsia" w:ascii="宋体" w:hAnsi="宋体" w:eastAsia="宋体"/>
                <w:sz w:val="21"/>
                <w:szCs w:val="21"/>
              </w:rPr>
              <w:t>WEB 漏洞攻击检测</w:t>
            </w:r>
          </w:p>
        </w:tc>
        <w:tc>
          <w:tcPr>
            <w:tcW w:w="3057" w:type="pct"/>
            <w:vAlign w:val="center"/>
          </w:tcPr>
          <w:p w14:paraId="4E8A87B0">
            <w:pPr>
              <w:rPr>
                <w:rFonts w:ascii="宋体" w:hAnsi="宋体" w:eastAsia="宋体"/>
                <w:sz w:val="21"/>
                <w:szCs w:val="21"/>
              </w:rPr>
            </w:pPr>
            <w:r>
              <w:rPr>
                <w:rFonts w:hint="eastAsia" w:ascii="宋体" w:hAnsi="宋体" w:eastAsia="宋体"/>
                <w:sz w:val="21"/>
                <w:szCs w:val="21"/>
              </w:rPr>
              <w:t>支持IIS、Apache等 Web应用服务器程序漏洞攻击监测，Serv-U、TFTP 等 FTP应用服务程序漏洞攻击监测，Microsoft Internet Explorer、Mozilla Firefox、Apple Safari和其它常用浏览器程序漏洞攻击监测，Microsoft Office、WPS Office、Adobe Reader/Acrobat/Flash Player等文件格式漏洞攻击监测，SQL 注入攻击、XSS 攻击等WEB 漏洞攻击监测</w:t>
            </w:r>
          </w:p>
        </w:tc>
      </w:tr>
      <w:tr w14:paraId="6A02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07" w:type="pct"/>
            <w:vAlign w:val="center"/>
          </w:tcPr>
          <w:p w14:paraId="4D67A9FA">
            <w:pPr>
              <w:rPr>
                <w:rFonts w:hint="default" w:ascii="宋体" w:hAnsi="宋体" w:eastAsia="宋体"/>
                <w:sz w:val="21"/>
                <w:szCs w:val="21"/>
                <w:lang w:val="en-US" w:eastAsia="zh-CN"/>
              </w:rPr>
            </w:pPr>
            <w:r>
              <w:rPr>
                <w:rFonts w:hint="eastAsia" w:ascii="宋体" w:hAnsi="宋体" w:eastAsia="宋体"/>
                <w:sz w:val="21"/>
                <w:szCs w:val="21"/>
                <w:lang w:val="en-US" w:eastAsia="zh-CN"/>
              </w:rPr>
              <w:t>15</w:t>
            </w:r>
          </w:p>
        </w:tc>
        <w:tc>
          <w:tcPr>
            <w:tcW w:w="1010" w:type="pct"/>
            <w:vMerge w:val="continue"/>
            <w:vAlign w:val="center"/>
          </w:tcPr>
          <w:p w14:paraId="14928C15">
            <w:pPr>
              <w:rPr>
                <w:rFonts w:ascii="宋体" w:hAnsi="宋体" w:eastAsia="宋体"/>
                <w:sz w:val="21"/>
                <w:szCs w:val="21"/>
              </w:rPr>
            </w:pPr>
          </w:p>
        </w:tc>
        <w:tc>
          <w:tcPr>
            <w:tcW w:w="524" w:type="pct"/>
            <w:vAlign w:val="center"/>
          </w:tcPr>
          <w:p w14:paraId="4A1C2A8D">
            <w:pPr>
              <w:rPr>
                <w:rFonts w:ascii="宋体" w:hAnsi="宋体" w:eastAsia="宋体"/>
                <w:sz w:val="21"/>
                <w:szCs w:val="21"/>
              </w:rPr>
            </w:pPr>
            <w:r>
              <w:rPr>
                <w:rFonts w:hint="eastAsia" w:ascii="宋体" w:hAnsi="宋体" w:eastAsia="宋体"/>
                <w:sz w:val="21"/>
                <w:szCs w:val="21"/>
              </w:rPr>
              <w:t>恶意链接检测</w:t>
            </w:r>
          </w:p>
        </w:tc>
        <w:tc>
          <w:tcPr>
            <w:tcW w:w="3057" w:type="pct"/>
            <w:vAlign w:val="center"/>
          </w:tcPr>
          <w:p w14:paraId="2C00F02D">
            <w:pPr>
              <w:rPr>
                <w:rFonts w:ascii="宋体" w:hAnsi="宋体" w:eastAsia="宋体"/>
                <w:sz w:val="21"/>
                <w:szCs w:val="21"/>
              </w:rPr>
            </w:pPr>
            <w:r>
              <w:rPr>
                <w:rFonts w:hint="eastAsia" w:ascii="宋体" w:hAnsi="宋体" w:eastAsia="宋体"/>
                <w:sz w:val="21"/>
                <w:szCs w:val="21"/>
              </w:rPr>
              <w:t>支持POP3/SMTP/IMAP、HTTP、FTP 等协议的恶意程序传播监测和恶意程序与控制端的反向连接行为、恶意程序回传信息行为的监测</w:t>
            </w:r>
          </w:p>
        </w:tc>
      </w:tr>
      <w:tr w14:paraId="3626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407" w:type="pct"/>
            <w:vAlign w:val="center"/>
          </w:tcPr>
          <w:p w14:paraId="2945820A">
            <w:pPr>
              <w:rPr>
                <w:rFonts w:hint="default" w:ascii="宋体" w:hAnsi="宋体" w:eastAsia="宋体"/>
                <w:sz w:val="21"/>
                <w:szCs w:val="21"/>
                <w:lang w:val="en-US" w:eastAsia="zh-CN"/>
              </w:rPr>
            </w:pPr>
            <w:r>
              <w:rPr>
                <w:rFonts w:hint="eastAsia" w:ascii="宋体" w:hAnsi="宋体" w:eastAsia="宋体"/>
                <w:sz w:val="21"/>
                <w:szCs w:val="21"/>
                <w:lang w:val="en-US" w:eastAsia="zh-CN"/>
              </w:rPr>
              <w:t>16</w:t>
            </w:r>
          </w:p>
        </w:tc>
        <w:tc>
          <w:tcPr>
            <w:tcW w:w="1010" w:type="pct"/>
            <w:vMerge w:val="continue"/>
            <w:vAlign w:val="center"/>
          </w:tcPr>
          <w:p w14:paraId="215EFE77">
            <w:pPr>
              <w:rPr>
                <w:rFonts w:ascii="宋体" w:hAnsi="宋体" w:eastAsia="宋体"/>
                <w:sz w:val="21"/>
                <w:szCs w:val="21"/>
              </w:rPr>
            </w:pPr>
          </w:p>
        </w:tc>
        <w:tc>
          <w:tcPr>
            <w:tcW w:w="524" w:type="pct"/>
            <w:vAlign w:val="center"/>
          </w:tcPr>
          <w:p w14:paraId="18148DEB">
            <w:pPr>
              <w:rPr>
                <w:rFonts w:ascii="宋体" w:hAnsi="宋体" w:eastAsia="宋体"/>
                <w:sz w:val="21"/>
                <w:szCs w:val="21"/>
              </w:rPr>
            </w:pPr>
            <w:r>
              <w:rPr>
                <w:rFonts w:hint="eastAsia" w:ascii="宋体" w:hAnsi="宋体" w:eastAsia="宋体"/>
                <w:sz w:val="21"/>
                <w:szCs w:val="21"/>
              </w:rPr>
              <w:t>异常 Web访问检测功能</w:t>
            </w:r>
          </w:p>
        </w:tc>
        <w:tc>
          <w:tcPr>
            <w:tcW w:w="3057" w:type="pct"/>
            <w:vAlign w:val="center"/>
          </w:tcPr>
          <w:p w14:paraId="014EE6F8">
            <w:pPr>
              <w:rPr>
                <w:rFonts w:ascii="宋体" w:hAnsi="宋体" w:eastAsia="宋体"/>
                <w:sz w:val="21"/>
                <w:szCs w:val="21"/>
              </w:rPr>
            </w:pPr>
            <w:r>
              <w:rPr>
                <w:rFonts w:hint="eastAsia" w:ascii="宋体" w:hAnsi="宋体" w:eastAsia="宋体"/>
                <w:sz w:val="21"/>
                <w:szCs w:val="21"/>
              </w:rPr>
              <w:t>支持异常时间使用特定账户对特定Web应用的登录访问行为、异常地点使用特定账户对特定Web 应用的登录访问行为、对异常 Web 应用地址的访问行为、对异常 Web 应用的提交内容中含有特定的敏感内容等异常 Web访问行为监测</w:t>
            </w:r>
          </w:p>
        </w:tc>
      </w:tr>
      <w:tr w14:paraId="3831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407" w:type="pct"/>
            <w:vAlign w:val="center"/>
          </w:tcPr>
          <w:p w14:paraId="6DDA684E">
            <w:pPr>
              <w:rPr>
                <w:rFonts w:hint="default" w:ascii="宋体" w:hAnsi="宋体" w:eastAsia="宋体"/>
                <w:sz w:val="21"/>
                <w:szCs w:val="21"/>
                <w:lang w:val="en-US" w:eastAsia="zh-CN"/>
              </w:rPr>
            </w:pPr>
            <w:r>
              <w:rPr>
                <w:rFonts w:hint="eastAsia" w:ascii="宋体" w:hAnsi="宋体" w:eastAsia="宋体"/>
                <w:sz w:val="21"/>
                <w:szCs w:val="21"/>
                <w:lang w:val="en-US" w:eastAsia="zh-CN"/>
              </w:rPr>
              <w:t>17</w:t>
            </w:r>
          </w:p>
        </w:tc>
        <w:tc>
          <w:tcPr>
            <w:tcW w:w="1010" w:type="pct"/>
            <w:vMerge w:val="continue"/>
            <w:vAlign w:val="center"/>
          </w:tcPr>
          <w:p w14:paraId="4A9A5793">
            <w:pPr>
              <w:rPr>
                <w:rFonts w:ascii="宋体" w:hAnsi="宋体" w:eastAsia="宋体"/>
                <w:sz w:val="21"/>
                <w:szCs w:val="21"/>
              </w:rPr>
            </w:pPr>
          </w:p>
        </w:tc>
        <w:tc>
          <w:tcPr>
            <w:tcW w:w="524" w:type="pct"/>
            <w:vAlign w:val="center"/>
          </w:tcPr>
          <w:p w14:paraId="53540FCA">
            <w:pPr>
              <w:rPr>
                <w:rFonts w:ascii="宋体" w:hAnsi="宋体" w:eastAsia="宋体"/>
                <w:sz w:val="21"/>
                <w:szCs w:val="21"/>
              </w:rPr>
            </w:pPr>
            <w:r>
              <w:rPr>
                <w:rFonts w:hint="eastAsia" w:ascii="宋体" w:hAnsi="宋体" w:eastAsia="宋体"/>
                <w:sz w:val="21"/>
                <w:szCs w:val="21"/>
              </w:rPr>
              <w:t>异常行为检测功能</w:t>
            </w:r>
          </w:p>
        </w:tc>
        <w:tc>
          <w:tcPr>
            <w:tcW w:w="3057" w:type="pct"/>
            <w:vAlign w:val="center"/>
          </w:tcPr>
          <w:p w14:paraId="58D184F3">
            <w:pPr>
              <w:rPr>
                <w:rFonts w:ascii="宋体" w:hAnsi="宋体" w:eastAsia="宋体"/>
                <w:sz w:val="21"/>
                <w:szCs w:val="21"/>
              </w:rPr>
            </w:pPr>
            <w:r>
              <w:rPr>
                <w:rFonts w:hint="eastAsia" w:ascii="宋体" w:hAnsi="宋体" w:eastAsia="宋体"/>
                <w:sz w:val="21"/>
                <w:szCs w:val="21"/>
              </w:rPr>
              <w:t>支持异常时间对特定主机的远程登录访问行为、异常地点对特定主机的远程登录访问行为、异常时间对特定文件的传输行为、异常地点对特定文件的传输行为、对特定敏感文件的传输行为等的监测。</w:t>
            </w:r>
          </w:p>
        </w:tc>
      </w:tr>
      <w:tr w14:paraId="7CB4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407" w:type="pct"/>
            <w:vAlign w:val="center"/>
          </w:tcPr>
          <w:p w14:paraId="33D44A99">
            <w:pPr>
              <w:rPr>
                <w:rFonts w:hint="default" w:ascii="宋体" w:hAnsi="宋体" w:eastAsia="宋体"/>
                <w:sz w:val="21"/>
                <w:szCs w:val="21"/>
                <w:lang w:val="en-US" w:eastAsia="zh-CN"/>
              </w:rPr>
            </w:pPr>
            <w:r>
              <w:rPr>
                <w:rFonts w:hint="eastAsia" w:ascii="宋体" w:hAnsi="宋体" w:eastAsia="宋体"/>
                <w:sz w:val="21"/>
                <w:szCs w:val="21"/>
                <w:lang w:val="en-US" w:eastAsia="zh-CN"/>
              </w:rPr>
              <w:t>18</w:t>
            </w:r>
          </w:p>
        </w:tc>
        <w:tc>
          <w:tcPr>
            <w:tcW w:w="1010" w:type="pct"/>
            <w:vMerge w:val="continue"/>
            <w:vAlign w:val="center"/>
          </w:tcPr>
          <w:p w14:paraId="4D5D96D2">
            <w:pPr>
              <w:rPr>
                <w:rFonts w:ascii="宋体" w:hAnsi="宋体" w:eastAsia="宋体"/>
                <w:sz w:val="21"/>
                <w:szCs w:val="21"/>
              </w:rPr>
            </w:pPr>
          </w:p>
        </w:tc>
        <w:tc>
          <w:tcPr>
            <w:tcW w:w="524" w:type="pct"/>
            <w:vAlign w:val="center"/>
          </w:tcPr>
          <w:p w14:paraId="1A6B9A19">
            <w:pPr>
              <w:rPr>
                <w:rFonts w:ascii="宋体" w:hAnsi="宋体" w:eastAsia="宋体"/>
                <w:sz w:val="21"/>
                <w:szCs w:val="21"/>
              </w:rPr>
            </w:pPr>
            <w:r>
              <w:rPr>
                <w:rFonts w:hint="eastAsia" w:ascii="宋体" w:hAnsi="宋体" w:eastAsia="宋体"/>
                <w:sz w:val="21"/>
                <w:szCs w:val="21"/>
              </w:rPr>
              <w:t>防攻击逃逸功能</w:t>
            </w:r>
          </w:p>
        </w:tc>
        <w:tc>
          <w:tcPr>
            <w:tcW w:w="3057" w:type="pct"/>
            <w:vAlign w:val="center"/>
          </w:tcPr>
          <w:p w14:paraId="494552A2">
            <w:pPr>
              <w:rPr>
                <w:rFonts w:ascii="宋体" w:hAnsi="宋体" w:eastAsia="宋体"/>
                <w:sz w:val="21"/>
                <w:szCs w:val="21"/>
              </w:rPr>
            </w:pPr>
            <w:r>
              <w:rPr>
                <w:rFonts w:hint="eastAsia" w:ascii="宋体" w:hAnsi="宋体" w:eastAsia="宋体"/>
                <w:sz w:val="21"/>
                <w:szCs w:val="21"/>
              </w:rPr>
              <w:t>支持非标准端口、网络层字段隐藏、应用层 HTTP URI 隐藏、VPN 隧道等隐蔽信道逃避监测行为的防护，支持压缩、虚拟机识别、加壳加密等恶意程序逃避监测行为的防护，支持攻击代码混淆、数据包非标准长度、数据包分片、数据包乱序等漏洞攻击逃避监测行为的防护</w:t>
            </w:r>
          </w:p>
        </w:tc>
      </w:tr>
      <w:tr w14:paraId="33E5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407" w:type="pct"/>
            <w:vAlign w:val="center"/>
          </w:tcPr>
          <w:p w14:paraId="361E82A1">
            <w:pPr>
              <w:rPr>
                <w:rFonts w:hint="default" w:ascii="宋体" w:hAnsi="宋体" w:eastAsia="宋体"/>
                <w:sz w:val="21"/>
                <w:szCs w:val="21"/>
                <w:lang w:val="en-US" w:eastAsia="zh-CN"/>
              </w:rPr>
            </w:pPr>
            <w:r>
              <w:rPr>
                <w:rFonts w:hint="eastAsia" w:ascii="宋体" w:hAnsi="宋体" w:eastAsia="宋体"/>
                <w:sz w:val="21"/>
                <w:szCs w:val="21"/>
                <w:lang w:val="en-US" w:eastAsia="zh-CN"/>
              </w:rPr>
              <w:t>19</w:t>
            </w:r>
          </w:p>
        </w:tc>
        <w:tc>
          <w:tcPr>
            <w:tcW w:w="1010" w:type="pct"/>
            <w:vMerge w:val="continue"/>
            <w:vAlign w:val="center"/>
          </w:tcPr>
          <w:p w14:paraId="4F26404C">
            <w:pPr>
              <w:rPr>
                <w:rFonts w:ascii="宋体" w:hAnsi="宋体" w:eastAsia="宋体"/>
                <w:sz w:val="21"/>
                <w:szCs w:val="21"/>
              </w:rPr>
            </w:pPr>
          </w:p>
        </w:tc>
        <w:tc>
          <w:tcPr>
            <w:tcW w:w="524" w:type="pct"/>
            <w:vAlign w:val="center"/>
          </w:tcPr>
          <w:p w14:paraId="7E23EF58">
            <w:pPr>
              <w:rPr>
                <w:rFonts w:ascii="宋体" w:hAnsi="宋体" w:eastAsia="宋体"/>
                <w:sz w:val="21"/>
                <w:szCs w:val="21"/>
              </w:rPr>
            </w:pPr>
            <w:r>
              <w:rPr>
                <w:rFonts w:hint="eastAsia" w:ascii="宋体" w:hAnsi="宋体" w:eastAsia="宋体"/>
                <w:sz w:val="21"/>
                <w:szCs w:val="21"/>
              </w:rPr>
              <w:t>漏洞挖掘能力</w:t>
            </w:r>
          </w:p>
        </w:tc>
        <w:tc>
          <w:tcPr>
            <w:tcW w:w="3057" w:type="pct"/>
            <w:vAlign w:val="center"/>
          </w:tcPr>
          <w:p w14:paraId="037AE4A0">
            <w:pPr>
              <w:rPr>
                <w:rFonts w:hint="eastAsia" w:ascii="宋体" w:hAnsi="宋体" w:eastAsia="宋体"/>
                <w:sz w:val="21"/>
                <w:szCs w:val="21"/>
                <w:lang w:val="en-US" w:eastAsia="zh-CN"/>
              </w:rPr>
            </w:pPr>
            <w:r>
              <w:rPr>
                <w:rFonts w:hint="eastAsia" w:ascii="宋体" w:hAnsi="宋体" w:eastAsia="宋体"/>
                <w:sz w:val="21"/>
                <w:szCs w:val="21"/>
                <w:lang w:val="en-US" w:eastAsia="zh-CN"/>
              </w:rPr>
              <w:t>△</w:t>
            </w:r>
            <w:r>
              <w:rPr>
                <w:rFonts w:hint="eastAsia" w:ascii="宋体" w:hAnsi="宋体" w:eastAsia="宋体"/>
                <w:sz w:val="21"/>
                <w:szCs w:val="21"/>
              </w:rPr>
              <w:t>设备原厂商具备较强漏洞挖掘能力，可将挖掘的漏洞信息生成相关漏洞扫描策略提升设备扫描能力，2022-2024任意一年向国家漏洞共享平台CNVD提交漏洞数≥30000个</w:t>
            </w:r>
            <w:r>
              <w:rPr>
                <w:rFonts w:hint="eastAsia" w:ascii="宋体" w:hAnsi="宋体" w:eastAsia="宋体"/>
                <w:sz w:val="21"/>
                <w:szCs w:val="21"/>
                <w:lang w:eastAsia="zh-CN"/>
              </w:rPr>
              <w:t>。</w:t>
            </w:r>
            <w:r>
              <w:rPr>
                <w:rFonts w:hint="eastAsia" w:ascii="宋体" w:hAnsi="宋体" w:eastAsia="宋体"/>
                <w:sz w:val="21"/>
                <w:szCs w:val="21"/>
              </w:rPr>
              <w:t>提供CNVD出具的</w:t>
            </w:r>
            <w:r>
              <w:rPr>
                <w:rFonts w:hint="eastAsia" w:ascii="宋体" w:hAnsi="宋体" w:eastAsia="宋体"/>
                <w:sz w:val="21"/>
                <w:szCs w:val="21"/>
                <w:lang w:val="en-US" w:eastAsia="zh-CN"/>
              </w:rPr>
              <w:t>截图</w:t>
            </w:r>
            <w:r>
              <w:rPr>
                <w:rFonts w:hint="eastAsia" w:ascii="宋体" w:hAnsi="宋体" w:eastAsia="宋体"/>
                <w:sz w:val="21"/>
                <w:szCs w:val="21"/>
              </w:rPr>
              <w:t>证明</w:t>
            </w:r>
            <w:r>
              <w:rPr>
                <w:rFonts w:hint="eastAsia" w:ascii="宋体" w:hAnsi="宋体" w:eastAsia="宋体"/>
                <w:sz w:val="21"/>
                <w:szCs w:val="21"/>
                <w:lang w:val="en-US" w:eastAsia="zh-CN"/>
              </w:rPr>
              <w:t>材料。</w:t>
            </w:r>
          </w:p>
        </w:tc>
      </w:tr>
      <w:tr w14:paraId="52DF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07" w:type="pct"/>
            <w:vAlign w:val="center"/>
          </w:tcPr>
          <w:p w14:paraId="1C005E0E">
            <w:pPr>
              <w:rPr>
                <w:rFonts w:hint="default" w:ascii="宋体" w:hAnsi="宋体" w:eastAsia="宋体"/>
                <w:sz w:val="21"/>
                <w:szCs w:val="21"/>
                <w:lang w:val="en-US" w:eastAsia="zh-CN"/>
              </w:rPr>
            </w:pPr>
            <w:r>
              <w:rPr>
                <w:rFonts w:hint="eastAsia" w:ascii="宋体" w:hAnsi="宋体" w:eastAsia="宋体"/>
                <w:sz w:val="21"/>
                <w:szCs w:val="21"/>
                <w:lang w:val="en-US" w:eastAsia="zh-CN"/>
              </w:rPr>
              <w:t>20</w:t>
            </w:r>
          </w:p>
        </w:tc>
        <w:tc>
          <w:tcPr>
            <w:tcW w:w="1010" w:type="pct"/>
            <w:vMerge w:val="restart"/>
            <w:vAlign w:val="center"/>
          </w:tcPr>
          <w:p w14:paraId="39D95988">
            <w:pPr>
              <w:rPr>
                <w:rFonts w:ascii="宋体" w:hAnsi="宋体" w:eastAsia="宋体"/>
                <w:sz w:val="21"/>
                <w:szCs w:val="21"/>
              </w:rPr>
            </w:pPr>
            <w:r>
              <w:rPr>
                <w:rFonts w:hint="eastAsia" w:ascii="宋体" w:hAnsi="宋体" w:eastAsia="宋体"/>
                <w:sz w:val="21"/>
                <w:szCs w:val="21"/>
              </w:rPr>
              <w:t>告警分析</w:t>
            </w:r>
          </w:p>
        </w:tc>
        <w:tc>
          <w:tcPr>
            <w:tcW w:w="524" w:type="pct"/>
            <w:vAlign w:val="center"/>
          </w:tcPr>
          <w:p w14:paraId="7EA1F1AB">
            <w:pPr>
              <w:rPr>
                <w:rFonts w:ascii="宋体" w:hAnsi="宋体" w:eastAsia="宋体"/>
                <w:sz w:val="21"/>
                <w:szCs w:val="21"/>
              </w:rPr>
            </w:pPr>
            <w:r>
              <w:rPr>
                <w:rFonts w:hint="eastAsia" w:ascii="宋体" w:hAnsi="宋体" w:eastAsia="宋体"/>
                <w:sz w:val="21"/>
                <w:szCs w:val="21"/>
              </w:rPr>
              <w:t>告警查询</w:t>
            </w:r>
          </w:p>
        </w:tc>
        <w:tc>
          <w:tcPr>
            <w:tcW w:w="3057" w:type="pct"/>
            <w:vAlign w:val="center"/>
          </w:tcPr>
          <w:p w14:paraId="4031F75F">
            <w:pPr>
              <w:rPr>
                <w:rFonts w:ascii="宋体" w:hAnsi="宋体" w:eastAsia="宋体"/>
                <w:sz w:val="21"/>
                <w:szCs w:val="21"/>
              </w:rPr>
            </w:pPr>
            <w:r>
              <w:rPr>
                <w:rFonts w:hint="eastAsia" w:ascii="宋体" w:hAnsi="宋体" w:eastAsia="宋体"/>
                <w:sz w:val="21"/>
                <w:szCs w:val="21"/>
              </w:rPr>
              <w:t>支持场景化管理告警，可以根据不同的检索条件及顺序、列表字段及顺序生成自定义检索场景，并支持拖拽调节自定义场景顺序。</w:t>
            </w:r>
          </w:p>
        </w:tc>
      </w:tr>
      <w:tr w14:paraId="0F48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407" w:type="pct"/>
            <w:vAlign w:val="center"/>
          </w:tcPr>
          <w:p w14:paraId="46908F03">
            <w:pPr>
              <w:rPr>
                <w:rFonts w:hint="default" w:ascii="宋体" w:hAnsi="宋体" w:eastAsia="宋体"/>
                <w:sz w:val="21"/>
                <w:szCs w:val="21"/>
                <w:lang w:val="en-US" w:eastAsia="zh-CN"/>
              </w:rPr>
            </w:pPr>
            <w:r>
              <w:rPr>
                <w:rFonts w:hint="eastAsia" w:ascii="宋体" w:hAnsi="宋体" w:eastAsia="宋体"/>
                <w:sz w:val="21"/>
                <w:szCs w:val="21"/>
                <w:lang w:val="en-US" w:eastAsia="zh-CN"/>
              </w:rPr>
              <w:t>21</w:t>
            </w:r>
          </w:p>
        </w:tc>
        <w:tc>
          <w:tcPr>
            <w:tcW w:w="1010" w:type="pct"/>
            <w:vMerge w:val="continue"/>
            <w:vAlign w:val="center"/>
          </w:tcPr>
          <w:p w14:paraId="06272E01">
            <w:pPr>
              <w:rPr>
                <w:rFonts w:ascii="宋体" w:hAnsi="宋体" w:eastAsia="宋体"/>
                <w:sz w:val="21"/>
                <w:szCs w:val="21"/>
              </w:rPr>
            </w:pPr>
          </w:p>
        </w:tc>
        <w:tc>
          <w:tcPr>
            <w:tcW w:w="524" w:type="pct"/>
            <w:vAlign w:val="center"/>
          </w:tcPr>
          <w:p w14:paraId="58D389AD">
            <w:pPr>
              <w:rPr>
                <w:rFonts w:ascii="宋体" w:hAnsi="宋体" w:eastAsia="宋体"/>
                <w:sz w:val="21"/>
                <w:szCs w:val="21"/>
              </w:rPr>
            </w:pPr>
            <w:r>
              <w:rPr>
                <w:rFonts w:hint="eastAsia" w:ascii="宋体" w:hAnsi="宋体" w:eastAsia="宋体"/>
                <w:sz w:val="21"/>
                <w:szCs w:val="21"/>
              </w:rPr>
              <w:t>告警加白</w:t>
            </w:r>
          </w:p>
        </w:tc>
        <w:tc>
          <w:tcPr>
            <w:tcW w:w="3057" w:type="pct"/>
            <w:vAlign w:val="center"/>
          </w:tcPr>
          <w:p w14:paraId="2103908F">
            <w:pPr>
              <w:rPr>
                <w:rFonts w:ascii="宋体" w:hAnsi="宋体" w:eastAsia="宋体"/>
                <w:sz w:val="21"/>
                <w:szCs w:val="21"/>
              </w:rPr>
            </w:pPr>
            <w:r>
              <w:rPr>
                <w:rFonts w:hint="eastAsia" w:ascii="宋体" w:hAnsi="宋体" w:eastAsia="宋体"/>
                <w:sz w:val="21"/>
                <w:szCs w:val="21"/>
              </w:rPr>
              <w:t>支持基于自定义白名单的告警过滤，白名单设置条件涵盖告警类型、威胁名称、威胁情报IOC/规则ID、URI、XFF代理、Payload、域名、referer、目的端口、协议、受害资产组、攻击资产组、受害IP、攻击IP、源IP、目的IP等，满足全部加白场景。</w:t>
            </w:r>
          </w:p>
        </w:tc>
      </w:tr>
      <w:tr w14:paraId="30E9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407" w:type="pct"/>
            <w:vAlign w:val="center"/>
          </w:tcPr>
          <w:p w14:paraId="7F7BA9FD">
            <w:pPr>
              <w:rPr>
                <w:rFonts w:hint="default" w:ascii="宋体" w:hAnsi="宋体" w:eastAsia="宋体"/>
                <w:sz w:val="21"/>
                <w:szCs w:val="21"/>
                <w:lang w:val="en-US" w:eastAsia="zh-CN"/>
              </w:rPr>
            </w:pPr>
            <w:r>
              <w:rPr>
                <w:rFonts w:hint="eastAsia" w:ascii="宋体" w:hAnsi="宋体" w:eastAsia="宋体"/>
                <w:sz w:val="21"/>
                <w:szCs w:val="21"/>
                <w:lang w:val="en-US" w:eastAsia="zh-CN"/>
              </w:rPr>
              <w:t>22</w:t>
            </w:r>
          </w:p>
        </w:tc>
        <w:tc>
          <w:tcPr>
            <w:tcW w:w="1010" w:type="pct"/>
            <w:vMerge w:val="continue"/>
            <w:vAlign w:val="center"/>
          </w:tcPr>
          <w:p w14:paraId="1E4C3A2D">
            <w:pPr>
              <w:rPr>
                <w:rFonts w:ascii="宋体" w:hAnsi="宋体" w:eastAsia="宋体"/>
                <w:sz w:val="21"/>
                <w:szCs w:val="21"/>
              </w:rPr>
            </w:pPr>
          </w:p>
        </w:tc>
        <w:tc>
          <w:tcPr>
            <w:tcW w:w="524" w:type="pct"/>
            <w:vAlign w:val="center"/>
          </w:tcPr>
          <w:p w14:paraId="0CCE4B3F">
            <w:pPr>
              <w:rPr>
                <w:rFonts w:ascii="宋体" w:hAnsi="宋体" w:eastAsia="宋体"/>
                <w:sz w:val="21"/>
                <w:szCs w:val="21"/>
              </w:rPr>
            </w:pPr>
            <w:r>
              <w:rPr>
                <w:rFonts w:hint="eastAsia" w:ascii="宋体" w:hAnsi="宋体" w:eastAsia="宋体"/>
                <w:sz w:val="21"/>
                <w:szCs w:val="21"/>
              </w:rPr>
              <w:t>告警专项分析</w:t>
            </w:r>
          </w:p>
        </w:tc>
        <w:tc>
          <w:tcPr>
            <w:tcW w:w="3057" w:type="pct"/>
            <w:vAlign w:val="center"/>
          </w:tcPr>
          <w:p w14:paraId="4119C6EA">
            <w:pPr>
              <w:rPr>
                <w:rFonts w:ascii="宋体" w:hAnsi="宋体" w:eastAsia="宋体"/>
                <w:sz w:val="21"/>
                <w:szCs w:val="21"/>
              </w:rPr>
            </w:pPr>
            <w:r>
              <w:rPr>
                <w:rFonts w:hint="eastAsia" w:ascii="宋体" w:hAnsi="宋体" w:eastAsia="宋体"/>
                <w:sz w:val="21"/>
                <w:szCs w:val="21"/>
              </w:rPr>
              <w:t>支持在告警日志中展示出DNS解析行为、TCP/UDP交互行为、WEB访问行为和传输文件行为的活动趋势; 支持以可视化拓扑结构形式展示告警所命中的ATT&amp;CK攻击技术及其与组织的关联关系；支持兼容wireshark过滤语法关联展示本地PCAP会话数据，用于告警分析，可以查看会话数量，会话时间、源/目的IP、协议、会话信息等。</w:t>
            </w:r>
          </w:p>
        </w:tc>
      </w:tr>
      <w:tr w14:paraId="013B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07" w:type="pct"/>
            <w:vAlign w:val="center"/>
          </w:tcPr>
          <w:p w14:paraId="0A30C363">
            <w:pPr>
              <w:rPr>
                <w:rFonts w:hint="default" w:ascii="宋体" w:hAnsi="宋体" w:eastAsia="宋体"/>
                <w:sz w:val="21"/>
                <w:szCs w:val="21"/>
                <w:lang w:val="en-US" w:eastAsia="zh-CN"/>
              </w:rPr>
            </w:pPr>
            <w:r>
              <w:rPr>
                <w:rFonts w:hint="eastAsia" w:ascii="宋体" w:hAnsi="宋体" w:eastAsia="宋体"/>
                <w:sz w:val="21"/>
                <w:szCs w:val="21"/>
                <w:lang w:val="en-US" w:eastAsia="zh-CN"/>
              </w:rPr>
              <w:t>23</w:t>
            </w:r>
          </w:p>
        </w:tc>
        <w:tc>
          <w:tcPr>
            <w:tcW w:w="1010" w:type="pct"/>
            <w:vMerge w:val="continue"/>
            <w:vAlign w:val="center"/>
          </w:tcPr>
          <w:p w14:paraId="3AE77643">
            <w:pPr>
              <w:rPr>
                <w:rFonts w:ascii="宋体" w:hAnsi="宋体" w:eastAsia="宋体"/>
                <w:sz w:val="21"/>
                <w:szCs w:val="21"/>
              </w:rPr>
            </w:pPr>
          </w:p>
        </w:tc>
        <w:tc>
          <w:tcPr>
            <w:tcW w:w="524" w:type="pct"/>
            <w:vAlign w:val="center"/>
          </w:tcPr>
          <w:p w14:paraId="4478B0CF">
            <w:pPr>
              <w:rPr>
                <w:rFonts w:ascii="宋体" w:hAnsi="宋体" w:eastAsia="宋体"/>
                <w:sz w:val="21"/>
                <w:szCs w:val="21"/>
              </w:rPr>
            </w:pPr>
            <w:r>
              <w:rPr>
                <w:rFonts w:hint="eastAsia" w:ascii="宋体" w:hAnsi="宋体" w:eastAsia="宋体"/>
                <w:sz w:val="21"/>
                <w:szCs w:val="21"/>
              </w:rPr>
              <w:t>勒索专项分析</w:t>
            </w:r>
          </w:p>
        </w:tc>
        <w:tc>
          <w:tcPr>
            <w:tcW w:w="3057" w:type="pct"/>
            <w:vAlign w:val="center"/>
          </w:tcPr>
          <w:p w14:paraId="462CC65F">
            <w:pPr>
              <w:rPr>
                <w:rFonts w:ascii="宋体" w:hAnsi="宋体" w:eastAsia="宋体"/>
                <w:sz w:val="21"/>
                <w:szCs w:val="21"/>
              </w:rPr>
            </w:pPr>
            <w:r>
              <w:rPr>
                <w:rFonts w:hint="eastAsia" w:ascii="宋体" w:hAnsi="宋体" w:eastAsia="宋体"/>
                <w:sz w:val="21"/>
                <w:szCs w:val="21"/>
              </w:rPr>
              <w:t>支持对勒索告警进行专项分析，可识别勒索家族包括：Cerber、Tescrypt、Strictor、WannaCry等。</w:t>
            </w:r>
            <w:r>
              <w:rPr>
                <w:rFonts w:hint="eastAsia" w:ascii="宋体" w:hAnsi="宋体" w:eastAsia="宋体"/>
                <w:sz w:val="21"/>
                <w:szCs w:val="21"/>
              </w:rPr>
              <w:br w:type="textWrapping"/>
            </w:r>
            <w:r>
              <w:rPr>
                <w:rFonts w:hint="eastAsia" w:ascii="宋体" w:hAnsi="宋体" w:eastAsia="宋体"/>
                <w:sz w:val="21"/>
                <w:szCs w:val="21"/>
              </w:rPr>
              <w:t>威胁统计包括：活跃勒索家族（受害资产数）分布统计、勒索受害资产Top10、勒索告警趋势图；勒索告警信息包括：最近发生时间、资产IP、勒索家族、勒索阶段、告警次数、攻击结果、威胁级别、级联单位、资产分组、资产类型、告警来源、告警设备，以及对应的详细告警列表。</w:t>
            </w:r>
          </w:p>
        </w:tc>
      </w:tr>
      <w:tr w14:paraId="26A0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407" w:type="pct"/>
            <w:vAlign w:val="center"/>
          </w:tcPr>
          <w:p w14:paraId="49ECDD85">
            <w:pPr>
              <w:rPr>
                <w:rFonts w:hint="default" w:ascii="宋体" w:hAnsi="宋体" w:eastAsia="宋体"/>
                <w:sz w:val="21"/>
                <w:szCs w:val="21"/>
                <w:lang w:val="en-US" w:eastAsia="zh-CN"/>
              </w:rPr>
            </w:pPr>
            <w:r>
              <w:rPr>
                <w:rFonts w:hint="eastAsia" w:ascii="宋体" w:hAnsi="宋体" w:eastAsia="宋体"/>
                <w:sz w:val="21"/>
                <w:szCs w:val="21"/>
                <w:lang w:val="en-US" w:eastAsia="zh-CN"/>
              </w:rPr>
              <w:t>24</w:t>
            </w:r>
          </w:p>
        </w:tc>
        <w:tc>
          <w:tcPr>
            <w:tcW w:w="1010" w:type="pct"/>
            <w:vMerge w:val="continue"/>
            <w:vAlign w:val="center"/>
          </w:tcPr>
          <w:p w14:paraId="15475878">
            <w:pPr>
              <w:rPr>
                <w:rFonts w:ascii="宋体" w:hAnsi="宋体" w:eastAsia="宋体"/>
                <w:sz w:val="21"/>
                <w:szCs w:val="21"/>
              </w:rPr>
            </w:pPr>
          </w:p>
        </w:tc>
        <w:tc>
          <w:tcPr>
            <w:tcW w:w="524" w:type="pct"/>
            <w:vAlign w:val="center"/>
          </w:tcPr>
          <w:p w14:paraId="4D1A83CE">
            <w:pPr>
              <w:rPr>
                <w:rFonts w:ascii="宋体" w:hAnsi="宋体" w:eastAsia="宋体"/>
                <w:sz w:val="21"/>
                <w:szCs w:val="21"/>
              </w:rPr>
            </w:pPr>
            <w:r>
              <w:rPr>
                <w:rFonts w:hint="eastAsia" w:ascii="宋体" w:hAnsi="宋体" w:eastAsia="宋体"/>
                <w:sz w:val="21"/>
                <w:szCs w:val="21"/>
              </w:rPr>
              <w:t>挖矿专项分析</w:t>
            </w:r>
          </w:p>
        </w:tc>
        <w:tc>
          <w:tcPr>
            <w:tcW w:w="3057" w:type="pct"/>
            <w:vAlign w:val="center"/>
          </w:tcPr>
          <w:p w14:paraId="142682B2">
            <w:pPr>
              <w:rPr>
                <w:rFonts w:ascii="宋体" w:hAnsi="宋体" w:eastAsia="宋体"/>
                <w:sz w:val="21"/>
                <w:szCs w:val="21"/>
              </w:rPr>
            </w:pPr>
            <w:r>
              <w:rPr>
                <w:rFonts w:hint="eastAsia" w:ascii="宋体" w:hAnsi="宋体" w:eastAsia="宋体"/>
                <w:sz w:val="21"/>
                <w:szCs w:val="21"/>
              </w:rPr>
              <w:t>支持识别24+币种。币种类型包括：比特币、比特现金、以太坊、以太经典、莱特币、CKB、渡鸦币、大零币、ZEN、KDA、HNS、德信币、达世币、云储币、尔格币、CFX、MEER、小零币、极特币、XVG、CHI、STC、门罗币、TON等，挖矿病毒威胁情报数不低于98000。</w:t>
            </w:r>
          </w:p>
        </w:tc>
      </w:tr>
      <w:tr w14:paraId="6924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407" w:type="pct"/>
            <w:vAlign w:val="center"/>
          </w:tcPr>
          <w:p w14:paraId="649E2FD8">
            <w:pPr>
              <w:rPr>
                <w:rFonts w:hint="default" w:ascii="宋体" w:hAnsi="宋体" w:eastAsia="宋体"/>
                <w:sz w:val="21"/>
                <w:szCs w:val="21"/>
                <w:lang w:val="en-US" w:eastAsia="zh-CN"/>
              </w:rPr>
            </w:pPr>
            <w:r>
              <w:rPr>
                <w:rFonts w:hint="eastAsia" w:ascii="宋体" w:hAnsi="宋体" w:eastAsia="宋体"/>
                <w:sz w:val="21"/>
                <w:szCs w:val="21"/>
                <w:lang w:val="en-US" w:eastAsia="zh-CN"/>
              </w:rPr>
              <w:t>25</w:t>
            </w:r>
          </w:p>
        </w:tc>
        <w:tc>
          <w:tcPr>
            <w:tcW w:w="1010" w:type="pct"/>
            <w:vMerge w:val="continue"/>
            <w:vAlign w:val="center"/>
          </w:tcPr>
          <w:p w14:paraId="09E95A11">
            <w:pPr>
              <w:rPr>
                <w:rFonts w:ascii="宋体" w:hAnsi="宋体" w:eastAsia="宋体"/>
                <w:sz w:val="21"/>
                <w:szCs w:val="21"/>
              </w:rPr>
            </w:pPr>
          </w:p>
        </w:tc>
        <w:tc>
          <w:tcPr>
            <w:tcW w:w="524" w:type="pct"/>
            <w:vAlign w:val="center"/>
          </w:tcPr>
          <w:p w14:paraId="5312EB89">
            <w:pPr>
              <w:rPr>
                <w:rFonts w:ascii="宋体" w:hAnsi="宋体" w:eastAsia="宋体"/>
                <w:sz w:val="21"/>
                <w:szCs w:val="21"/>
              </w:rPr>
            </w:pPr>
            <w:r>
              <w:rPr>
                <w:rFonts w:hint="eastAsia" w:ascii="宋体" w:hAnsi="宋体" w:eastAsia="宋体"/>
                <w:sz w:val="21"/>
                <w:szCs w:val="21"/>
              </w:rPr>
              <w:t>安全专项分析</w:t>
            </w:r>
          </w:p>
        </w:tc>
        <w:tc>
          <w:tcPr>
            <w:tcW w:w="3057" w:type="pct"/>
            <w:vAlign w:val="center"/>
          </w:tcPr>
          <w:p w14:paraId="744B778E">
            <w:pPr>
              <w:rPr>
                <w:rFonts w:ascii="宋体" w:hAnsi="宋体" w:eastAsia="宋体"/>
                <w:sz w:val="21"/>
                <w:szCs w:val="21"/>
              </w:rPr>
            </w:pPr>
            <w:r>
              <w:rPr>
                <w:rFonts w:hint="eastAsia" w:ascii="宋体" w:hAnsi="宋体" w:eastAsia="宋体"/>
                <w:sz w:val="21"/>
                <w:szCs w:val="21"/>
              </w:rPr>
              <w:t>支持以单独威胁情报、应用安全、系统安全和设备安全专项分析页面。其中应用安全具备web安全、数据库安全、中间件安全和邮件安全分析纬度；系统安全具备暴力破解、弱口令和未授权访问分析纬度。</w:t>
            </w:r>
          </w:p>
        </w:tc>
      </w:tr>
      <w:tr w14:paraId="5A65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407" w:type="pct"/>
            <w:vAlign w:val="center"/>
          </w:tcPr>
          <w:p w14:paraId="5E6353A9">
            <w:pPr>
              <w:rPr>
                <w:rFonts w:hint="default" w:ascii="宋体" w:hAnsi="宋体" w:eastAsia="宋体"/>
                <w:sz w:val="21"/>
                <w:szCs w:val="21"/>
                <w:lang w:val="en-US" w:eastAsia="zh-CN"/>
              </w:rPr>
            </w:pPr>
            <w:r>
              <w:rPr>
                <w:rFonts w:hint="eastAsia" w:ascii="宋体" w:hAnsi="宋体" w:eastAsia="宋体"/>
                <w:sz w:val="21"/>
                <w:szCs w:val="21"/>
                <w:lang w:val="en-US" w:eastAsia="zh-CN"/>
              </w:rPr>
              <w:t>26</w:t>
            </w:r>
          </w:p>
        </w:tc>
        <w:tc>
          <w:tcPr>
            <w:tcW w:w="1010" w:type="pct"/>
            <w:vMerge w:val="continue"/>
            <w:vAlign w:val="center"/>
          </w:tcPr>
          <w:p w14:paraId="57465EAC">
            <w:pPr>
              <w:rPr>
                <w:rFonts w:ascii="宋体" w:hAnsi="宋体" w:eastAsia="宋体"/>
                <w:sz w:val="21"/>
                <w:szCs w:val="21"/>
              </w:rPr>
            </w:pPr>
          </w:p>
        </w:tc>
        <w:tc>
          <w:tcPr>
            <w:tcW w:w="524" w:type="pct"/>
            <w:vAlign w:val="center"/>
          </w:tcPr>
          <w:p w14:paraId="390C5271">
            <w:pPr>
              <w:rPr>
                <w:rFonts w:ascii="宋体" w:hAnsi="宋体" w:eastAsia="宋体"/>
                <w:sz w:val="21"/>
                <w:szCs w:val="21"/>
              </w:rPr>
            </w:pPr>
            <w:r>
              <w:rPr>
                <w:rFonts w:hint="eastAsia" w:ascii="宋体" w:hAnsi="宋体" w:eastAsia="宋体"/>
                <w:sz w:val="21"/>
                <w:szCs w:val="21"/>
              </w:rPr>
              <w:t>攻击者视角专项分析</w:t>
            </w:r>
          </w:p>
        </w:tc>
        <w:tc>
          <w:tcPr>
            <w:tcW w:w="3057" w:type="pct"/>
            <w:vAlign w:val="center"/>
          </w:tcPr>
          <w:p w14:paraId="585C5F16">
            <w:pPr>
              <w:rPr>
                <w:rFonts w:ascii="宋体" w:hAnsi="宋体" w:eastAsia="宋体"/>
                <w:sz w:val="21"/>
                <w:szCs w:val="21"/>
              </w:rPr>
            </w:pPr>
            <w:r>
              <w:rPr>
                <w:rFonts w:hint="eastAsia" w:ascii="宋体" w:hAnsi="宋体" w:eastAsia="宋体"/>
                <w:sz w:val="21"/>
                <w:szCs w:val="21"/>
              </w:rPr>
              <w:t>支持基于APT组织情报及IP地理信息检测发现攻击者所属组织、归属国家及地域等信息，基于规则检测发现攻击者所用到的全部攻击手段，用于对攻击者进行画像分析。并展示：攻击IP，攻击IP归属地，受害IP，攻击类型，资产组，最近攻击时间，攻击次数。</w:t>
            </w:r>
          </w:p>
        </w:tc>
      </w:tr>
      <w:tr w14:paraId="3DD2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07" w:type="pct"/>
            <w:vAlign w:val="center"/>
          </w:tcPr>
          <w:p w14:paraId="15FFCBD2">
            <w:pPr>
              <w:rPr>
                <w:rFonts w:hint="default" w:ascii="宋体" w:hAnsi="宋体" w:eastAsia="宋体"/>
                <w:sz w:val="21"/>
                <w:szCs w:val="21"/>
                <w:lang w:val="en-US" w:eastAsia="zh-CN"/>
              </w:rPr>
            </w:pPr>
            <w:r>
              <w:rPr>
                <w:rFonts w:hint="eastAsia" w:ascii="宋体" w:hAnsi="宋体" w:eastAsia="宋体"/>
                <w:sz w:val="21"/>
                <w:szCs w:val="21"/>
                <w:lang w:val="en-US" w:eastAsia="zh-CN"/>
              </w:rPr>
              <w:t>27</w:t>
            </w:r>
          </w:p>
        </w:tc>
        <w:tc>
          <w:tcPr>
            <w:tcW w:w="1010" w:type="pct"/>
            <w:vMerge w:val="restart"/>
            <w:vAlign w:val="center"/>
          </w:tcPr>
          <w:p w14:paraId="0FF13723">
            <w:pPr>
              <w:rPr>
                <w:rFonts w:ascii="宋体" w:hAnsi="宋体" w:eastAsia="宋体"/>
                <w:sz w:val="21"/>
                <w:szCs w:val="21"/>
              </w:rPr>
            </w:pPr>
            <w:r>
              <w:rPr>
                <w:rFonts w:hint="eastAsia" w:ascii="宋体" w:hAnsi="宋体" w:eastAsia="宋体"/>
                <w:sz w:val="21"/>
                <w:szCs w:val="21"/>
              </w:rPr>
              <w:t>威胁溯源</w:t>
            </w:r>
          </w:p>
        </w:tc>
        <w:tc>
          <w:tcPr>
            <w:tcW w:w="524" w:type="pct"/>
            <w:vAlign w:val="center"/>
          </w:tcPr>
          <w:p w14:paraId="711EDBD3">
            <w:pPr>
              <w:rPr>
                <w:rFonts w:ascii="宋体" w:hAnsi="宋体" w:eastAsia="宋体"/>
                <w:sz w:val="21"/>
                <w:szCs w:val="21"/>
              </w:rPr>
            </w:pPr>
            <w:r>
              <w:rPr>
                <w:rFonts w:hint="eastAsia" w:ascii="宋体" w:hAnsi="宋体" w:eastAsia="宋体"/>
                <w:sz w:val="21"/>
                <w:szCs w:val="21"/>
              </w:rPr>
              <w:t>行为分析</w:t>
            </w:r>
          </w:p>
        </w:tc>
        <w:tc>
          <w:tcPr>
            <w:tcW w:w="3057" w:type="pct"/>
            <w:vAlign w:val="center"/>
          </w:tcPr>
          <w:p w14:paraId="4B998E18">
            <w:pPr>
              <w:rPr>
                <w:rFonts w:ascii="宋体" w:hAnsi="宋体" w:eastAsia="宋体"/>
                <w:sz w:val="21"/>
                <w:szCs w:val="21"/>
              </w:rPr>
            </w:pPr>
            <w:r>
              <w:rPr>
                <w:rFonts w:hint="eastAsia" w:ascii="宋体" w:hAnsi="宋体" w:eastAsia="宋体"/>
                <w:sz w:val="21"/>
                <w:szCs w:val="21"/>
              </w:rPr>
              <w:t>支持基于网络日志进行专项行为分析，包括：DNS行为，非常规访问，邮件行为，登录行为，WEB行为，数据库行为，访问行为，旁路阻断行为，分析子类不低于27种。</w:t>
            </w:r>
          </w:p>
        </w:tc>
      </w:tr>
      <w:tr w14:paraId="55EF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407" w:type="pct"/>
            <w:vAlign w:val="center"/>
          </w:tcPr>
          <w:p w14:paraId="545FACDD">
            <w:pPr>
              <w:rPr>
                <w:rFonts w:hint="default" w:ascii="宋体" w:hAnsi="宋体" w:eastAsia="宋体"/>
                <w:sz w:val="21"/>
                <w:szCs w:val="21"/>
                <w:lang w:val="en-US" w:eastAsia="zh-CN"/>
              </w:rPr>
            </w:pPr>
            <w:r>
              <w:rPr>
                <w:rFonts w:hint="eastAsia" w:ascii="宋体" w:hAnsi="宋体" w:eastAsia="宋体"/>
                <w:sz w:val="21"/>
                <w:szCs w:val="21"/>
                <w:lang w:val="en-US" w:eastAsia="zh-CN"/>
              </w:rPr>
              <w:t>28</w:t>
            </w:r>
          </w:p>
        </w:tc>
        <w:tc>
          <w:tcPr>
            <w:tcW w:w="1010" w:type="pct"/>
            <w:vMerge w:val="continue"/>
            <w:vAlign w:val="center"/>
          </w:tcPr>
          <w:p w14:paraId="621CDB6B">
            <w:pPr>
              <w:rPr>
                <w:rFonts w:ascii="宋体" w:hAnsi="宋体" w:eastAsia="宋体"/>
                <w:sz w:val="21"/>
                <w:szCs w:val="21"/>
              </w:rPr>
            </w:pPr>
          </w:p>
        </w:tc>
        <w:tc>
          <w:tcPr>
            <w:tcW w:w="524" w:type="pct"/>
            <w:vAlign w:val="center"/>
          </w:tcPr>
          <w:p w14:paraId="2F352AEC">
            <w:pPr>
              <w:rPr>
                <w:rFonts w:ascii="宋体" w:hAnsi="宋体" w:eastAsia="宋体"/>
                <w:sz w:val="21"/>
                <w:szCs w:val="21"/>
              </w:rPr>
            </w:pPr>
            <w:r>
              <w:rPr>
                <w:rFonts w:hint="eastAsia" w:ascii="宋体" w:hAnsi="宋体" w:eastAsia="宋体"/>
                <w:sz w:val="21"/>
                <w:szCs w:val="21"/>
              </w:rPr>
              <w:t xml:space="preserve">日志检索 </w:t>
            </w:r>
          </w:p>
        </w:tc>
        <w:tc>
          <w:tcPr>
            <w:tcW w:w="3057" w:type="pct"/>
            <w:vAlign w:val="center"/>
          </w:tcPr>
          <w:p w14:paraId="4669CFFA">
            <w:pPr>
              <w:rPr>
                <w:rFonts w:ascii="宋体" w:hAnsi="宋体" w:eastAsia="宋体"/>
                <w:sz w:val="21"/>
                <w:szCs w:val="21"/>
              </w:rPr>
            </w:pPr>
            <w:r>
              <w:rPr>
                <w:rFonts w:hint="eastAsia" w:ascii="宋体" w:hAnsi="宋体" w:eastAsia="宋体"/>
                <w:sz w:val="21"/>
                <w:szCs w:val="21"/>
              </w:rPr>
              <w:t>支持基于资产组，时间、IP、端口、协议、上下行负载等多重字段组合对网络流量日志进行检索，日志类型包括：TCP，UDP，web访问，文件传输，域名解析，SSL加密协商，数据库操作，FTP控制通道，邮件行为，登录动作，mq流量，telnet行为，radius行为，kerberos认证;并可基于源IP,源端口，目的IP，目的端口，域名，文件名，文件MD5等字段进行统计分析,同时流量日志中敏感信息（身份证号，银行卡号，手机号等）可加密显示。</w:t>
            </w:r>
          </w:p>
        </w:tc>
      </w:tr>
      <w:tr w14:paraId="4A1A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407" w:type="pct"/>
            <w:vAlign w:val="center"/>
          </w:tcPr>
          <w:p w14:paraId="08329E3D">
            <w:pPr>
              <w:rPr>
                <w:rFonts w:hint="default" w:ascii="宋体" w:hAnsi="宋体" w:eastAsia="宋体"/>
                <w:sz w:val="21"/>
                <w:szCs w:val="21"/>
                <w:lang w:val="en-US" w:eastAsia="zh-CN"/>
              </w:rPr>
            </w:pPr>
            <w:r>
              <w:rPr>
                <w:rFonts w:hint="eastAsia" w:ascii="宋体" w:hAnsi="宋体" w:eastAsia="宋体"/>
                <w:sz w:val="21"/>
                <w:szCs w:val="21"/>
                <w:lang w:val="en-US" w:eastAsia="zh-CN"/>
              </w:rPr>
              <w:t>29</w:t>
            </w:r>
          </w:p>
        </w:tc>
        <w:tc>
          <w:tcPr>
            <w:tcW w:w="1010" w:type="pct"/>
            <w:vMerge w:val="continue"/>
            <w:vAlign w:val="center"/>
          </w:tcPr>
          <w:p w14:paraId="160C7B02">
            <w:pPr>
              <w:rPr>
                <w:rFonts w:ascii="宋体" w:hAnsi="宋体" w:eastAsia="宋体"/>
                <w:sz w:val="21"/>
                <w:szCs w:val="21"/>
              </w:rPr>
            </w:pPr>
          </w:p>
        </w:tc>
        <w:tc>
          <w:tcPr>
            <w:tcW w:w="524" w:type="pct"/>
            <w:vAlign w:val="center"/>
          </w:tcPr>
          <w:p w14:paraId="75ED3C38">
            <w:pPr>
              <w:rPr>
                <w:rFonts w:ascii="宋体" w:hAnsi="宋体" w:eastAsia="宋体"/>
                <w:sz w:val="21"/>
                <w:szCs w:val="21"/>
              </w:rPr>
            </w:pPr>
            <w:r>
              <w:rPr>
                <w:rFonts w:hint="eastAsia" w:ascii="宋体" w:hAnsi="宋体" w:eastAsia="宋体"/>
                <w:sz w:val="21"/>
                <w:szCs w:val="21"/>
              </w:rPr>
              <w:t>可视化检索（专家模式）</w:t>
            </w:r>
          </w:p>
        </w:tc>
        <w:tc>
          <w:tcPr>
            <w:tcW w:w="3057" w:type="pct"/>
            <w:vAlign w:val="center"/>
          </w:tcPr>
          <w:p w14:paraId="722F57BC">
            <w:pPr>
              <w:rPr>
                <w:rFonts w:ascii="宋体" w:hAnsi="宋体" w:eastAsia="宋体"/>
                <w:sz w:val="21"/>
                <w:szCs w:val="21"/>
              </w:rPr>
            </w:pPr>
            <w:r>
              <w:rPr>
                <w:rFonts w:hint="eastAsia" w:ascii="宋体" w:hAnsi="宋体" w:eastAsia="宋体"/>
                <w:sz w:val="21"/>
                <w:szCs w:val="21"/>
              </w:rPr>
              <w:t>支持通过SPL搜索语句对流量日志，告警进行分析，并以可视化呈现，方式包括：柱状图、折线图、条形图、面积图、饼图、词云图、玫瑰图、表格等，并支持把可视化结果自动导入到仪表板中呈现，并可根据报表视图生成报表。</w:t>
            </w:r>
          </w:p>
        </w:tc>
      </w:tr>
      <w:tr w14:paraId="6657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407" w:type="pct"/>
            <w:vAlign w:val="center"/>
          </w:tcPr>
          <w:p w14:paraId="0F805AA5">
            <w:pPr>
              <w:rPr>
                <w:rFonts w:hint="default" w:ascii="宋体" w:hAnsi="宋体" w:eastAsia="宋体"/>
                <w:sz w:val="21"/>
                <w:szCs w:val="21"/>
                <w:lang w:val="en-US" w:eastAsia="zh-CN"/>
              </w:rPr>
            </w:pPr>
            <w:r>
              <w:rPr>
                <w:rFonts w:hint="eastAsia" w:ascii="宋体" w:hAnsi="宋体" w:eastAsia="宋体"/>
                <w:sz w:val="21"/>
                <w:szCs w:val="21"/>
                <w:lang w:val="en-US" w:eastAsia="zh-CN"/>
              </w:rPr>
              <w:t>30</w:t>
            </w:r>
          </w:p>
        </w:tc>
        <w:tc>
          <w:tcPr>
            <w:tcW w:w="1010" w:type="pct"/>
            <w:vMerge w:val="continue"/>
            <w:vAlign w:val="center"/>
          </w:tcPr>
          <w:p w14:paraId="7E2E0688">
            <w:pPr>
              <w:rPr>
                <w:rFonts w:ascii="宋体" w:hAnsi="宋体" w:eastAsia="宋体"/>
                <w:sz w:val="21"/>
                <w:szCs w:val="21"/>
              </w:rPr>
            </w:pPr>
          </w:p>
        </w:tc>
        <w:tc>
          <w:tcPr>
            <w:tcW w:w="524" w:type="pct"/>
            <w:vAlign w:val="center"/>
          </w:tcPr>
          <w:p w14:paraId="1240D04A">
            <w:pPr>
              <w:rPr>
                <w:rFonts w:ascii="宋体" w:hAnsi="宋体" w:eastAsia="宋体"/>
                <w:sz w:val="21"/>
                <w:szCs w:val="21"/>
              </w:rPr>
            </w:pPr>
            <w:r>
              <w:rPr>
                <w:rFonts w:hint="eastAsia" w:ascii="宋体" w:hAnsi="宋体" w:eastAsia="宋体"/>
                <w:sz w:val="21"/>
                <w:szCs w:val="21"/>
              </w:rPr>
              <w:t>威胁狩猎分析</w:t>
            </w:r>
          </w:p>
        </w:tc>
        <w:tc>
          <w:tcPr>
            <w:tcW w:w="3057" w:type="pct"/>
            <w:vAlign w:val="center"/>
          </w:tcPr>
          <w:p w14:paraId="743B967B">
            <w:pPr>
              <w:rPr>
                <w:rFonts w:ascii="宋体" w:hAnsi="宋体" w:eastAsia="宋体"/>
                <w:sz w:val="21"/>
                <w:szCs w:val="21"/>
              </w:rPr>
            </w:pPr>
            <w:r>
              <w:rPr>
                <w:rFonts w:hint="eastAsia" w:ascii="宋体" w:hAnsi="宋体" w:eastAsia="宋体"/>
                <w:sz w:val="21"/>
                <w:szCs w:val="21"/>
              </w:rPr>
              <w:t>支持对任意线索的自定义拓线及溯源取证分析，支持以可视化分析画布形式展示拓线过程并支持结果快照导出;支持对于给定线索的溯源结果展示，包括但不限于攻击溯源、失陷主机分析、暴力破解分析弱口令分析等。</w:t>
            </w:r>
          </w:p>
        </w:tc>
      </w:tr>
      <w:tr w14:paraId="2593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407" w:type="pct"/>
            <w:noWrap/>
            <w:vAlign w:val="center"/>
          </w:tcPr>
          <w:p w14:paraId="575130A5">
            <w:pPr>
              <w:rPr>
                <w:rFonts w:hint="default" w:ascii="宋体" w:hAnsi="宋体" w:eastAsia="宋体"/>
                <w:sz w:val="21"/>
                <w:szCs w:val="21"/>
                <w:lang w:val="en-US" w:eastAsia="zh-CN"/>
              </w:rPr>
            </w:pPr>
            <w:r>
              <w:rPr>
                <w:rFonts w:hint="eastAsia" w:ascii="宋体" w:hAnsi="宋体" w:eastAsia="宋体"/>
                <w:sz w:val="21"/>
                <w:szCs w:val="21"/>
                <w:lang w:val="en-US" w:eastAsia="zh-CN"/>
              </w:rPr>
              <w:t>31</w:t>
            </w:r>
          </w:p>
        </w:tc>
        <w:tc>
          <w:tcPr>
            <w:tcW w:w="1010" w:type="pct"/>
            <w:noWrap/>
            <w:vAlign w:val="center"/>
          </w:tcPr>
          <w:p w14:paraId="19852692">
            <w:pPr>
              <w:rPr>
                <w:rFonts w:ascii="宋体" w:hAnsi="宋体" w:eastAsia="宋体"/>
                <w:sz w:val="21"/>
                <w:szCs w:val="21"/>
              </w:rPr>
            </w:pPr>
            <w:r>
              <w:rPr>
                <w:rFonts w:hint="eastAsia" w:ascii="宋体" w:hAnsi="宋体" w:eastAsia="宋体"/>
                <w:sz w:val="21"/>
                <w:szCs w:val="21"/>
              </w:rPr>
              <w:t>可视化大屏</w:t>
            </w:r>
          </w:p>
        </w:tc>
        <w:tc>
          <w:tcPr>
            <w:tcW w:w="524" w:type="pct"/>
            <w:noWrap/>
            <w:vAlign w:val="center"/>
          </w:tcPr>
          <w:p w14:paraId="3B9568A8">
            <w:pPr>
              <w:rPr>
                <w:rFonts w:ascii="宋体" w:hAnsi="宋体" w:eastAsia="宋体"/>
                <w:sz w:val="21"/>
                <w:szCs w:val="21"/>
              </w:rPr>
            </w:pPr>
            <w:r>
              <w:rPr>
                <w:rFonts w:hint="eastAsia" w:ascii="宋体" w:hAnsi="宋体" w:eastAsia="宋体"/>
                <w:sz w:val="21"/>
                <w:szCs w:val="21"/>
              </w:rPr>
              <w:t>态感大屏</w:t>
            </w:r>
          </w:p>
        </w:tc>
        <w:tc>
          <w:tcPr>
            <w:tcW w:w="3057" w:type="pct"/>
            <w:vAlign w:val="center"/>
          </w:tcPr>
          <w:p w14:paraId="78CB2235">
            <w:pPr>
              <w:rPr>
                <w:rFonts w:ascii="宋体" w:hAnsi="宋体" w:eastAsia="宋体"/>
                <w:sz w:val="21"/>
                <w:szCs w:val="21"/>
              </w:rPr>
            </w:pPr>
            <w:r>
              <w:rPr>
                <w:rFonts w:hint="eastAsia" w:ascii="宋体" w:hAnsi="宋体" w:eastAsia="宋体"/>
                <w:sz w:val="21"/>
                <w:szCs w:val="21"/>
              </w:rPr>
              <w:t>支持不少于11个不同维度的可视化大屏态势分析，包括：综合态势，挖矿态势，威胁事件态势，资产态势，外部访问态势，横向访问态势， 外联访问态势，脆弱性态势，文件威胁态势，邮件威胁态势，威胁感知态势。支持以客户端形式3D可视化效果呈现威胁态势；</w:t>
            </w:r>
          </w:p>
        </w:tc>
      </w:tr>
      <w:tr w14:paraId="551D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7" w:type="pct"/>
            <w:noWrap/>
            <w:vAlign w:val="center"/>
          </w:tcPr>
          <w:p w14:paraId="52DA97D4">
            <w:pPr>
              <w:rPr>
                <w:rFonts w:hint="default" w:ascii="宋体" w:hAnsi="宋体" w:eastAsia="宋体"/>
                <w:sz w:val="21"/>
                <w:szCs w:val="21"/>
                <w:lang w:val="en-US" w:eastAsia="zh-CN"/>
              </w:rPr>
            </w:pPr>
            <w:r>
              <w:rPr>
                <w:rFonts w:hint="eastAsia" w:ascii="宋体" w:hAnsi="宋体" w:eastAsia="宋体"/>
                <w:sz w:val="21"/>
                <w:szCs w:val="21"/>
                <w:lang w:val="en-US" w:eastAsia="zh-CN"/>
              </w:rPr>
              <w:t>32</w:t>
            </w:r>
          </w:p>
        </w:tc>
        <w:tc>
          <w:tcPr>
            <w:tcW w:w="1010" w:type="pct"/>
            <w:noWrap/>
            <w:vAlign w:val="center"/>
          </w:tcPr>
          <w:p w14:paraId="7D3D929C">
            <w:pPr>
              <w:rPr>
                <w:rFonts w:ascii="宋体" w:hAnsi="宋体" w:eastAsia="宋体"/>
                <w:sz w:val="21"/>
                <w:szCs w:val="21"/>
              </w:rPr>
            </w:pPr>
            <w:r>
              <w:rPr>
                <w:rFonts w:hint="eastAsia" w:ascii="宋体" w:hAnsi="宋体" w:eastAsia="宋体"/>
                <w:sz w:val="21"/>
                <w:szCs w:val="21"/>
              </w:rPr>
              <w:t>重保模式</w:t>
            </w:r>
          </w:p>
        </w:tc>
        <w:tc>
          <w:tcPr>
            <w:tcW w:w="524" w:type="pct"/>
            <w:noWrap/>
            <w:vAlign w:val="center"/>
          </w:tcPr>
          <w:p w14:paraId="13B2D437">
            <w:pPr>
              <w:rPr>
                <w:rFonts w:ascii="宋体" w:hAnsi="宋体" w:eastAsia="宋体"/>
                <w:sz w:val="21"/>
                <w:szCs w:val="21"/>
              </w:rPr>
            </w:pPr>
            <w:r>
              <w:rPr>
                <w:rFonts w:hint="eastAsia" w:ascii="宋体" w:hAnsi="宋体" w:eastAsia="宋体"/>
                <w:sz w:val="21"/>
                <w:szCs w:val="21"/>
              </w:rPr>
              <w:t>重保任务</w:t>
            </w:r>
          </w:p>
        </w:tc>
        <w:tc>
          <w:tcPr>
            <w:tcW w:w="3057" w:type="pct"/>
            <w:vAlign w:val="center"/>
          </w:tcPr>
          <w:p w14:paraId="195EB980">
            <w:pPr>
              <w:rPr>
                <w:rFonts w:ascii="宋体" w:hAnsi="宋体" w:eastAsia="宋体"/>
                <w:sz w:val="21"/>
                <w:szCs w:val="21"/>
              </w:rPr>
            </w:pPr>
            <w:r>
              <w:rPr>
                <w:rFonts w:hint="eastAsia" w:ascii="宋体" w:hAnsi="宋体" w:eastAsia="宋体"/>
                <w:sz w:val="21"/>
                <w:szCs w:val="21"/>
              </w:rPr>
              <w:t>支持在重保期间进行专项分析呈现，阶段分为初始化阶段，备战阶段，实战阶段，战后阶段。</w:t>
            </w:r>
          </w:p>
        </w:tc>
      </w:tr>
      <w:tr w14:paraId="3A87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7" w:type="pct"/>
            <w:noWrap/>
            <w:vAlign w:val="center"/>
          </w:tcPr>
          <w:p w14:paraId="36732809">
            <w:pPr>
              <w:rPr>
                <w:rFonts w:hint="default" w:ascii="宋体" w:hAnsi="宋体" w:eastAsia="宋体"/>
                <w:sz w:val="21"/>
                <w:szCs w:val="21"/>
                <w:lang w:val="en-US" w:eastAsia="zh-CN"/>
              </w:rPr>
            </w:pPr>
            <w:r>
              <w:rPr>
                <w:rFonts w:hint="eastAsia" w:ascii="宋体" w:hAnsi="宋体" w:eastAsia="宋体"/>
                <w:sz w:val="21"/>
                <w:szCs w:val="21"/>
                <w:lang w:val="en-US" w:eastAsia="zh-CN"/>
              </w:rPr>
              <w:t>33</w:t>
            </w:r>
          </w:p>
        </w:tc>
        <w:tc>
          <w:tcPr>
            <w:tcW w:w="1010" w:type="pct"/>
            <w:vMerge w:val="restart"/>
            <w:noWrap/>
            <w:vAlign w:val="center"/>
          </w:tcPr>
          <w:p w14:paraId="1B3C05C0">
            <w:pPr>
              <w:rPr>
                <w:rFonts w:hint="eastAsia" w:ascii="宋体" w:hAnsi="宋体" w:eastAsia="宋体"/>
                <w:sz w:val="21"/>
                <w:szCs w:val="21"/>
              </w:rPr>
            </w:pPr>
            <w:r>
              <w:rPr>
                <w:rFonts w:hint="eastAsia" w:ascii="宋体" w:hAnsi="宋体" w:eastAsia="宋体"/>
                <w:sz w:val="21"/>
                <w:szCs w:val="21"/>
              </w:rPr>
              <w:t>资质证书</w:t>
            </w:r>
          </w:p>
        </w:tc>
        <w:tc>
          <w:tcPr>
            <w:tcW w:w="524" w:type="pct"/>
            <w:vMerge w:val="restart"/>
            <w:noWrap/>
            <w:vAlign w:val="center"/>
          </w:tcPr>
          <w:p w14:paraId="3DEB2108">
            <w:pPr>
              <w:rPr>
                <w:rFonts w:hint="eastAsia" w:ascii="宋体" w:hAnsi="宋体" w:eastAsia="宋体"/>
                <w:sz w:val="21"/>
                <w:szCs w:val="21"/>
              </w:rPr>
            </w:pPr>
            <w:r>
              <w:rPr>
                <w:rFonts w:hint="eastAsia" w:ascii="宋体" w:hAnsi="宋体" w:eastAsia="宋体"/>
                <w:sz w:val="21"/>
                <w:szCs w:val="21"/>
              </w:rPr>
              <w:t>产品资质证书</w:t>
            </w:r>
          </w:p>
        </w:tc>
        <w:tc>
          <w:tcPr>
            <w:tcW w:w="3057" w:type="pct"/>
            <w:vAlign w:val="center"/>
          </w:tcPr>
          <w:p w14:paraId="45580652">
            <w:pPr>
              <w:rPr>
                <w:rFonts w:hint="eastAsia" w:ascii="宋体" w:hAnsi="宋体" w:eastAsia="宋体"/>
                <w:sz w:val="21"/>
                <w:szCs w:val="21"/>
              </w:rPr>
            </w:pPr>
            <w:r>
              <w:rPr>
                <w:rFonts w:hint="eastAsia" w:ascii="宋体" w:hAnsi="宋体" w:eastAsia="宋体"/>
                <w:sz w:val="21"/>
                <w:szCs w:val="21"/>
              </w:rPr>
              <w:t>国家信息安全测评信息技术产品安全测评证书（</w:t>
            </w:r>
            <w:r>
              <w:rPr>
                <w:rFonts w:ascii="宋体" w:hAnsi="宋体" w:eastAsia="宋体"/>
                <w:sz w:val="21"/>
                <w:szCs w:val="21"/>
              </w:rPr>
              <w:t>EAL</w:t>
            </w:r>
            <w:r>
              <w:rPr>
                <w:rFonts w:hint="eastAsia" w:ascii="宋体" w:hAnsi="宋体" w:eastAsia="宋体"/>
                <w:sz w:val="21"/>
                <w:szCs w:val="21"/>
              </w:rPr>
              <w:t>3+</w:t>
            </w:r>
            <w:r>
              <w:rPr>
                <w:rFonts w:ascii="宋体" w:hAnsi="宋体" w:eastAsia="宋体"/>
                <w:sz w:val="21"/>
                <w:szCs w:val="21"/>
              </w:rPr>
              <w:t>）</w:t>
            </w:r>
          </w:p>
        </w:tc>
      </w:tr>
      <w:tr w14:paraId="10A8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7" w:type="pct"/>
            <w:noWrap/>
            <w:vAlign w:val="center"/>
          </w:tcPr>
          <w:p w14:paraId="381EC18D">
            <w:pPr>
              <w:rPr>
                <w:rFonts w:hint="default" w:ascii="宋体" w:hAnsi="宋体" w:eastAsia="宋体"/>
                <w:sz w:val="21"/>
                <w:szCs w:val="21"/>
                <w:lang w:val="en-US" w:eastAsia="zh-CN"/>
              </w:rPr>
            </w:pPr>
            <w:r>
              <w:rPr>
                <w:rFonts w:hint="eastAsia" w:ascii="宋体" w:hAnsi="宋体" w:eastAsia="宋体"/>
                <w:sz w:val="21"/>
                <w:szCs w:val="21"/>
                <w:lang w:val="en-US" w:eastAsia="zh-CN"/>
              </w:rPr>
              <w:t>34</w:t>
            </w:r>
          </w:p>
        </w:tc>
        <w:tc>
          <w:tcPr>
            <w:tcW w:w="1010" w:type="pct"/>
            <w:vMerge w:val="continue"/>
            <w:noWrap/>
            <w:vAlign w:val="center"/>
          </w:tcPr>
          <w:p w14:paraId="27789EA3">
            <w:pPr>
              <w:rPr>
                <w:rFonts w:hint="eastAsia" w:ascii="宋体" w:hAnsi="宋体" w:eastAsia="宋体"/>
                <w:sz w:val="21"/>
                <w:szCs w:val="21"/>
              </w:rPr>
            </w:pPr>
          </w:p>
        </w:tc>
        <w:tc>
          <w:tcPr>
            <w:tcW w:w="524" w:type="pct"/>
            <w:vMerge w:val="continue"/>
            <w:noWrap/>
            <w:vAlign w:val="center"/>
          </w:tcPr>
          <w:p w14:paraId="62667FF8">
            <w:pPr>
              <w:rPr>
                <w:rFonts w:hint="eastAsia" w:ascii="宋体" w:hAnsi="宋体" w:eastAsia="宋体"/>
                <w:sz w:val="21"/>
                <w:szCs w:val="21"/>
              </w:rPr>
            </w:pPr>
          </w:p>
        </w:tc>
        <w:tc>
          <w:tcPr>
            <w:tcW w:w="3057" w:type="pct"/>
            <w:vAlign w:val="center"/>
          </w:tcPr>
          <w:p w14:paraId="37CE8136">
            <w:pPr>
              <w:rPr>
                <w:rFonts w:hint="eastAsia" w:ascii="宋体" w:hAnsi="宋体" w:eastAsia="宋体"/>
                <w:sz w:val="21"/>
                <w:szCs w:val="21"/>
              </w:rPr>
            </w:pPr>
            <w:r>
              <w:rPr>
                <w:rFonts w:ascii="宋体" w:hAnsi="宋体" w:eastAsia="宋体"/>
                <w:sz w:val="21"/>
                <w:szCs w:val="21"/>
              </w:rPr>
              <w:t>IT产品信息安全认证证书</w:t>
            </w:r>
          </w:p>
        </w:tc>
      </w:tr>
      <w:tr w14:paraId="4841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7" w:type="pct"/>
            <w:noWrap/>
            <w:vAlign w:val="center"/>
          </w:tcPr>
          <w:p w14:paraId="42CCE642">
            <w:pPr>
              <w:rPr>
                <w:rFonts w:hint="default" w:ascii="宋体" w:hAnsi="宋体" w:eastAsia="宋体"/>
                <w:sz w:val="21"/>
                <w:szCs w:val="21"/>
                <w:lang w:val="en-US" w:eastAsia="zh-CN"/>
              </w:rPr>
            </w:pPr>
            <w:r>
              <w:rPr>
                <w:rFonts w:hint="eastAsia" w:ascii="宋体" w:hAnsi="宋体" w:eastAsia="宋体"/>
                <w:sz w:val="21"/>
                <w:szCs w:val="21"/>
                <w:lang w:val="en-US" w:eastAsia="zh-CN"/>
              </w:rPr>
              <w:t>35</w:t>
            </w:r>
          </w:p>
        </w:tc>
        <w:tc>
          <w:tcPr>
            <w:tcW w:w="1010" w:type="pct"/>
            <w:vMerge w:val="continue"/>
            <w:noWrap/>
            <w:vAlign w:val="center"/>
          </w:tcPr>
          <w:p w14:paraId="38C4517B">
            <w:pPr>
              <w:rPr>
                <w:rFonts w:hint="eastAsia" w:ascii="宋体" w:hAnsi="宋体" w:eastAsia="宋体"/>
                <w:sz w:val="21"/>
                <w:szCs w:val="21"/>
              </w:rPr>
            </w:pPr>
          </w:p>
        </w:tc>
        <w:tc>
          <w:tcPr>
            <w:tcW w:w="524" w:type="pct"/>
            <w:vMerge w:val="restart"/>
            <w:noWrap/>
            <w:vAlign w:val="center"/>
          </w:tcPr>
          <w:p w14:paraId="1A5D7330">
            <w:pPr>
              <w:rPr>
                <w:rFonts w:hint="eastAsia" w:ascii="宋体" w:hAnsi="宋体" w:eastAsia="宋体"/>
                <w:sz w:val="21"/>
                <w:szCs w:val="21"/>
              </w:rPr>
            </w:pPr>
            <w:r>
              <w:rPr>
                <w:rFonts w:hint="eastAsia" w:ascii="宋体" w:hAnsi="宋体" w:eastAsia="宋体"/>
                <w:sz w:val="21"/>
                <w:szCs w:val="21"/>
              </w:rPr>
              <w:t>厂商资质证书</w:t>
            </w:r>
          </w:p>
        </w:tc>
        <w:tc>
          <w:tcPr>
            <w:tcW w:w="3057" w:type="pct"/>
            <w:vAlign w:val="center"/>
          </w:tcPr>
          <w:p w14:paraId="3DC318A7">
            <w:pPr>
              <w:rPr>
                <w:rFonts w:ascii="宋体" w:hAnsi="宋体" w:eastAsia="宋体"/>
                <w:sz w:val="21"/>
                <w:szCs w:val="21"/>
              </w:rPr>
            </w:pPr>
            <w:r>
              <w:rPr>
                <w:rFonts w:ascii="宋体" w:hAnsi="宋体" w:eastAsia="宋体"/>
                <w:sz w:val="21"/>
                <w:szCs w:val="21"/>
              </w:rPr>
              <w:t>CNNVD技术支撑单位</w:t>
            </w:r>
            <w:r>
              <w:rPr>
                <w:rFonts w:hint="eastAsia" w:ascii="宋体" w:hAnsi="宋体" w:eastAsia="宋体"/>
                <w:sz w:val="21"/>
                <w:szCs w:val="21"/>
              </w:rPr>
              <w:t>(核心</w:t>
            </w:r>
            <w:r>
              <w:rPr>
                <w:rFonts w:ascii="宋体" w:hAnsi="宋体" w:eastAsia="宋体"/>
                <w:sz w:val="21"/>
                <w:szCs w:val="21"/>
              </w:rPr>
              <w:t>)</w:t>
            </w:r>
          </w:p>
        </w:tc>
      </w:tr>
      <w:tr w14:paraId="076C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7" w:type="pct"/>
            <w:noWrap/>
            <w:vAlign w:val="center"/>
          </w:tcPr>
          <w:p w14:paraId="1DE473F4">
            <w:pPr>
              <w:rPr>
                <w:rFonts w:hint="default" w:ascii="宋体" w:hAnsi="宋体" w:eastAsia="宋体"/>
                <w:sz w:val="21"/>
                <w:szCs w:val="21"/>
                <w:lang w:val="en-US" w:eastAsia="zh-CN"/>
              </w:rPr>
            </w:pPr>
            <w:r>
              <w:rPr>
                <w:rFonts w:hint="eastAsia" w:ascii="宋体" w:hAnsi="宋体" w:eastAsia="宋体"/>
                <w:sz w:val="21"/>
                <w:szCs w:val="21"/>
                <w:lang w:val="en-US" w:eastAsia="zh-CN"/>
              </w:rPr>
              <w:t>36</w:t>
            </w:r>
          </w:p>
        </w:tc>
        <w:tc>
          <w:tcPr>
            <w:tcW w:w="1010" w:type="pct"/>
            <w:vMerge w:val="continue"/>
            <w:noWrap/>
            <w:vAlign w:val="center"/>
          </w:tcPr>
          <w:p w14:paraId="0B80905C">
            <w:pPr>
              <w:rPr>
                <w:rFonts w:hint="eastAsia" w:ascii="宋体" w:hAnsi="宋体" w:eastAsia="宋体"/>
                <w:sz w:val="21"/>
                <w:szCs w:val="21"/>
              </w:rPr>
            </w:pPr>
          </w:p>
        </w:tc>
        <w:tc>
          <w:tcPr>
            <w:tcW w:w="524" w:type="pct"/>
            <w:vMerge w:val="continue"/>
            <w:noWrap/>
            <w:vAlign w:val="center"/>
          </w:tcPr>
          <w:p w14:paraId="63E02701">
            <w:pPr>
              <w:rPr>
                <w:rFonts w:hint="eastAsia" w:ascii="宋体" w:hAnsi="宋体" w:eastAsia="宋体"/>
                <w:sz w:val="21"/>
                <w:szCs w:val="21"/>
              </w:rPr>
            </w:pPr>
          </w:p>
        </w:tc>
        <w:tc>
          <w:tcPr>
            <w:tcW w:w="3057" w:type="pct"/>
            <w:vAlign w:val="center"/>
          </w:tcPr>
          <w:p w14:paraId="0B539A55">
            <w:pPr>
              <w:rPr>
                <w:rFonts w:ascii="宋体" w:hAnsi="宋体" w:eastAsia="宋体"/>
                <w:sz w:val="21"/>
                <w:szCs w:val="21"/>
              </w:rPr>
            </w:pPr>
            <w:r>
              <w:rPr>
                <w:rFonts w:hint="eastAsia" w:ascii="宋体" w:hAnsi="宋体" w:eastAsia="宋体"/>
                <w:sz w:val="21"/>
                <w:szCs w:val="21"/>
              </w:rPr>
              <w:t>信息通信行业企业信用等级评价</w:t>
            </w:r>
            <w:r>
              <w:rPr>
                <w:rFonts w:ascii="宋体" w:hAnsi="宋体" w:eastAsia="宋体"/>
                <w:sz w:val="21"/>
                <w:szCs w:val="21"/>
              </w:rPr>
              <w:t>--运维服务领域</w:t>
            </w:r>
            <w:r>
              <w:rPr>
                <w:rFonts w:hint="eastAsia" w:ascii="宋体" w:hAnsi="宋体" w:eastAsia="宋体"/>
                <w:sz w:val="21"/>
                <w:szCs w:val="21"/>
              </w:rPr>
              <w:t>(</w:t>
            </w:r>
            <w:r>
              <w:rPr>
                <w:rFonts w:ascii="宋体" w:hAnsi="宋体" w:eastAsia="宋体"/>
                <w:sz w:val="21"/>
                <w:szCs w:val="21"/>
              </w:rPr>
              <w:t>AAA)</w:t>
            </w:r>
          </w:p>
        </w:tc>
      </w:tr>
      <w:tr w14:paraId="47A9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7" w:type="pct"/>
            <w:noWrap/>
            <w:vAlign w:val="center"/>
          </w:tcPr>
          <w:p w14:paraId="3FE3274E">
            <w:pPr>
              <w:rPr>
                <w:rFonts w:hint="default" w:ascii="宋体" w:hAnsi="宋体" w:eastAsia="宋体"/>
                <w:sz w:val="21"/>
                <w:szCs w:val="21"/>
                <w:lang w:val="en-US" w:eastAsia="zh-CN"/>
              </w:rPr>
            </w:pPr>
            <w:r>
              <w:rPr>
                <w:rFonts w:hint="eastAsia" w:ascii="宋体" w:hAnsi="宋体" w:eastAsia="宋体"/>
                <w:sz w:val="21"/>
                <w:szCs w:val="21"/>
                <w:lang w:val="en-US" w:eastAsia="zh-CN"/>
              </w:rPr>
              <w:t>37</w:t>
            </w:r>
          </w:p>
        </w:tc>
        <w:tc>
          <w:tcPr>
            <w:tcW w:w="1010" w:type="pct"/>
            <w:vMerge w:val="continue"/>
            <w:noWrap/>
            <w:vAlign w:val="center"/>
          </w:tcPr>
          <w:p w14:paraId="52D3E52E">
            <w:pPr>
              <w:rPr>
                <w:rFonts w:hint="eastAsia" w:ascii="宋体" w:hAnsi="宋体" w:eastAsia="宋体"/>
                <w:sz w:val="21"/>
                <w:szCs w:val="21"/>
              </w:rPr>
            </w:pPr>
          </w:p>
        </w:tc>
        <w:tc>
          <w:tcPr>
            <w:tcW w:w="524" w:type="pct"/>
            <w:vMerge w:val="continue"/>
            <w:noWrap/>
            <w:vAlign w:val="center"/>
          </w:tcPr>
          <w:p w14:paraId="3C0A960D">
            <w:pPr>
              <w:rPr>
                <w:rFonts w:hint="eastAsia" w:ascii="宋体" w:hAnsi="宋体" w:eastAsia="宋体"/>
                <w:sz w:val="21"/>
                <w:szCs w:val="21"/>
              </w:rPr>
            </w:pPr>
          </w:p>
        </w:tc>
        <w:tc>
          <w:tcPr>
            <w:tcW w:w="3057" w:type="pct"/>
            <w:vAlign w:val="center"/>
          </w:tcPr>
          <w:p w14:paraId="7519AF5E">
            <w:pPr>
              <w:rPr>
                <w:rFonts w:hint="eastAsia" w:ascii="宋体" w:hAnsi="宋体" w:eastAsia="宋体"/>
                <w:sz w:val="21"/>
                <w:szCs w:val="21"/>
              </w:rPr>
            </w:pPr>
            <w:r>
              <w:rPr>
                <w:rFonts w:ascii="宋体" w:hAnsi="宋体" w:eastAsia="宋体"/>
                <w:sz w:val="21"/>
                <w:szCs w:val="21"/>
              </w:rPr>
              <w:t>CIC信息化建设及数字化能力评价证书</w:t>
            </w:r>
            <w:r>
              <w:rPr>
                <w:rFonts w:hint="eastAsia" w:ascii="宋体" w:hAnsi="宋体" w:eastAsia="宋体"/>
                <w:sz w:val="21"/>
                <w:szCs w:val="21"/>
              </w:rPr>
              <w:t>（一级）</w:t>
            </w:r>
          </w:p>
        </w:tc>
      </w:tr>
      <w:tr w14:paraId="7D59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7" w:type="pct"/>
            <w:noWrap/>
            <w:vAlign w:val="center"/>
          </w:tcPr>
          <w:p w14:paraId="33727463">
            <w:pPr>
              <w:rPr>
                <w:rFonts w:hint="default" w:ascii="宋体" w:hAnsi="宋体" w:eastAsia="宋体"/>
                <w:sz w:val="21"/>
                <w:szCs w:val="21"/>
                <w:lang w:val="en-US" w:eastAsia="zh-CN"/>
              </w:rPr>
            </w:pPr>
            <w:r>
              <w:rPr>
                <w:rFonts w:hint="eastAsia" w:ascii="宋体" w:hAnsi="宋体" w:eastAsia="宋体"/>
                <w:sz w:val="21"/>
                <w:szCs w:val="21"/>
                <w:lang w:val="en-US" w:eastAsia="zh-CN"/>
              </w:rPr>
              <w:t>38</w:t>
            </w:r>
          </w:p>
        </w:tc>
        <w:tc>
          <w:tcPr>
            <w:tcW w:w="1010" w:type="pct"/>
            <w:vMerge w:val="continue"/>
            <w:noWrap/>
            <w:vAlign w:val="center"/>
          </w:tcPr>
          <w:p w14:paraId="374675B0">
            <w:pPr>
              <w:rPr>
                <w:rFonts w:hint="eastAsia" w:ascii="宋体" w:hAnsi="宋体" w:eastAsia="宋体"/>
                <w:sz w:val="21"/>
                <w:szCs w:val="21"/>
              </w:rPr>
            </w:pPr>
          </w:p>
        </w:tc>
        <w:tc>
          <w:tcPr>
            <w:tcW w:w="524" w:type="pct"/>
            <w:vMerge w:val="continue"/>
            <w:noWrap/>
            <w:vAlign w:val="center"/>
          </w:tcPr>
          <w:p w14:paraId="664A1C48">
            <w:pPr>
              <w:rPr>
                <w:rFonts w:hint="eastAsia" w:ascii="宋体" w:hAnsi="宋体" w:eastAsia="宋体"/>
                <w:sz w:val="21"/>
                <w:szCs w:val="21"/>
              </w:rPr>
            </w:pPr>
          </w:p>
        </w:tc>
        <w:tc>
          <w:tcPr>
            <w:tcW w:w="3057" w:type="pct"/>
            <w:vAlign w:val="center"/>
          </w:tcPr>
          <w:p w14:paraId="2395503F">
            <w:pPr>
              <w:rPr>
                <w:rFonts w:ascii="宋体" w:hAnsi="宋体" w:eastAsia="宋体"/>
                <w:sz w:val="21"/>
                <w:szCs w:val="21"/>
              </w:rPr>
            </w:pPr>
            <w:r>
              <w:rPr>
                <w:rFonts w:ascii="宋体" w:hAnsi="宋体" w:eastAsia="宋体"/>
                <w:sz w:val="21"/>
                <w:szCs w:val="21"/>
              </w:rPr>
              <w:t>ISO50001能源管理体系</w:t>
            </w:r>
            <w:r>
              <w:rPr>
                <w:rFonts w:hint="eastAsia" w:ascii="宋体" w:hAnsi="宋体" w:eastAsia="宋体"/>
                <w:sz w:val="21"/>
                <w:szCs w:val="21"/>
              </w:rPr>
              <w:t>认证证书</w:t>
            </w:r>
          </w:p>
        </w:tc>
      </w:tr>
      <w:tr w14:paraId="7743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7" w:type="pct"/>
            <w:noWrap/>
            <w:vAlign w:val="center"/>
          </w:tcPr>
          <w:p w14:paraId="71F8C94C">
            <w:pPr>
              <w:widowControl/>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39</w:t>
            </w:r>
          </w:p>
        </w:tc>
        <w:tc>
          <w:tcPr>
            <w:tcW w:w="1535" w:type="pct"/>
            <w:gridSpan w:val="2"/>
            <w:noWrap/>
            <w:vAlign w:val="center"/>
          </w:tcPr>
          <w:p w14:paraId="0528D96A">
            <w:pPr>
              <w:widowControl/>
              <w:rPr>
                <w:rFonts w:ascii="宋体" w:hAnsi="宋体" w:eastAsia="宋体" w:cs="宋体"/>
                <w:kern w:val="0"/>
                <w:sz w:val="21"/>
                <w:szCs w:val="21"/>
              </w:rPr>
            </w:pPr>
            <w:r>
              <w:rPr>
                <w:rFonts w:hint="eastAsia" w:ascii="宋体" w:hAnsi="宋体" w:eastAsia="宋体" w:cs="宋体"/>
                <w:kern w:val="0"/>
                <w:sz w:val="21"/>
                <w:szCs w:val="21"/>
              </w:rPr>
              <w:t>服务</w:t>
            </w:r>
          </w:p>
        </w:tc>
        <w:tc>
          <w:tcPr>
            <w:tcW w:w="3057" w:type="pct"/>
            <w:vAlign w:val="center"/>
          </w:tcPr>
          <w:p w14:paraId="400AFAC5">
            <w:pPr>
              <w:widowControl/>
              <w:rPr>
                <w:rFonts w:ascii="宋体" w:hAnsi="宋体" w:eastAsia="宋体" w:cs="宋体"/>
                <w:kern w:val="0"/>
                <w:sz w:val="21"/>
                <w:szCs w:val="21"/>
              </w:rPr>
            </w:pPr>
            <w:r>
              <w:rPr>
                <w:rFonts w:hint="eastAsia" w:ascii="宋体" w:hAnsi="宋体" w:eastAsia="宋体" w:cs="宋体"/>
                <w:kern w:val="0"/>
                <w:sz w:val="21"/>
                <w:szCs w:val="21"/>
              </w:rPr>
              <w:t>签订合同时提供三年原厂商质保服务承诺函及授权书。</w:t>
            </w:r>
          </w:p>
        </w:tc>
      </w:tr>
      <w:tr w14:paraId="551C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407" w:type="pct"/>
            <w:noWrap/>
            <w:vAlign w:val="center"/>
          </w:tcPr>
          <w:p w14:paraId="08A4DE4E">
            <w:pPr>
              <w:widowControl/>
              <w:rPr>
                <w:rFonts w:hint="default" w:ascii="宋体" w:hAnsi="宋体" w:eastAsia="宋体" w:cs="Calibri"/>
                <w:sz w:val="21"/>
                <w:szCs w:val="21"/>
                <w:lang w:val="en-US" w:eastAsia="zh-CN"/>
              </w:rPr>
            </w:pPr>
            <w:r>
              <w:rPr>
                <w:rFonts w:hint="eastAsia" w:ascii="宋体" w:hAnsi="宋体" w:eastAsia="宋体" w:cs="Calibri"/>
                <w:sz w:val="21"/>
                <w:szCs w:val="21"/>
                <w:lang w:val="en-US" w:eastAsia="zh-CN"/>
              </w:rPr>
              <w:t>40</w:t>
            </w:r>
          </w:p>
        </w:tc>
        <w:tc>
          <w:tcPr>
            <w:tcW w:w="1535" w:type="pct"/>
            <w:gridSpan w:val="2"/>
            <w:noWrap/>
            <w:vAlign w:val="center"/>
          </w:tcPr>
          <w:p w14:paraId="7BF0F2D0">
            <w:pPr>
              <w:widowControl/>
              <w:rPr>
                <w:rFonts w:ascii="宋体" w:hAnsi="宋体" w:eastAsia="宋体" w:cs="宋体"/>
                <w:kern w:val="0"/>
                <w:sz w:val="21"/>
                <w:szCs w:val="21"/>
              </w:rPr>
            </w:pPr>
            <w:r>
              <w:rPr>
                <w:rFonts w:ascii="宋体" w:hAnsi="宋体" w:eastAsia="宋体" w:cs="Calibri"/>
                <w:sz w:val="21"/>
                <w:szCs w:val="21"/>
                <w:lang w:val="it-IT"/>
              </w:rPr>
              <w:t>产品测试</w:t>
            </w:r>
          </w:p>
        </w:tc>
        <w:tc>
          <w:tcPr>
            <w:tcW w:w="3057" w:type="pct"/>
            <w:vAlign w:val="center"/>
          </w:tcPr>
          <w:p w14:paraId="4362FE30">
            <w:pPr>
              <w:widowControl/>
              <w:rPr>
                <w:rFonts w:ascii="宋体" w:hAnsi="宋体" w:eastAsia="宋体" w:cs="宋体"/>
                <w:kern w:val="0"/>
                <w:sz w:val="21"/>
                <w:szCs w:val="21"/>
              </w:rPr>
            </w:pPr>
            <w:r>
              <w:rPr>
                <w:rFonts w:hint="eastAsia" w:ascii="宋体" w:hAnsi="宋体" w:eastAsia="宋体" w:cs="Calibri"/>
                <w:sz w:val="21"/>
                <w:szCs w:val="21"/>
                <w:lang w:val="it-IT"/>
              </w:rPr>
              <w:t>为防止投标方虚假应答技术指标，从而造成用户在实际使用设备过程中无法实现所需的功能，中标公示期间需要提供同型号的样机进行上述功能要求的逐一测试验证，全部通过后执行合同流程，在指定的时间不能提供测试样机进行测试或测试中发现虚假应标的行为，则中标结果无效，并保留对预中标单位追究相关责任的权利。</w:t>
            </w:r>
          </w:p>
        </w:tc>
      </w:tr>
      <w:tr w14:paraId="2825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pct"/>
            <w:noWrap/>
            <w:vAlign w:val="center"/>
          </w:tcPr>
          <w:p w14:paraId="25E1FF84">
            <w:pPr>
              <w:widowControl/>
              <w:rPr>
                <w:rFonts w:hint="default" w:ascii="宋体" w:hAnsi="宋体" w:eastAsia="宋体" w:cs="Calibri"/>
                <w:sz w:val="21"/>
                <w:szCs w:val="21"/>
                <w:lang w:val="en-US" w:eastAsia="zh-CN"/>
              </w:rPr>
            </w:pPr>
            <w:r>
              <w:rPr>
                <w:rFonts w:hint="eastAsia" w:cs="Calibri"/>
                <w:sz w:val="21"/>
                <w:szCs w:val="21"/>
                <w:lang w:val="en-US" w:eastAsia="zh-CN"/>
              </w:rPr>
              <w:t>41</w:t>
            </w:r>
          </w:p>
        </w:tc>
        <w:tc>
          <w:tcPr>
            <w:tcW w:w="1535" w:type="pct"/>
            <w:gridSpan w:val="2"/>
            <w:noWrap/>
            <w:vAlign w:val="center"/>
          </w:tcPr>
          <w:p w14:paraId="1DFD122D">
            <w:pPr>
              <w:widowControl/>
              <w:rPr>
                <w:rFonts w:ascii="宋体" w:hAnsi="宋体" w:eastAsia="宋体" w:cs="Calibri"/>
                <w:sz w:val="21"/>
                <w:szCs w:val="21"/>
                <w:lang w:val="it-IT"/>
              </w:rPr>
            </w:pPr>
            <w:r>
              <w:rPr>
                <w:rFonts w:hint="eastAsia"/>
                <w:sz w:val="21"/>
                <w:szCs w:val="21"/>
                <w:lang w:val="en-US" w:eastAsia="zh-CN"/>
              </w:rPr>
              <w:t>服务承诺函</w:t>
            </w:r>
          </w:p>
        </w:tc>
        <w:tc>
          <w:tcPr>
            <w:tcW w:w="3057" w:type="pct"/>
            <w:vAlign w:val="center"/>
          </w:tcPr>
          <w:p w14:paraId="20520B8B">
            <w:pPr>
              <w:widowControl/>
              <w:rPr>
                <w:rFonts w:hint="eastAsia" w:ascii="宋体" w:hAnsi="宋体" w:eastAsia="宋体" w:cs="Calibri"/>
                <w:sz w:val="21"/>
                <w:szCs w:val="21"/>
                <w:lang w:val="it-IT"/>
              </w:rPr>
            </w:pPr>
            <w:r>
              <w:rPr>
                <w:rFonts w:hint="eastAsia"/>
                <w:sz w:val="21"/>
                <w:szCs w:val="21"/>
                <w:lang w:val="en-US" w:eastAsia="zh-CN"/>
              </w:rPr>
              <w:t>合同签订时，提供原厂商针对本项目的服务承诺函</w:t>
            </w:r>
          </w:p>
        </w:tc>
      </w:tr>
    </w:tbl>
    <w:p w14:paraId="4A7E7C17">
      <w:pPr>
        <w:bidi w:val="0"/>
        <w:rPr>
          <w:rFonts w:hint="eastAsia"/>
          <w:sz w:val="21"/>
          <w:szCs w:val="21"/>
          <w:lang w:val="en-US" w:eastAsia="zh-CN"/>
        </w:rPr>
      </w:pPr>
    </w:p>
    <w:p w14:paraId="00EB520D">
      <w:pPr>
        <w:pStyle w:val="5"/>
        <w:bidi w:val="0"/>
        <w:rPr>
          <w:rFonts w:hint="eastAsia"/>
          <w:sz w:val="21"/>
          <w:szCs w:val="21"/>
        </w:rPr>
      </w:pPr>
      <w:r>
        <w:rPr>
          <w:rFonts w:hint="eastAsia"/>
          <w:sz w:val="21"/>
          <w:szCs w:val="21"/>
        </w:rPr>
        <w:t>外网火绒杀毒软件扩容</w:t>
      </w:r>
    </w:p>
    <w:tbl>
      <w:tblPr>
        <w:tblStyle w:val="9"/>
        <w:tblW w:w="876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7"/>
        <w:gridCol w:w="1518"/>
        <w:gridCol w:w="6391"/>
      </w:tblGrid>
      <w:tr w14:paraId="2BE254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3" w:hRule="atLeast"/>
          <w:jc w:val="center"/>
        </w:trPr>
        <w:tc>
          <w:tcPr>
            <w:tcW w:w="857" w:type="dxa"/>
          </w:tcPr>
          <w:p w14:paraId="0EB8B8F5">
            <w:pPr>
              <w:widowControl w:val="0"/>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518" w:type="dxa"/>
          </w:tcPr>
          <w:p w14:paraId="3200A04A">
            <w:pPr>
              <w:widowControl w:val="0"/>
              <w:jc w:val="center"/>
              <w:rPr>
                <w:rFonts w:hint="eastAsia" w:ascii="宋体" w:hAnsi="宋体" w:eastAsia="宋体" w:cs="宋体"/>
                <w:b/>
                <w:bCs/>
                <w:sz w:val="21"/>
                <w:szCs w:val="21"/>
              </w:rPr>
            </w:pPr>
            <w:r>
              <w:rPr>
                <w:rFonts w:hint="eastAsia" w:ascii="宋体" w:hAnsi="宋体" w:eastAsia="宋体" w:cs="宋体"/>
                <w:b/>
                <w:bCs/>
                <w:sz w:val="21"/>
                <w:szCs w:val="21"/>
              </w:rPr>
              <w:t>指标项</w:t>
            </w:r>
          </w:p>
        </w:tc>
        <w:tc>
          <w:tcPr>
            <w:tcW w:w="6391" w:type="dxa"/>
          </w:tcPr>
          <w:p w14:paraId="0D379CAC">
            <w:pPr>
              <w:widowControl w:val="0"/>
              <w:jc w:val="center"/>
              <w:rPr>
                <w:rFonts w:hint="eastAsia" w:ascii="宋体" w:hAnsi="宋体" w:eastAsia="宋体" w:cs="宋体"/>
                <w:b/>
                <w:bCs/>
                <w:sz w:val="21"/>
                <w:szCs w:val="21"/>
              </w:rPr>
            </w:pPr>
            <w:r>
              <w:rPr>
                <w:rFonts w:hint="eastAsia" w:ascii="宋体" w:hAnsi="宋体" w:eastAsia="宋体" w:cs="宋体"/>
                <w:b/>
                <w:bCs/>
                <w:sz w:val="21"/>
                <w:szCs w:val="21"/>
              </w:rPr>
              <w:t>招标要求</w:t>
            </w:r>
          </w:p>
        </w:tc>
      </w:tr>
      <w:tr w14:paraId="59E63B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100F92C1">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18" w:type="dxa"/>
            <w:vAlign w:val="center"/>
          </w:tcPr>
          <w:p w14:paraId="16C95B85">
            <w:pPr>
              <w:widowControl w:val="0"/>
              <w:jc w:val="center"/>
              <w:rPr>
                <w:rFonts w:hint="eastAsia" w:ascii="宋体" w:hAnsi="宋体" w:eastAsia="宋体" w:cs="宋体"/>
                <w:b/>
                <w:bCs/>
                <w:sz w:val="21"/>
                <w:szCs w:val="21"/>
              </w:rPr>
            </w:pPr>
            <w:r>
              <w:rPr>
                <w:rFonts w:hint="eastAsia" w:ascii="宋体" w:hAnsi="宋体" w:eastAsia="宋体" w:cs="宋体"/>
                <w:b/>
                <w:bCs/>
                <w:sz w:val="21"/>
                <w:szCs w:val="21"/>
              </w:rPr>
              <w:t>配置要求</w:t>
            </w:r>
          </w:p>
        </w:tc>
        <w:tc>
          <w:tcPr>
            <w:tcW w:w="6391" w:type="dxa"/>
          </w:tcPr>
          <w:p w14:paraId="71748E47">
            <w:pPr>
              <w:widowControl w:val="0"/>
              <w:jc w:val="both"/>
              <w:rPr>
                <w:rFonts w:hint="eastAsia" w:ascii="宋体" w:hAnsi="宋体" w:eastAsia="宋体" w:cs="宋体"/>
                <w:kern w:val="0"/>
                <w:sz w:val="21"/>
                <w:szCs w:val="21"/>
              </w:rPr>
            </w:pPr>
            <w:r>
              <w:rPr>
                <w:rFonts w:hint="eastAsia" w:ascii="宋体" w:hAnsi="宋体" w:eastAsia="宋体" w:cs="宋体"/>
                <w:color w:val="auto"/>
                <w:kern w:val="0"/>
                <w:sz w:val="21"/>
                <w:szCs w:val="21"/>
              </w:rPr>
              <w:t>300个Windows终端授权许可</w:t>
            </w:r>
            <w:r>
              <w:rPr>
                <w:rFonts w:hint="eastAsia" w:ascii="宋体" w:hAnsi="宋体" w:eastAsia="宋体" w:cs="宋体"/>
                <w:sz w:val="21"/>
                <w:szCs w:val="21"/>
                <w:lang w:bidi="ar"/>
              </w:rPr>
              <w:t>【windows终端授权不区分普通PC客户端与服务器端，用户可以自由调整授权而不产生额外费用，具备病毒查杀、补丁修复、终端动态认证、系统加固、应用加固、勒索病毒诱捕、远程登录保护、横向渗透防护、僵尸网络防护、暴破攻击防护、网络入侵拦截、web服务防护、IP协议控制、联网控制、程序执行控制、网站内容控制、软件捆绑安装拦截、安全基线核查、应用中心、水印设置、软件安装拦截、软件禁用、弹窗拦截、桌面控制、U盘注册、U盘信任、违规外联、时间同步等功能，为产品的全功能模块】，</w:t>
            </w:r>
            <w:r>
              <w:rPr>
                <w:rFonts w:hint="eastAsia" w:ascii="宋体" w:hAnsi="宋体" w:eastAsia="宋体" w:cs="宋体"/>
                <w:b/>
                <w:bCs/>
                <w:sz w:val="21"/>
                <w:szCs w:val="21"/>
                <w:highlight w:val="none"/>
                <w:lang w:bidi="ar"/>
              </w:rPr>
              <w:t>升级时间和质保时间跟现有控制中心保持一致</w:t>
            </w:r>
            <w:r>
              <w:rPr>
                <w:rFonts w:hint="eastAsia" w:ascii="宋体" w:hAnsi="宋体" w:eastAsia="宋体" w:cs="宋体"/>
                <w:b/>
                <w:bCs/>
                <w:color w:val="000000"/>
                <w:kern w:val="0"/>
                <w:sz w:val="21"/>
                <w:szCs w:val="21"/>
                <w:highlight w:val="none"/>
              </w:rPr>
              <w:t>。</w:t>
            </w:r>
            <w:r>
              <w:rPr>
                <w:rFonts w:hint="eastAsia" w:ascii="宋体" w:hAnsi="宋体" w:eastAsia="宋体" w:cs="宋体"/>
                <w:color w:val="000000"/>
                <w:kern w:val="0"/>
                <w:sz w:val="21"/>
                <w:szCs w:val="21"/>
              </w:rPr>
              <w:t>需要与现有控制中心无缝衔接，无需重新部署控制中心及客户端。</w:t>
            </w:r>
          </w:p>
        </w:tc>
      </w:tr>
      <w:tr w14:paraId="2E6CFB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0D6FE1DA">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1"/>
                <w:szCs w:val="21"/>
                <w:u w:val="none"/>
                <w:lang w:val="en-US" w:eastAsia="zh-CN" w:bidi="ar"/>
              </w:rPr>
              <w:t>2</w:t>
            </w:r>
          </w:p>
        </w:tc>
        <w:tc>
          <w:tcPr>
            <w:tcW w:w="1518" w:type="dxa"/>
            <w:vMerge w:val="restart"/>
            <w:vAlign w:val="center"/>
          </w:tcPr>
          <w:p w14:paraId="2D521EA9">
            <w:pPr>
              <w:widowControl w:val="0"/>
              <w:jc w:val="center"/>
              <w:rPr>
                <w:rFonts w:hint="eastAsia" w:ascii="宋体" w:hAnsi="宋体" w:eastAsia="宋体" w:cs="宋体"/>
                <w:b/>
                <w:bCs/>
                <w:sz w:val="21"/>
                <w:szCs w:val="21"/>
              </w:rPr>
            </w:pPr>
            <w:r>
              <w:rPr>
                <w:rFonts w:hint="eastAsia" w:ascii="宋体" w:hAnsi="宋体" w:eastAsia="宋体" w:cs="宋体"/>
                <w:b/>
                <w:bCs/>
                <w:sz w:val="21"/>
                <w:szCs w:val="21"/>
              </w:rPr>
              <w:t>资质证明</w:t>
            </w:r>
          </w:p>
        </w:tc>
        <w:tc>
          <w:tcPr>
            <w:tcW w:w="6391" w:type="dxa"/>
          </w:tcPr>
          <w:p w14:paraId="08134D24">
            <w:pPr>
              <w:widowControl w:val="0"/>
              <w:jc w:val="both"/>
              <w:rPr>
                <w:rFonts w:hint="eastAsia" w:ascii="宋体" w:hAnsi="宋体" w:eastAsia="宋体" w:cs="宋体"/>
                <w:sz w:val="21"/>
                <w:szCs w:val="21"/>
              </w:rPr>
            </w:pPr>
            <w:r>
              <w:rPr>
                <w:rFonts w:hint="eastAsia" w:ascii="宋体" w:hAnsi="宋体" w:eastAsia="宋体" w:cs="宋体"/>
                <w:sz w:val="21"/>
                <w:szCs w:val="21"/>
              </w:rPr>
              <w:t>要求具备《网络安全专用产品安全检测报告》。</w:t>
            </w:r>
          </w:p>
        </w:tc>
      </w:tr>
      <w:tr w14:paraId="582A26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41FF7CCF">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1"/>
                <w:szCs w:val="21"/>
                <w:u w:val="none"/>
                <w:lang w:val="en-US" w:eastAsia="zh-CN" w:bidi="ar"/>
              </w:rPr>
              <w:t>3</w:t>
            </w:r>
          </w:p>
        </w:tc>
        <w:tc>
          <w:tcPr>
            <w:tcW w:w="1518" w:type="dxa"/>
            <w:vMerge w:val="continue"/>
            <w:vAlign w:val="center"/>
          </w:tcPr>
          <w:p w14:paraId="260FBCA3">
            <w:pPr>
              <w:widowControl w:val="0"/>
              <w:jc w:val="center"/>
              <w:rPr>
                <w:rFonts w:hint="eastAsia" w:ascii="宋体" w:hAnsi="宋体" w:eastAsia="宋体" w:cs="宋体"/>
                <w:b/>
                <w:bCs/>
                <w:sz w:val="21"/>
                <w:szCs w:val="21"/>
              </w:rPr>
            </w:pPr>
          </w:p>
        </w:tc>
        <w:tc>
          <w:tcPr>
            <w:tcW w:w="6391" w:type="dxa"/>
          </w:tcPr>
          <w:p w14:paraId="4B1020C3">
            <w:pPr>
              <w:widowControl w:val="0"/>
              <w:jc w:val="both"/>
              <w:rPr>
                <w:rFonts w:hint="eastAsia" w:ascii="宋体" w:hAnsi="宋体" w:eastAsia="宋体" w:cs="宋体"/>
                <w:sz w:val="21"/>
                <w:szCs w:val="21"/>
              </w:rPr>
            </w:pPr>
            <w:r>
              <w:rPr>
                <w:rFonts w:hint="eastAsia" w:ascii="宋体" w:hAnsi="宋体" w:eastAsia="宋体" w:cs="宋体"/>
                <w:sz w:val="21"/>
                <w:szCs w:val="21"/>
              </w:rPr>
              <w:t>要求具备《计算机软件著作权登记证书》。</w:t>
            </w:r>
          </w:p>
        </w:tc>
      </w:tr>
      <w:tr w14:paraId="27A088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7423D488">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1"/>
                <w:szCs w:val="21"/>
                <w:u w:val="none"/>
                <w:lang w:val="en-US" w:eastAsia="zh-CN" w:bidi="ar"/>
              </w:rPr>
              <w:t>4</w:t>
            </w:r>
          </w:p>
        </w:tc>
        <w:tc>
          <w:tcPr>
            <w:tcW w:w="1518" w:type="dxa"/>
            <w:vMerge w:val="continue"/>
            <w:vAlign w:val="center"/>
          </w:tcPr>
          <w:p w14:paraId="5FA4186B">
            <w:pPr>
              <w:widowControl w:val="0"/>
              <w:jc w:val="center"/>
              <w:rPr>
                <w:rFonts w:hint="eastAsia" w:ascii="宋体" w:hAnsi="宋体" w:eastAsia="宋体" w:cs="宋体"/>
                <w:b/>
                <w:bCs/>
                <w:sz w:val="21"/>
                <w:szCs w:val="21"/>
              </w:rPr>
            </w:pPr>
          </w:p>
        </w:tc>
        <w:tc>
          <w:tcPr>
            <w:tcW w:w="6391" w:type="dxa"/>
          </w:tcPr>
          <w:p w14:paraId="26379C20">
            <w:pPr>
              <w:widowControl w:val="0"/>
              <w:jc w:val="both"/>
              <w:rPr>
                <w:rFonts w:hint="eastAsia" w:ascii="宋体" w:hAnsi="宋体" w:eastAsia="宋体" w:cs="宋体"/>
                <w:sz w:val="21"/>
                <w:szCs w:val="21"/>
              </w:rPr>
            </w:pPr>
            <w:r>
              <w:rPr>
                <w:rFonts w:hint="eastAsia" w:ascii="宋体" w:hAnsi="宋体" w:eastAsia="宋体" w:cs="宋体"/>
                <w:sz w:val="21"/>
                <w:szCs w:val="21"/>
              </w:rPr>
              <w:t>要求具备《网络安全专用产品安全检测证书》。</w:t>
            </w:r>
          </w:p>
        </w:tc>
      </w:tr>
      <w:tr w14:paraId="1EE1FB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4956B4CD">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1"/>
                <w:szCs w:val="21"/>
                <w:u w:val="none"/>
                <w:lang w:val="en-US" w:eastAsia="zh-CN" w:bidi="ar"/>
              </w:rPr>
              <w:t>5</w:t>
            </w:r>
          </w:p>
        </w:tc>
        <w:tc>
          <w:tcPr>
            <w:tcW w:w="1518" w:type="dxa"/>
            <w:vMerge w:val="continue"/>
            <w:vAlign w:val="center"/>
          </w:tcPr>
          <w:p w14:paraId="7C4F98AB">
            <w:pPr>
              <w:widowControl w:val="0"/>
              <w:jc w:val="center"/>
              <w:rPr>
                <w:rFonts w:hint="eastAsia" w:ascii="宋体" w:hAnsi="宋体" w:eastAsia="宋体" w:cs="宋体"/>
                <w:b/>
                <w:bCs/>
                <w:sz w:val="21"/>
                <w:szCs w:val="21"/>
              </w:rPr>
            </w:pPr>
          </w:p>
        </w:tc>
        <w:tc>
          <w:tcPr>
            <w:tcW w:w="6391" w:type="dxa"/>
          </w:tcPr>
          <w:p w14:paraId="4E96DA7B">
            <w:pPr>
              <w:widowControl w:val="0"/>
              <w:jc w:val="both"/>
              <w:rPr>
                <w:rFonts w:hint="eastAsia" w:ascii="宋体" w:hAnsi="宋体" w:eastAsia="宋体" w:cs="宋体"/>
                <w:sz w:val="21"/>
                <w:szCs w:val="21"/>
              </w:rPr>
            </w:pPr>
            <w:r>
              <w:rPr>
                <w:rFonts w:hint="eastAsia" w:ascii="宋体" w:hAnsi="宋体" w:eastAsia="宋体" w:cs="宋体"/>
                <w:sz w:val="21"/>
                <w:szCs w:val="21"/>
              </w:rPr>
              <w:t>要求具有与红旗、神州网信、UOS、麒麟系列等兼容性认证；兼容国产鲲鹏处理器；。</w:t>
            </w:r>
          </w:p>
        </w:tc>
      </w:tr>
      <w:tr w14:paraId="610A09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6" w:hRule="atLeast"/>
          <w:jc w:val="center"/>
        </w:trPr>
        <w:tc>
          <w:tcPr>
            <w:tcW w:w="857" w:type="dxa"/>
            <w:vAlign w:val="center"/>
          </w:tcPr>
          <w:p w14:paraId="07D817FB">
            <w:pPr>
              <w:keepNext w:val="0"/>
              <w:keepLines w:val="0"/>
              <w:widowControl/>
              <w:suppressLineNumbers w:val="0"/>
              <w:jc w:val="center"/>
              <w:textAlignment w:val="center"/>
              <w:rPr>
                <w:rFonts w:hint="eastAsia" w:ascii="宋体" w:hAnsi="宋体" w:eastAsia="宋体" w:cs="宋体"/>
                <w:b/>
                <w:bCs/>
                <w:color w:val="auto"/>
                <w:kern w:val="2"/>
                <w:sz w:val="21"/>
                <w:szCs w:val="21"/>
              </w:rPr>
            </w:pPr>
            <w:r>
              <w:rPr>
                <w:rFonts w:hint="eastAsia" w:ascii="宋体" w:hAnsi="宋体" w:eastAsia="宋体" w:cs="宋体"/>
                <w:i w:val="0"/>
                <w:iCs w:val="0"/>
                <w:color w:val="000000"/>
                <w:kern w:val="0"/>
                <w:sz w:val="21"/>
                <w:szCs w:val="21"/>
                <w:u w:val="none"/>
                <w:lang w:val="en-US" w:eastAsia="zh-CN" w:bidi="ar"/>
              </w:rPr>
              <w:t>6</w:t>
            </w:r>
          </w:p>
        </w:tc>
        <w:tc>
          <w:tcPr>
            <w:tcW w:w="1518" w:type="dxa"/>
            <w:vMerge w:val="restart"/>
            <w:vAlign w:val="center"/>
          </w:tcPr>
          <w:p w14:paraId="5216CC90">
            <w:pPr>
              <w:pStyle w:val="14"/>
              <w:jc w:val="center"/>
              <w:rPr>
                <w:rFonts w:hint="eastAsia" w:ascii="宋体" w:hAnsi="宋体" w:eastAsia="宋体" w:cs="宋体"/>
                <w:b/>
                <w:bCs/>
                <w:color w:val="auto"/>
                <w:sz w:val="21"/>
                <w:szCs w:val="21"/>
              </w:rPr>
            </w:pPr>
            <w:r>
              <w:rPr>
                <w:rFonts w:hint="eastAsia" w:ascii="宋体" w:hAnsi="宋体" w:eastAsia="宋体" w:cs="宋体"/>
                <w:b/>
                <w:bCs/>
                <w:color w:val="auto"/>
                <w:kern w:val="2"/>
                <w:sz w:val="21"/>
                <w:szCs w:val="21"/>
              </w:rPr>
              <w:t>自主可控</w:t>
            </w:r>
          </w:p>
        </w:tc>
        <w:tc>
          <w:tcPr>
            <w:tcW w:w="6391" w:type="dxa"/>
            <w:vAlign w:val="center"/>
          </w:tcPr>
          <w:p w14:paraId="1C68F9A5">
            <w:pPr>
              <w:pStyle w:val="14"/>
              <w:jc w:val="both"/>
              <w:rPr>
                <w:rFonts w:hint="eastAsia" w:ascii="宋体" w:hAnsi="宋体" w:eastAsia="宋体" w:cs="宋体"/>
                <w:color w:val="auto"/>
                <w:sz w:val="21"/>
                <w:szCs w:val="21"/>
              </w:rPr>
            </w:pPr>
            <w:r>
              <w:rPr>
                <w:rFonts w:hint="eastAsia" w:ascii="宋体" w:hAnsi="宋体" w:eastAsia="宋体" w:cs="宋体"/>
                <w:color w:val="auto"/>
                <w:sz w:val="21"/>
                <w:szCs w:val="21"/>
              </w:rPr>
              <w:t>为保障产品安全性和可控性，符合《网络安全审查办法》的规定，投标产品须为国内厂家自主研发的产品，不接受OEM产品, 包括产品中的不得采用第三方公司的杀毒引擎，因OEM引擎需要在外层再次封装,以符合自身产品的需求，增加成本降低效率，无法精细地调整配置，产品效率低、资源占用高；同时存在不合作而断供的隐患。</w:t>
            </w:r>
          </w:p>
        </w:tc>
      </w:tr>
      <w:tr w14:paraId="18EA2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6" w:hRule="atLeast"/>
          <w:jc w:val="center"/>
        </w:trPr>
        <w:tc>
          <w:tcPr>
            <w:tcW w:w="857" w:type="dxa"/>
            <w:vAlign w:val="center"/>
          </w:tcPr>
          <w:p w14:paraId="153F88B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w:t>
            </w:r>
          </w:p>
        </w:tc>
        <w:tc>
          <w:tcPr>
            <w:tcW w:w="1518" w:type="dxa"/>
            <w:vMerge w:val="continue"/>
            <w:vAlign w:val="center"/>
          </w:tcPr>
          <w:p w14:paraId="2BD88629">
            <w:pPr>
              <w:pStyle w:val="14"/>
              <w:jc w:val="both"/>
              <w:rPr>
                <w:rFonts w:hint="eastAsia" w:ascii="宋体" w:hAnsi="宋体" w:eastAsia="宋体" w:cs="宋体"/>
                <w:sz w:val="21"/>
                <w:szCs w:val="21"/>
              </w:rPr>
            </w:pPr>
          </w:p>
        </w:tc>
        <w:tc>
          <w:tcPr>
            <w:tcW w:w="6391" w:type="dxa"/>
            <w:vAlign w:val="center"/>
          </w:tcPr>
          <w:p w14:paraId="5905601D">
            <w:pPr>
              <w:pStyle w:val="14"/>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其自主研发恶意代码检测引擎为三家或以上国内安全企业提供OEM。</w:t>
            </w:r>
            <w:r>
              <w:rPr>
                <w:rFonts w:hint="eastAsia" w:ascii="宋体" w:hAnsi="宋体" w:eastAsia="宋体" w:cs="宋体"/>
                <w:color w:val="auto"/>
                <w:sz w:val="21"/>
                <w:szCs w:val="21"/>
              </w:rPr>
              <w:t xml:space="preserve">中标后提供双方合作证明材料复印件。 </w:t>
            </w:r>
          </w:p>
        </w:tc>
      </w:tr>
      <w:tr w14:paraId="1BED60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2CB96C84">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1"/>
                <w:szCs w:val="21"/>
                <w:u w:val="none"/>
                <w:lang w:val="en-US" w:eastAsia="zh-CN" w:bidi="ar"/>
              </w:rPr>
              <w:t>8</w:t>
            </w:r>
          </w:p>
        </w:tc>
        <w:tc>
          <w:tcPr>
            <w:tcW w:w="1518" w:type="dxa"/>
            <w:vMerge w:val="restart"/>
            <w:vAlign w:val="center"/>
          </w:tcPr>
          <w:p w14:paraId="6974F435">
            <w:pPr>
              <w:widowControl w:val="0"/>
              <w:jc w:val="center"/>
              <w:rPr>
                <w:rFonts w:hint="eastAsia" w:ascii="宋体" w:hAnsi="宋体" w:eastAsia="宋体" w:cs="宋体"/>
                <w:b/>
                <w:bCs/>
                <w:sz w:val="21"/>
                <w:szCs w:val="21"/>
              </w:rPr>
            </w:pPr>
            <w:r>
              <w:rPr>
                <w:rFonts w:hint="eastAsia" w:ascii="宋体" w:hAnsi="宋体" w:eastAsia="宋体" w:cs="宋体"/>
                <w:b/>
                <w:bCs/>
                <w:sz w:val="21"/>
                <w:szCs w:val="21"/>
              </w:rPr>
              <w:t>体系架构</w:t>
            </w:r>
          </w:p>
          <w:p w14:paraId="51A98376">
            <w:pPr>
              <w:widowControl w:val="0"/>
              <w:jc w:val="center"/>
              <w:rPr>
                <w:rFonts w:hint="eastAsia" w:ascii="宋体" w:hAnsi="宋体" w:eastAsia="宋体" w:cs="宋体"/>
                <w:b/>
                <w:bCs/>
                <w:sz w:val="21"/>
                <w:szCs w:val="21"/>
              </w:rPr>
            </w:pPr>
            <w:r>
              <w:rPr>
                <w:rFonts w:hint="eastAsia" w:ascii="宋体" w:hAnsi="宋体" w:eastAsia="宋体" w:cs="宋体"/>
                <w:b/>
                <w:bCs/>
                <w:sz w:val="21"/>
                <w:szCs w:val="21"/>
              </w:rPr>
              <w:t>系统部署</w:t>
            </w:r>
          </w:p>
        </w:tc>
        <w:tc>
          <w:tcPr>
            <w:tcW w:w="6391" w:type="dxa"/>
          </w:tcPr>
          <w:p w14:paraId="12B05B59">
            <w:pPr>
              <w:widowControl w:val="0"/>
              <w:jc w:val="both"/>
              <w:rPr>
                <w:rFonts w:hint="eastAsia" w:ascii="宋体" w:hAnsi="宋体" w:eastAsia="宋体" w:cs="宋体"/>
                <w:sz w:val="21"/>
                <w:szCs w:val="21"/>
              </w:rPr>
            </w:pPr>
            <w:r>
              <w:rPr>
                <w:rFonts w:hint="eastAsia" w:ascii="宋体" w:hAnsi="宋体" w:eastAsia="宋体" w:cs="宋体"/>
                <w:kern w:val="0"/>
                <w:sz w:val="21"/>
                <w:szCs w:val="21"/>
              </w:rPr>
              <w:t>要求控制中心支持中/英文界面，系统部署采用 C/S 架构，管理采用 B/S 架构，管理员只需通过浏览器登录控制中心，即可对系统进行管理。</w:t>
            </w:r>
          </w:p>
        </w:tc>
      </w:tr>
      <w:tr w14:paraId="3447DD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09163238">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w:t>
            </w:r>
          </w:p>
        </w:tc>
        <w:tc>
          <w:tcPr>
            <w:tcW w:w="1518" w:type="dxa"/>
            <w:vMerge w:val="continue"/>
          </w:tcPr>
          <w:p w14:paraId="3927ACE3">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tcPr>
          <w:p w14:paraId="5653A785">
            <w:pPr>
              <w:widowControl w:val="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要求支持部署限制设置：终端安装密码限制和终端安装IP地址范围限制，有效防止通过中心部署地址下载安装终端，非法占用用户购买的点位。</w:t>
            </w:r>
          </w:p>
        </w:tc>
      </w:tr>
      <w:tr w14:paraId="258C26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1031C228">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c>
          <w:tcPr>
            <w:tcW w:w="1518" w:type="dxa"/>
            <w:vMerge w:val="continue"/>
          </w:tcPr>
          <w:p w14:paraId="71518108">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tcPr>
          <w:p w14:paraId="758AD031">
            <w:pPr>
              <w:widowControl w:val="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kern w:val="0"/>
                <w:sz w:val="21"/>
                <w:szCs w:val="21"/>
              </w:rPr>
              <w:t>要求</w:t>
            </w:r>
            <w:r>
              <w:rPr>
                <w:rFonts w:hint="eastAsia" w:ascii="宋体" w:hAnsi="宋体" w:eastAsia="宋体" w:cs="宋体"/>
                <w:sz w:val="21"/>
                <w:szCs w:val="21"/>
              </w:rPr>
              <w:t>控制中心</w:t>
            </w:r>
            <w:r>
              <w:rPr>
                <w:rFonts w:hint="eastAsia" w:ascii="宋体" w:hAnsi="宋体" w:eastAsia="宋体" w:cs="宋体"/>
                <w:kern w:val="0"/>
                <w:sz w:val="21"/>
                <w:szCs w:val="21"/>
              </w:rPr>
              <w:t>支持容灾备份功能，当主中心计算机遭受如宕机、断电、硬件/软件故障等意外情况或人为操作错误导致主中心计算机无法正常使用时，备用中心将顶替宕机的主中心且同步数据。</w:t>
            </w:r>
          </w:p>
        </w:tc>
      </w:tr>
      <w:tr w14:paraId="59E79B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208A9D49">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w:t>
            </w:r>
          </w:p>
        </w:tc>
        <w:tc>
          <w:tcPr>
            <w:tcW w:w="1518" w:type="dxa"/>
            <w:vMerge w:val="continue"/>
          </w:tcPr>
          <w:p w14:paraId="6AB6D8C7">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tcPr>
          <w:p w14:paraId="4BA070D7">
            <w:pPr>
              <w:widowControl w:val="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kern w:val="0"/>
                <w:sz w:val="21"/>
                <w:szCs w:val="21"/>
              </w:rPr>
              <w:t>要求支持备用中心查看和审批，支持通过本地安装的配置工具申请成为主中心的备用中心，主中心审批通过后，显示备用中心的相关信息。</w:t>
            </w:r>
          </w:p>
        </w:tc>
      </w:tr>
      <w:tr w14:paraId="3F9283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4C84F2FB">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w:t>
            </w:r>
          </w:p>
        </w:tc>
        <w:tc>
          <w:tcPr>
            <w:tcW w:w="1518" w:type="dxa"/>
            <w:vMerge w:val="restart"/>
            <w:vAlign w:val="center"/>
          </w:tcPr>
          <w:p w14:paraId="5632BEC6">
            <w:pPr>
              <w:widowControl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中心基础功能</w:t>
            </w:r>
          </w:p>
        </w:tc>
        <w:tc>
          <w:tcPr>
            <w:tcW w:w="6391" w:type="dxa"/>
          </w:tcPr>
          <w:p w14:paraId="1714B29B">
            <w:pPr>
              <w:widowControl w:val="0"/>
              <w:jc w:val="both"/>
              <w:rPr>
                <w:rFonts w:hint="eastAsia" w:ascii="宋体" w:hAnsi="宋体" w:eastAsia="宋体" w:cs="宋体"/>
                <w:sz w:val="21"/>
                <w:szCs w:val="21"/>
              </w:rPr>
            </w:pPr>
            <w:r>
              <w:rPr>
                <w:rFonts w:hint="eastAsia" w:ascii="宋体" w:hAnsi="宋体" w:eastAsia="宋体" w:cs="宋体"/>
                <w:sz w:val="21"/>
                <w:szCs w:val="21"/>
              </w:rPr>
              <w:t>要求</w:t>
            </w:r>
            <w:r>
              <w:rPr>
                <w:rFonts w:hint="eastAsia" w:ascii="宋体" w:hAnsi="宋体" w:eastAsia="宋体" w:cs="宋体"/>
                <w:kern w:val="0"/>
                <w:sz w:val="21"/>
                <w:szCs w:val="21"/>
              </w:rPr>
              <w:t>控制中心</w:t>
            </w:r>
            <w:r>
              <w:rPr>
                <w:rFonts w:hint="eastAsia" w:ascii="宋体" w:hAnsi="宋体" w:eastAsia="宋体" w:cs="宋体"/>
                <w:sz w:val="21"/>
                <w:szCs w:val="21"/>
              </w:rPr>
              <w:t>支持开启登录地址限制，可通过添加IP地址的方式，对登录的IP进行限制。</w:t>
            </w:r>
          </w:p>
        </w:tc>
      </w:tr>
      <w:tr w14:paraId="540524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455136ED">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w:t>
            </w:r>
          </w:p>
        </w:tc>
        <w:tc>
          <w:tcPr>
            <w:tcW w:w="1518" w:type="dxa"/>
            <w:vMerge w:val="continue"/>
          </w:tcPr>
          <w:p w14:paraId="4C9854E7">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tcPr>
          <w:p w14:paraId="5CE16310">
            <w:pPr>
              <w:widowControl w:val="0"/>
              <w:jc w:val="both"/>
              <w:rPr>
                <w:rFonts w:hint="eastAsia" w:ascii="宋体" w:hAnsi="宋体" w:eastAsia="宋体" w:cs="宋体"/>
                <w:sz w:val="21"/>
                <w:szCs w:val="21"/>
              </w:rPr>
            </w:pPr>
            <w:r>
              <w:rPr>
                <w:rFonts w:hint="eastAsia" w:ascii="宋体" w:hAnsi="宋体" w:eastAsia="宋体" w:cs="宋体"/>
                <w:sz w:val="21"/>
                <w:szCs w:val="21"/>
              </w:rPr>
              <w:t>要求支持定制防护策略以及策略细粒度配置：包括病毒防御（文件实时监控、恶意行为监控、内存防护、U盘保护、下载保护、邮件监控、Web扫描）；系统防御（系统加固、应用加固、软件安装拦截、浏览器保护、摄像头防护）；网络防御（网络入侵拦截、对外攻击拦截、恶意网站拦截、横向渗透防护、Web服务保护、暴破攻击防护、僵尸网络防护、远程登录防护）；访问控制（IP协议控制、IP黑名单、联网控制、网站内容控制、程序执行控制、设备控制）；行为管理（软件禁用、违规外联、桌面控制、安全基线检测、水印设置、应用中心）以及安全工具（弹窗拦截和垃圾清理设置）可根据不同分组需求定制不同的策略。</w:t>
            </w:r>
          </w:p>
        </w:tc>
      </w:tr>
      <w:tr w14:paraId="47A5DA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857" w:type="dxa"/>
            <w:vAlign w:val="center"/>
          </w:tcPr>
          <w:p w14:paraId="7CBF5145">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w:t>
            </w:r>
          </w:p>
        </w:tc>
        <w:tc>
          <w:tcPr>
            <w:tcW w:w="1518" w:type="dxa"/>
            <w:vMerge w:val="continue"/>
          </w:tcPr>
          <w:p w14:paraId="5AF7D1E7">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tcPr>
          <w:p w14:paraId="6F733A7E">
            <w:pPr>
              <w:widowControl w:val="0"/>
              <w:tabs>
                <w:tab w:val="left" w:pos="1090"/>
              </w:tabs>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要求</w:t>
            </w:r>
            <w:r>
              <w:rPr>
                <w:rFonts w:hint="eastAsia" w:ascii="宋体" w:hAnsi="宋体" w:eastAsia="宋体" w:cs="宋体"/>
                <w:kern w:val="0"/>
                <w:sz w:val="21"/>
                <w:szCs w:val="21"/>
              </w:rPr>
              <w:t>控制中心</w:t>
            </w:r>
            <w:r>
              <w:rPr>
                <w:rFonts w:hint="eastAsia" w:ascii="宋体" w:hAnsi="宋体" w:eastAsia="宋体" w:cs="宋体"/>
                <w:sz w:val="21"/>
                <w:szCs w:val="21"/>
              </w:rPr>
              <w:t>具有登陆二次验证功能，开启该功能后，通过登录中心时进行二次验证的方式，阻止中心遭遇密码泄露、弱口令暴破、撞库等黑客破解行为带来的危害，达到保护控制中心的目的。</w:t>
            </w:r>
          </w:p>
        </w:tc>
      </w:tr>
      <w:tr w14:paraId="317D01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857" w:type="dxa"/>
            <w:vAlign w:val="center"/>
          </w:tcPr>
          <w:p w14:paraId="6A450BA4">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15</w:t>
            </w:r>
          </w:p>
        </w:tc>
        <w:tc>
          <w:tcPr>
            <w:tcW w:w="1518" w:type="dxa"/>
            <w:vMerge w:val="continue"/>
          </w:tcPr>
          <w:p w14:paraId="6D897094">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tcPr>
          <w:p w14:paraId="26027DED">
            <w:pPr>
              <w:widowControl w:val="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要求管理员可设置高危操作动态认证，下发远程桌面任务、添加信任文件或进行文件分发时需要管理员进行二次动态认证后才可执行高危操作。</w:t>
            </w:r>
          </w:p>
        </w:tc>
      </w:tr>
      <w:tr w14:paraId="312BBC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857" w:type="dxa"/>
            <w:vAlign w:val="center"/>
          </w:tcPr>
          <w:p w14:paraId="019CF0A9">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1518" w:type="dxa"/>
            <w:vMerge w:val="continue"/>
          </w:tcPr>
          <w:p w14:paraId="44044505">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tcPr>
          <w:p w14:paraId="6F9E5497">
            <w:pPr>
              <w:widowControl w:val="0"/>
              <w:tabs>
                <w:tab w:val="left" w:pos="1605"/>
              </w:tabs>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要求Windows 7或以上系统，Windows2008或以上系统，具有终端动态口令验证功能，当终端用户登录计算机时都将弹出动态口令安全认证窗口，若用户设置了计算机密码，该弹窗将在用户输入正确的账户密码后弹出。用户需再次输入正确的动态口令才可登入计算机，且可设置应用范围：远程登录时启用或本地登录时启用。阻止终端遭遇密码泄露、弱口令暴破、撞库等黑客破解行为带来的危害。</w:t>
            </w:r>
          </w:p>
        </w:tc>
      </w:tr>
      <w:tr w14:paraId="3A254D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857" w:type="dxa"/>
            <w:vAlign w:val="center"/>
          </w:tcPr>
          <w:p w14:paraId="03E45A88">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17</w:t>
            </w:r>
          </w:p>
        </w:tc>
        <w:tc>
          <w:tcPr>
            <w:tcW w:w="1518" w:type="dxa"/>
            <w:vMerge w:val="continue"/>
          </w:tcPr>
          <w:p w14:paraId="7C00C80C">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tcPr>
          <w:p w14:paraId="66322828">
            <w:pPr>
              <w:widowControl w:val="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kern w:val="0"/>
                <w:sz w:val="21"/>
                <w:szCs w:val="21"/>
              </w:rPr>
              <w:t>要求控制中心支持负载均衡功能，可对主中心配置单个或多个负载中心，终端可根据主中心资源占用情况自动连接到负载中心。</w:t>
            </w:r>
          </w:p>
        </w:tc>
      </w:tr>
      <w:tr w14:paraId="01660F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288D00EE">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18</w:t>
            </w:r>
          </w:p>
        </w:tc>
        <w:tc>
          <w:tcPr>
            <w:tcW w:w="1518" w:type="dxa"/>
            <w:vAlign w:val="center"/>
          </w:tcPr>
          <w:p w14:paraId="3CDBD2A5">
            <w:pPr>
              <w:widowControl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资产管理</w:t>
            </w:r>
          </w:p>
        </w:tc>
        <w:tc>
          <w:tcPr>
            <w:tcW w:w="6391" w:type="dxa"/>
          </w:tcPr>
          <w:p w14:paraId="24EA90FC">
            <w:pPr>
              <w:widowControl w:val="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要求控制中心可对全网终端下发登记任务，支持编辑终端资产登记信息；需登记的信息可自定义内容，支持设置必填项或非必填项；且登记信息列默认显示终端名称，用户可以通过设置开启终端名称登记并设置引导提示信息，配合分组规则一起使用可实现快速分组。</w:t>
            </w:r>
          </w:p>
        </w:tc>
      </w:tr>
      <w:tr w14:paraId="4E6991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680C941B">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19</w:t>
            </w:r>
          </w:p>
        </w:tc>
        <w:tc>
          <w:tcPr>
            <w:tcW w:w="1518" w:type="dxa"/>
            <w:vMerge w:val="restart"/>
            <w:vAlign w:val="center"/>
          </w:tcPr>
          <w:p w14:paraId="14BDE490">
            <w:pPr>
              <w:widowControl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运维管控</w:t>
            </w:r>
          </w:p>
        </w:tc>
        <w:tc>
          <w:tcPr>
            <w:tcW w:w="6391" w:type="dxa"/>
          </w:tcPr>
          <w:p w14:paraId="501CD7D4">
            <w:pPr>
              <w:widowControl w:val="0"/>
              <w:jc w:val="both"/>
              <w:rPr>
                <w:rFonts w:hint="eastAsia" w:ascii="宋体" w:hAnsi="宋体" w:eastAsia="宋体" w:cs="宋体"/>
                <w:sz w:val="21"/>
                <w:szCs w:val="21"/>
              </w:rPr>
            </w:pPr>
            <w:r>
              <w:rPr>
                <w:rFonts w:hint="eastAsia" w:ascii="宋体" w:hAnsi="宋体" w:eastAsia="宋体" w:cs="宋体"/>
                <w:sz w:val="21"/>
                <w:szCs w:val="21"/>
              </w:rPr>
              <w:t>支持展示和导出终端的系统用户登录日志。</w:t>
            </w:r>
          </w:p>
        </w:tc>
      </w:tr>
      <w:tr w14:paraId="27B1A3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2F01451B">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1518" w:type="dxa"/>
            <w:vMerge w:val="continue"/>
          </w:tcPr>
          <w:p w14:paraId="63B82E94">
            <w:pPr>
              <w:widowControl w:val="0"/>
              <w:jc w:val="both"/>
              <w:rPr>
                <w:rFonts w:hint="eastAsia" w:ascii="宋体" w:hAnsi="宋体" w:eastAsia="宋体" w:cs="宋体"/>
                <w:color w:val="000000" w:themeColor="text1"/>
                <w:sz w:val="21"/>
                <w:szCs w:val="21"/>
                <w14:textFill>
                  <w14:solidFill>
                    <w14:schemeClr w14:val="tx1"/>
                  </w14:solidFill>
                </w14:textFill>
              </w:rPr>
            </w:pPr>
          </w:p>
        </w:tc>
        <w:tc>
          <w:tcPr>
            <w:tcW w:w="6391" w:type="dxa"/>
          </w:tcPr>
          <w:p w14:paraId="5DE6C992">
            <w:pPr>
              <w:widowControl w:val="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要求中心支持对用户端杀毒软件卸载的功能，方便运维管理。</w:t>
            </w:r>
          </w:p>
        </w:tc>
      </w:tr>
      <w:tr w14:paraId="48EA50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0D2C3C71">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21</w:t>
            </w:r>
          </w:p>
        </w:tc>
        <w:tc>
          <w:tcPr>
            <w:tcW w:w="1518" w:type="dxa"/>
            <w:vMerge w:val="continue"/>
          </w:tcPr>
          <w:p w14:paraId="187669DF">
            <w:pPr>
              <w:widowControl w:val="0"/>
              <w:jc w:val="both"/>
              <w:rPr>
                <w:rFonts w:hint="eastAsia" w:ascii="宋体" w:hAnsi="宋体" w:eastAsia="宋体" w:cs="宋体"/>
                <w:color w:val="000000" w:themeColor="text1"/>
                <w:sz w:val="21"/>
                <w:szCs w:val="21"/>
                <w14:textFill>
                  <w14:solidFill>
                    <w14:schemeClr w14:val="tx1"/>
                  </w14:solidFill>
                </w14:textFill>
              </w:rPr>
            </w:pPr>
          </w:p>
        </w:tc>
        <w:tc>
          <w:tcPr>
            <w:tcW w:w="6391" w:type="dxa"/>
          </w:tcPr>
          <w:p w14:paraId="006E850B">
            <w:pPr>
              <w:widowControl w:val="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要求中心支持对用户端杀毒软件开启免打扰功能，可自定义是否弹窗告警信息，包括后台查杀、实时监控、邮件监控、web扫描、程序执行控制、漏洞修复等信息。</w:t>
            </w:r>
          </w:p>
        </w:tc>
      </w:tr>
      <w:tr w14:paraId="26E3A6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57" w:type="dxa"/>
            <w:vAlign w:val="center"/>
          </w:tcPr>
          <w:p w14:paraId="16E092DE">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22</w:t>
            </w:r>
          </w:p>
        </w:tc>
        <w:tc>
          <w:tcPr>
            <w:tcW w:w="1518" w:type="dxa"/>
            <w:vMerge w:val="restart"/>
            <w:vAlign w:val="center"/>
          </w:tcPr>
          <w:p w14:paraId="10DD953D">
            <w:pPr>
              <w:widowControl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漏洞扫描</w:t>
            </w:r>
          </w:p>
          <w:p w14:paraId="1C5ADF60">
            <w:pPr>
              <w:widowControl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补丁修复</w:t>
            </w:r>
          </w:p>
        </w:tc>
        <w:tc>
          <w:tcPr>
            <w:tcW w:w="6391" w:type="dxa"/>
          </w:tcPr>
          <w:p w14:paraId="7C66EBC1">
            <w:pPr>
              <w:widowControl w:val="0"/>
              <w:jc w:val="both"/>
              <w:rPr>
                <w:rFonts w:hint="eastAsia" w:ascii="宋体" w:hAnsi="宋体" w:eastAsia="宋体" w:cs="宋体"/>
                <w:sz w:val="21"/>
                <w:szCs w:val="21"/>
              </w:rPr>
            </w:pPr>
            <w:r>
              <w:rPr>
                <w:rFonts w:hint="eastAsia" w:ascii="宋体" w:hAnsi="宋体" w:eastAsia="宋体" w:cs="宋体"/>
                <w:sz w:val="21"/>
                <w:szCs w:val="21"/>
              </w:rPr>
              <w:t>要求支持漏洞集中修复、统一修复高危漏洞、统一修复所有漏洞，并展示修复结果和修复失败的原因。</w:t>
            </w:r>
          </w:p>
        </w:tc>
      </w:tr>
      <w:tr w14:paraId="016CCC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29C482D2">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23</w:t>
            </w:r>
          </w:p>
        </w:tc>
        <w:tc>
          <w:tcPr>
            <w:tcW w:w="1518" w:type="dxa"/>
            <w:vMerge w:val="continue"/>
          </w:tcPr>
          <w:p w14:paraId="54256C6B">
            <w:pPr>
              <w:widowControl w:val="0"/>
              <w:jc w:val="both"/>
              <w:rPr>
                <w:rFonts w:hint="eastAsia" w:ascii="宋体" w:hAnsi="宋体" w:eastAsia="宋体" w:cs="宋体"/>
                <w:color w:val="000000" w:themeColor="text1"/>
                <w:sz w:val="21"/>
                <w:szCs w:val="21"/>
                <w14:textFill>
                  <w14:solidFill>
                    <w14:schemeClr w14:val="tx1"/>
                  </w14:solidFill>
                </w14:textFill>
              </w:rPr>
            </w:pPr>
          </w:p>
        </w:tc>
        <w:tc>
          <w:tcPr>
            <w:tcW w:w="6391" w:type="dxa"/>
          </w:tcPr>
          <w:p w14:paraId="2754380F">
            <w:pPr>
              <w:widowControl w:val="0"/>
              <w:jc w:val="both"/>
              <w:rPr>
                <w:rFonts w:hint="eastAsia" w:ascii="宋体" w:hAnsi="宋体" w:eastAsia="宋体" w:cs="宋体"/>
                <w:sz w:val="21"/>
                <w:szCs w:val="21"/>
              </w:rPr>
            </w:pPr>
            <w:r>
              <w:rPr>
                <w:rFonts w:hint="eastAsia" w:ascii="宋体" w:hAnsi="宋体" w:eastAsia="宋体" w:cs="宋体"/>
                <w:sz w:val="21"/>
                <w:szCs w:val="21"/>
              </w:rPr>
              <w:t>要求支持带宽设置：可限制终端下载补丁时的最大并发数及单个连接最大下载速度，缓解对带宽带来的压力。</w:t>
            </w:r>
          </w:p>
        </w:tc>
      </w:tr>
      <w:tr w14:paraId="120B2F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7079E10C">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24</w:t>
            </w:r>
          </w:p>
        </w:tc>
        <w:tc>
          <w:tcPr>
            <w:tcW w:w="1518" w:type="dxa"/>
            <w:vAlign w:val="center"/>
          </w:tcPr>
          <w:p w14:paraId="28D6B163">
            <w:pPr>
              <w:widowControl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反病毒引擎</w:t>
            </w:r>
          </w:p>
        </w:tc>
        <w:tc>
          <w:tcPr>
            <w:tcW w:w="6391" w:type="dxa"/>
          </w:tcPr>
          <w:p w14:paraId="2FB3057E">
            <w:pPr>
              <w:widowControl w:val="0"/>
              <w:jc w:val="both"/>
              <w:rPr>
                <w:rFonts w:hint="eastAsia" w:ascii="宋体" w:hAnsi="宋体" w:eastAsia="宋体" w:cs="宋体"/>
                <w:sz w:val="21"/>
                <w:szCs w:val="21"/>
              </w:rPr>
            </w:pPr>
            <w:r>
              <w:rPr>
                <w:rFonts w:hint="eastAsia" w:ascii="宋体" w:hAnsi="宋体" w:eastAsia="宋体" w:cs="宋体"/>
                <w:sz w:val="21"/>
                <w:szCs w:val="21"/>
              </w:rPr>
              <w:t>要求</w:t>
            </w:r>
            <w:r>
              <w:rPr>
                <w:rFonts w:hint="eastAsia" w:ascii="宋体" w:hAnsi="宋体" w:eastAsia="宋体" w:cs="宋体"/>
                <w:kern w:val="0"/>
                <w:sz w:val="21"/>
                <w:szCs w:val="21"/>
              </w:rPr>
              <w:t>具有反病毒底层技术，反病毒引擎为本地反病毒引擎，不依赖云（联网时的病毒查杀能力与断网时的病毒查杀能力一致）具有轻量级的病毒库，却有较强的病毒查杀能力。</w:t>
            </w:r>
          </w:p>
        </w:tc>
      </w:tr>
      <w:tr w14:paraId="5BC06B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1566B3D7">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25</w:t>
            </w:r>
          </w:p>
        </w:tc>
        <w:tc>
          <w:tcPr>
            <w:tcW w:w="1518" w:type="dxa"/>
            <w:vAlign w:val="center"/>
          </w:tcPr>
          <w:p w14:paraId="248BD750">
            <w:pPr>
              <w:widowControl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病毒防御</w:t>
            </w:r>
          </w:p>
        </w:tc>
        <w:tc>
          <w:tcPr>
            <w:tcW w:w="6391" w:type="dxa"/>
          </w:tcPr>
          <w:p w14:paraId="5AB68E2D">
            <w:pPr>
              <w:widowControl w:val="0"/>
              <w:jc w:val="both"/>
              <w:rPr>
                <w:rFonts w:hint="eastAsia" w:ascii="宋体" w:hAnsi="宋体" w:eastAsia="宋体" w:cs="宋体"/>
                <w:sz w:val="21"/>
                <w:szCs w:val="21"/>
              </w:rPr>
            </w:pPr>
            <w:r>
              <w:rPr>
                <w:rFonts w:hint="eastAsia" w:ascii="宋体" w:hAnsi="宋体" w:eastAsia="宋体" w:cs="宋体"/>
                <w:sz w:val="21"/>
                <w:szCs w:val="21"/>
              </w:rPr>
              <w:t>要求</w:t>
            </w:r>
            <w:r>
              <w:rPr>
                <w:rFonts w:hint="eastAsia" w:ascii="宋体" w:hAnsi="宋体" w:eastAsia="宋体" w:cs="宋体"/>
                <w:kern w:val="0"/>
                <w:sz w:val="21"/>
                <w:szCs w:val="21"/>
              </w:rPr>
              <w:t>支持对各种加壳的病毒文件进行病毒查杀，包括病毒使用的自定义壳、代码混淆器在内的所有其他代码级对抗技术，均可解决。</w:t>
            </w:r>
          </w:p>
        </w:tc>
      </w:tr>
      <w:tr w14:paraId="3A3548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3A40373E">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26</w:t>
            </w:r>
          </w:p>
        </w:tc>
        <w:tc>
          <w:tcPr>
            <w:tcW w:w="1518" w:type="dxa"/>
            <w:vMerge w:val="restart"/>
            <w:vAlign w:val="center"/>
          </w:tcPr>
          <w:p w14:paraId="7E01B673">
            <w:pPr>
              <w:widowControl w:val="0"/>
              <w:jc w:val="center"/>
              <w:rPr>
                <w:rFonts w:hint="eastAsia" w:ascii="宋体" w:hAnsi="宋体" w:eastAsia="宋体" w:cs="宋体"/>
                <w:b/>
                <w:bCs/>
                <w:color w:val="000000" w:themeColor="text1"/>
                <w:sz w:val="21"/>
                <w:szCs w:val="21"/>
                <w14:textFill>
                  <w14:solidFill>
                    <w14:schemeClr w14:val="tx1"/>
                  </w14:solidFill>
                </w14:textFill>
              </w:rPr>
            </w:pPr>
          </w:p>
          <w:p w14:paraId="14C0E288">
            <w:pPr>
              <w:widowControl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网络防御</w:t>
            </w:r>
          </w:p>
        </w:tc>
        <w:tc>
          <w:tcPr>
            <w:tcW w:w="6391" w:type="dxa"/>
          </w:tcPr>
          <w:p w14:paraId="56B3C493">
            <w:pPr>
              <w:widowControl w:val="0"/>
              <w:jc w:val="both"/>
              <w:rPr>
                <w:rFonts w:hint="eastAsia" w:ascii="宋体" w:hAnsi="宋体" w:eastAsia="宋体" w:cs="宋体"/>
                <w:sz w:val="21"/>
                <w:szCs w:val="21"/>
              </w:rPr>
            </w:pPr>
            <w:r>
              <w:rPr>
                <w:rFonts w:hint="eastAsia" w:ascii="宋体" w:hAnsi="宋体" w:eastAsia="宋体" w:cs="宋体"/>
                <w:sz w:val="21"/>
                <w:szCs w:val="21"/>
              </w:rPr>
              <w:t>要求</w:t>
            </w:r>
            <w:r>
              <w:rPr>
                <w:rFonts w:hint="eastAsia" w:ascii="宋体" w:hAnsi="宋体" w:eastAsia="宋体" w:cs="宋体"/>
                <w:kern w:val="0"/>
                <w:sz w:val="21"/>
                <w:szCs w:val="21"/>
              </w:rPr>
              <w:t>支持网络入侵拦截，拦截高危远程漏洞攻击，从而阻止勒索病毒、黑客攻击等通过响应漏洞入侵，可溯源到攻击源的地址，做出有效的动作，阻止病毒爆发。</w:t>
            </w:r>
          </w:p>
        </w:tc>
      </w:tr>
      <w:tr w14:paraId="702BE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341FB741">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27</w:t>
            </w:r>
          </w:p>
        </w:tc>
        <w:tc>
          <w:tcPr>
            <w:tcW w:w="1518" w:type="dxa"/>
            <w:vMerge w:val="continue"/>
            <w:vAlign w:val="center"/>
          </w:tcPr>
          <w:p w14:paraId="0DABFD59">
            <w:pPr>
              <w:widowControl w:val="0"/>
              <w:jc w:val="both"/>
              <w:rPr>
                <w:rFonts w:hint="eastAsia" w:ascii="宋体" w:hAnsi="宋体" w:eastAsia="宋体" w:cs="宋体"/>
                <w:color w:val="000000" w:themeColor="text1"/>
                <w:sz w:val="21"/>
                <w:szCs w:val="21"/>
                <w14:textFill>
                  <w14:solidFill>
                    <w14:schemeClr w14:val="tx1"/>
                  </w14:solidFill>
                </w14:textFill>
              </w:rPr>
            </w:pPr>
          </w:p>
        </w:tc>
        <w:tc>
          <w:tcPr>
            <w:tcW w:w="6391" w:type="dxa"/>
          </w:tcPr>
          <w:p w14:paraId="3515A3AC">
            <w:pPr>
              <w:widowControl w:val="0"/>
              <w:jc w:val="both"/>
              <w:rPr>
                <w:rFonts w:hint="eastAsia" w:ascii="宋体" w:hAnsi="宋体" w:eastAsia="宋体" w:cs="宋体"/>
                <w:sz w:val="21"/>
                <w:szCs w:val="21"/>
              </w:rPr>
            </w:pPr>
            <w:r>
              <w:rPr>
                <w:rFonts w:hint="eastAsia" w:ascii="宋体" w:hAnsi="宋体" w:eastAsia="宋体" w:cs="宋体"/>
                <w:sz w:val="21"/>
                <w:szCs w:val="21"/>
              </w:rPr>
              <w:t>要求</w:t>
            </w:r>
            <w:r>
              <w:rPr>
                <w:rFonts w:hint="eastAsia" w:ascii="宋体" w:hAnsi="宋体" w:eastAsia="宋体" w:cs="宋体"/>
                <w:kern w:val="0"/>
                <w:sz w:val="21"/>
                <w:szCs w:val="21"/>
              </w:rPr>
              <w:t>支持对外攻击检测，检测内网机器对外攻击情况阻止并且记录。</w:t>
            </w:r>
          </w:p>
        </w:tc>
      </w:tr>
      <w:tr w14:paraId="5FDD80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032A1EC2">
            <w:pPr>
              <w:keepNext w:val="0"/>
              <w:keepLines w:val="0"/>
              <w:widowControl/>
              <w:suppressLineNumbers w:val="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28</w:t>
            </w:r>
          </w:p>
        </w:tc>
        <w:tc>
          <w:tcPr>
            <w:tcW w:w="1518" w:type="dxa"/>
            <w:vMerge w:val="continue"/>
            <w:vAlign w:val="center"/>
          </w:tcPr>
          <w:p w14:paraId="26CAA5B4">
            <w:pPr>
              <w:widowControl w:val="0"/>
              <w:jc w:val="both"/>
              <w:rPr>
                <w:rFonts w:hint="eastAsia" w:ascii="宋体" w:hAnsi="宋体" w:eastAsia="宋体" w:cs="宋体"/>
                <w:color w:val="000000" w:themeColor="text1"/>
                <w:sz w:val="21"/>
                <w:szCs w:val="21"/>
                <w14:textFill>
                  <w14:solidFill>
                    <w14:schemeClr w14:val="tx1"/>
                  </w14:solidFill>
                </w14:textFill>
              </w:rPr>
            </w:pPr>
          </w:p>
        </w:tc>
        <w:tc>
          <w:tcPr>
            <w:tcW w:w="6391" w:type="dxa"/>
          </w:tcPr>
          <w:p w14:paraId="5DB719E7">
            <w:pPr>
              <w:widowControl w:val="0"/>
              <w:jc w:val="both"/>
              <w:rPr>
                <w:rFonts w:hint="eastAsia" w:ascii="宋体" w:hAnsi="宋体" w:eastAsia="宋体" w:cs="宋体"/>
                <w:sz w:val="21"/>
                <w:szCs w:val="21"/>
              </w:rPr>
            </w:pPr>
            <w:r>
              <w:rPr>
                <w:rFonts w:hint="eastAsia" w:ascii="宋体" w:hAnsi="宋体" w:eastAsia="宋体" w:cs="宋体"/>
                <w:sz w:val="21"/>
                <w:szCs w:val="21"/>
              </w:rPr>
              <w:t>要求支持横向渗透防护，防护内网中已中毒机器感染其他主机，阻止横向传播、病毒以及木马的扩散防护项包括默认共享访问、远程服务创建、远程计划任务创建、远程注册表篡改、远程MMC调用、远程DCOM调用、远程WMI调用有效阻止病毒横向渗透；</w:t>
            </w:r>
          </w:p>
        </w:tc>
      </w:tr>
      <w:tr w14:paraId="6D0635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1E56D256">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29</w:t>
            </w:r>
          </w:p>
        </w:tc>
        <w:tc>
          <w:tcPr>
            <w:tcW w:w="1518" w:type="dxa"/>
            <w:vMerge w:val="restart"/>
            <w:vAlign w:val="center"/>
          </w:tcPr>
          <w:p w14:paraId="48C1061D">
            <w:pPr>
              <w:widowControl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系统防御</w:t>
            </w:r>
          </w:p>
        </w:tc>
        <w:tc>
          <w:tcPr>
            <w:tcW w:w="6391" w:type="dxa"/>
          </w:tcPr>
          <w:p w14:paraId="2F271696">
            <w:pPr>
              <w:widowControl w:val="0"/>
              <w:jc w:val="both"/>
              <w:rPr>
                <w:rFonts w:hint="eastAsia" w:ascii="宋体" w:hAnsi="宋体" w:eastAsia="宋体" w:cs="宋体"/>
                <w:color w:val="000000" w:themeColor="text1"/>
                <w:sz w:val="21"/>
                <w:szCs w:val="21"/>
                <w14:textFill>
                  <w14:solidFill>
                    <w14:schemeClr w14:val="tx1"/>
                  </w14:solidFill>
                </w14:textFill>
              </w:rPr>
            </w:pPr>
            <w:r>
              <w:rPr>
                <w:rFonts w:hint="eastAsia" w:cs="宋体"/>
                <w:sz w:val="21"/>
                <w:szCs w:val="21"/>
                <w:lang w:val="en-US" w:eastAsia="zh-CN"/>
              </w:rPr>
              <w:t>△</w:t>
            </w:r>
            <w:r>
              <w:rPr>
                <w:rFonts w:hint="eastAsia" w:ascii="宋体" w:hAnsi="宋体" w:eastAsia="宋体" w:cs="宋体"/>
                <w:sz w:val="21"/>
                <w:szCs w:val="21"/>
              </w:rPr>
              <w:t>要求</w:t>
            </w:r>
            <w:r>
              <w:rPr>
                <w:rFonts w:hint="eastAsia" w:ascii="宋体" w:hAnsi="宋体" w:eastAsia="宋体" w:cs="宋体"/>
                <w:kern w:val="0"/>
                <w:sz w:val="21"/>
                <w:szCs w:val="21"/>
              </w:rPr>
              <w:t>支持系统加固，针对病毒会利用或修改的系统脆弱点，设置相应的防护规则，有效保护系统关键文件不被篡改、破坏或恶意创建，防止特定注册表项目不被恶意篡改，监控针对系统的敏感行为，拦截高风险动作，阻止特定命令行被恶意利用的行为，保护系统关键进程不被攻击利用，针对病毒特殊行为进行免疫等。</w:t>
            </w:r>
          </w:p>
        </w:tc>
      </w:tr>
      <w:tr w14:paraId="029CB8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2BFF518B">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30</w:t>
            </w:r>
          </w:p>
        </w:tc>
        <w:tc>
          <w:tcPr>
            <w:tcW w:w="1518" w:type="dxa"/>
            <w:vMerge w:val="continue"/>
            <w:vAlign w:val="center"/>
          </w:tcPr>
          <w:p w14:paraId="060CE123">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tcPr>
          <w:p w14:paraId="5A6D5E43">
            <w:pPr>
              <w:widowControl w:val="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要求</w:t>
            </w:r>
            <w:r>
              <w:rPr>
                <w:rFonts w:hint="eastAsia" w:ascii="宋体" w:hAnsi="宋体" w:eastAsia="宋体" w:cs="宋体"/>
                <w:kern w:val="0"/>
                <w:sz w:val="21"/>
                <w:szCs w:val="21"/>
              </w:rPr>
              <w:t>支持应用加固，通过对容易被恶意代码攻击的软件进行行为限制，防止这些软件被恶意代码利用。</w:t>
            </w:r>
          </w:p>
        </w:tc>
      </w:tr>
      <w:tr w14:paraId="2C0774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2B30A3EE">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31</w:t>
            </w:r>
          </w:p>
        </w:tc>
        <w:tc>
          <w:tcPr>
            <w:tcW w:w="1518" w:type="dxa"/>
            <w:vMerge w:val="continue"/>
            <w:vAlign w:val="center"/>
          </w:tcPr>
          <w:p w14:paraId="73D7926F">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tcPr>
          <w:p w14:paraId="14A7806B">
            <w:pPr>
              <w:widowControl w:val="0"/>
              <w:jc w:val="both"/>
              <w:rPr>
                <w:rFonts w:hint="eastAsia" w:ascii="宋体" w:hAnsi="宋体" w:eastAsia="宋体" w:cs="宋体"/>
                <w:color w:val="000000" w:themeColor="text1"/>
                <w:sz w:val="21"/>
                <w:szCs w:val="21"/>
                <w14:textFill>
                  <w14:solidFill>
                    <w14:schemeClr w14:val="tx1"/>
                  </w14:solidFill>
                </w14:textFill>
              </w:rPr>
            </w:pPr>
            <w:r>
              <w:rPr>
                <w:rFonts w:hint="eastAsia" w:cs="宋体"/>
                <w:sz w:val="21"/>
                <w:szCs w:val="21"/>
                <w:lang w:val="en-US" w:eastAsia="zh-CN"/>
              </w:rPr>
              <w:t>△</w:t>
            </w:r>
            <w:r>
              <w:rPr>
                <w:rFonts w:hint="eastAsia" w:ascii="宋体" w:hAnsi="宋体" w:eastAsia="宋体" w:cs="宋体"/>
                <w:sz w:val="21"/>
                <w:szCs w:val="21"/>
              </w:rPr>
              <w:t>要求</w:t>
            </w:r>
            <w:r>
              <w:rPr>
                <w:rFonts w:hint="eastAsia" w:ascii="宋体" w:hAnsi="宋体" w:eastAsia="宋体" w:cs="宋体"/>
                <w:kern w:val="0"/>
                <w:sz w:val="21"/>
                <w:szCs w:val="21"/>
              </w:rPr>
              <w:t>支持软件捆绑安装拦截，对曾经被推广过或是本身带有捆绑行为的软件进行安装拦截。</w:t>
            </w:r>
            <w:r>
              <w:rPr>
                <w:rFonts w:ascii="宋体" w:hAnsi="宋体" w:eastAsia="宋体" w:cs="Times New Roman"/>
                <w:color w:val="auto"/>
                <w:kern w:val="0"/>
                <w:sz w:val="21"/>
                <w:szCs w:val="21"/>
              </w:rPr>
              <w:t>提供功能截图</w:t>
            </w:r>
            <w:r>
              <w:rPr>
                <w:rFonts w:hint="eastAsia" w:ascii="宋体" w:hAnsi="宋体" w:eastAsia="宋体" w:cs="Times New Roman"/>
                <w:color w:val="auto"/>
                <w:kern w:val="0"/>
                <w:sz w:val="21"/>
                <w:szCs w:val="21"/>
                <w:lang w:val="en-US" w:eastAsia="zh-CN"/>
              </w:rPr>
              <w:t>证明材料</w:t>
            </w:r>
          </w:p>
        </w:tc>
      </w:tr>
      <w:tr w14:paraId="360CC7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2845ADB5">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1518" w:type="dxa"/>
            <w:vMerge w:val="restart"/>
            <w:vAlign w:val="center"/>
          </w:tcPr>
          <w:p w14:paraId="0ED4911B">
            <w:pPr>
              <w:widowControl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访问控制</w:t>
            </w:r>
          </w:p>
        </w:tc>
        <w:tc>
          <w:tcPr>
            <w:tcW w:w="6391" w:type="dxa"/>
          </w:tcPr>
          <w:p w14:paraId="70C865B1">
            <w:pPr>
              <w:widowControl w:val="0"/>
              <w:jc w:val="both"/>
              <w:rPr>
                <w:rFonts w:hint="eastAsia" w:ascii="宋体" w:hAnsi="宋体" w:eastAsia="宋体" w:cs="宋体"/>
                <w:sz w:val="21"/>
                <w:szCs w:val="21"/>
              </w:rPr>
            </w:pPr>
            <w:r>
              <w:rPr>
                <w:rFonts w:hint="eastAsia" w:ascii="宋体" w:hAnsi="宋体" w:eastAsia="宋体" w:cs="宋体"/>
                <w:sz w:val="21"/>
                <w:szCs w:val="21"/>
              </w:rPr>
              <w:t>要求具备</w:t>
            </w:r>
            <w:r>
              <w:rPr>
                <w:rFonts w:hint="eastAsia" w:ascii="宋体" w:hAnsi="宋体" w:eastAsia="宋体" w:cs="宋体"/>
                <w:kern w:val="0"/>
                <w:sz w:val="21"/>
                <w:szCs w:val="21"/>
              </w:rPr>
              <w:t>IP协议控制功能，IP协议控制功能能够支持域名控制，根据内网中的安全状态，灵活配置域名、IP协议以及端口，在病毒爆发的第一时间迅速利用IP协议控制功能来遏止病毒的扩散或入侵行为。</w:t>
            </w:r>
          </w:p>
        </w:tc>
      </w:tr>
      <w:tr w14:paraId="2390A8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6C376D6B">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33</w:t>
            </w:r>
          </w:p>
        </w:tc>
        <w:tc>
          <w:tcPr>
            <w:tcW w:w="1518" w:type="dxa"/>
            <w:vMerge w:val="continue"/>
            <w:vAlign w:val="center"/>
          </w:tcPr>
          <w:p w14:paraId="6AC28509">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tcPr>
          <w:p w14:paraId="3A7B4E33">
            <w:pPr>
              <w:widowControl w:val="0"/>
              <w:jc w:val="both"/>
              <w:rPr>
                <w:rFonts w:hint="eastAsia" w:ascii="宋体" w:hAnsi="宋体" w:eastAsia="宋体" w:cs="宋体"/>
                <w:sz w:val="21"/>
                <w:szCs w:val="21"/>
              </w:rPr>
            </w:pPr>
            <w:r>
              <w:rPr>
                <w:rFonts w:hint="eastAsia" w:ascii="宋体" w:hAnsi="宋体" w:eastAsia="宋体" w:cs="宋体"/>
                <w:sz w:val="21"/>
                <w:szCs w:val="21"/>
              </w:rPr>
              <w:t>要求</w:t>
            </w:r>
            <w:r>
              <w:rPr>
                <w:rFonts w:hint="eastAsia" w:ascii="宋体" w:hAnsi="宋体" w:eastAsia="宋体" w:cs="宋体"/>
                <w:kern w:val="0"/>
                <w:sz w:val="21"/>
                <w:szCs w:val="21"/>
              </w:rPr>
              <w:t>支持网站内容控制，自定义限制计算机访问指定网址，达到屏蔽该网站的目的。限制访客访问不受信任的网站。</w:t>
            </w:r>
          </w:p>
        </w:tc>
      </w:tr>
      <w:tr w14:paraId="3AE4B7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7CD69D5F">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34</w:t>
            </w:r>
          </w:p>
        </w:tc>
        <w:tc>
          <w:tcPr>
            <w:tcW w:w="1518" w:type="dxa"/>
            <w:vMerge w:val="continue"/>
            <w:vAlign w:val="center"/>
          </w:tcPr>
          <w:p w14:paraId="6A845026">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tcPr>
          <w:p w14:paraId="02E9C306">
            <w:pPr>
              <w:widowControl w:val="0"/>
              <w:jc w:val="both"/>
              <w:rPr>
                <w:rFonts w:hint="eastAsia" w:ascii="宋体" w:hAnsi="宋体" w:eastAsia="宋体" w:cs="宋体"/>
                <w:color w:val="000000" w:themeColor="text1"/>
                <w:sz w:val="21"/>
                <w:szCs w:val="21"/>
                <w14:textFill>
                  <w14:solidFill>
                    <w14:schemeClr w14:val="tx1"/>
                  </w14:solidFill>
                </w14:textFill>
              </w:rPr>
            </w:pPr>
            <w:r>
              <w:rPr>
                <w:rFonts w:hint="eastAsia" w:cs="宋体"/>
                <w:sz w:val="21"/>
                <w:szCs w:val="21"/>
                <w:lang w:val="en-US" w:eastAsia="zh-CN"/>
              </w:rPr>
              <w:t>△</w:t>
            </w:r>
            <w:r>
              <w:rPr>
                <w:rFonts w:hint="eastAsia" w:ascii="宋体" w:hAnsi="宋体" w:eastAsia="宋体" w:cs="宋体"/>
                <w:sz w:val="21"/>
                <w:szCs w:val="21"/>
              </w:rPr>
              <w:t>要求</w:t>
            </w:r>
            <w:r>
              <w:rPr>
                <w:rFonts w:hint="eastAsia" w:ascii="宋体" w:hAnsi="宋体" w:eastAsia="宋体" w:cs="宋体"/>
                <w:kern w:val="0"/>
                <w:sz w:val="21"/>
                <w:szCs w:val="21"/>
              </w:rPr>
              <w:t>支持程序执行控制，自定义限制终端使用某软件；可通过文件sha1、文件路径方式配置。</w:t>
            </w:r>
            <w:r>
              <w:rPr>
                <w:rFonts w:ascii="宋体" w:hAnsi="宋体" w:eastAsia="宋体" w:cs="Times New Roman"/>
                <w:color w:val="auto"/>
                <w:kern w:val="0"/>
                <w:sz w:val="21"/>
                <w:szCs w:val="21"/>
              </w:rPr>
              <w:t>提供功能截图</w:t>
            </w:r>
            <w:r>
              <w:rPr>
                <w:rFonts w:hint="eastAsia" w:ascii="宋体" w:hAnsi="宋体" w:eastAsia="宋体" w:cs="Times New Roman"/>
                <w:color w:val="auto"/>
                <w:kern w:val="0"/>
                <w:sz w:val="21"/>
                <w:szCs w:val="21"/>
                <w:lang w:val="en-US" w:eastAsia="zh-CN"/>
              </w:rPr>
              <w:t>证明材料</w:t>
            </w:r>
          </w:p>
        </w:tc>
      </w:tr>
      <w:tr w14:paraId="5A0D34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857" w:type="dxa"/>
            <w:vAlign w:val="center"/>
          </w:tcPr>
          <w:p w14:paraId="579DAEAF">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35</w:t>
            </w:r>
          </w:p>
        </w:tc>
        <w:tc>
          <w:tcPr>
            <w:tcW w:w="1518" w:type="dxa"/>
            <w:vMerge w:val="continue"/>
            <w:vAlign w:val="center"/>
          </w:tcPr>
          <w:p w14:paraId="2F70B47C">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tcPr>
          <w:p w14:paraId="710528B3">
            <w:pPr>
              <w:widowControl w:val="0"/>
              <w:jc w:val="both"/>
              <w:rPr>
                <w:rFonts w:hint="eastAsia" w:ascii="宋体" w:hAnsi="宋体" w:eastAsia="宋体" w:cs="宋体"/>
                <w:color w:val="000000" w:themeColor="text1"/>
                <w:sz w:val="21"/>
                <w:szCs w:val="21"/>
                <w14:textFill>
                  <w14:solidFill>
                    <w14:schemeClr w14:val="tx1"/>
                  </w14:solidFill>
                </w14:textFill>
              </w:rPr>
            </w:pPr>
            <w:r>
              <w:rPr>
                <w:rFonts w:hint="eastAsia" w:cs="宋体"/>
                <w:color w:val="000000" w:themeColor="text1"/>
                <w:kern w:val="0"/>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客户端内置</w:t>
            </w:r>
            <w:r>
              <w:rPr>
                <w:rFonts w:hint="eastAsia" w:ascii="宋体" w:hAnsi="宋体" w:eastAsia="宋体" w:cs="宋体"/>
                <w:color w:val="000000" w:themeColor="text1"/>
                <w:sz w:val="21"/>
                <w:szCs w:val="21"/>
                <w14:textFill>
                  <w14:solidFill>
                    <w14:schemeClr w14:val="tx1"/>
                  </w14:solidFill>
                </w14:textFill>
              </w:rPr>
              <w:t>常见风险工具、远程控制工具、下载站下载器、对战平台、单机游戏等程序列表，具备一键开启阻止功能</w:t>
            </w:r>
            <w:r>
              <w:rPr>
                <w:rFonts w:hint="eastAsia" w:ascii="宋体" w:hAnsi="宋体" w:eastAsia="宋体" w:cs="宋体"/>
                <w:color w:val="auto"/>
                <w:sz w:val="21"/>
                <w:szCs w:val="21"/>
              </w:rPr>
              <w:t>。</w:t>
            </w:r>
            <w:r>
              <w:rPr>
                <w:rFonts w:ascii="宋体" w:hAnsi="宋体" w:eastAsia="宋体" w:cs="Times New Roman"/>
                <w:color w:val="auto"/>
                <w:kern w:val="0"/>
                <w:sz w:val="21"/>
                <w:szCs w:val="21"/>
              </w:rPr>
              <w:t>提供功能截图</w:t>
            </w:r>
            <w:r>
              <w:rPr>
                <w:rFonts w:hint="eastAsia" w:ascii="宋体" w:hAnsi="宋体" w:eastAsia="宋体" w:cs="Times New Roman"/>
                <w:color w:val="auto"/>
                <w:kern w:val="0"/>
                <w:sz w:val="21"/>
                <w:szCs w:val="21"/>
                <w:lang w:val="en-US" w:eastAsia="zh-CN"/>
              </w:rPr>
              <w:t>证明材料</w:t>
            </w:r>
          </w:p>
        </w:tc>
      </w:tr>
      <w:tr w14:paraId="0CFC7E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539621C2">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1518" w:type="dxa"/>
            <w:vMerge w:val="restart"/>
            <w:vAlign w:val="center"/>
          </w:tcPr>
          <w:p w14:paraId="2AE0E200">
            <w:pPr>
              <w:widowControl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安全工具</w:t>
            </w:r>
          </w:p>
        </w:tc>
        <w:tc>
          <w:tcPr>
            <w:tcW w:w="6391" w:type="dxa"/>
          </w:tcPr>
          <w:p w14:paraId="5F70564C">
            <w:pPr>
              <w:widowControl w:val="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要求</w:t>
            </w:r>
            <w:r>
              <w:rPr>
                <w:rFonts w:hint="eastAsia" w:ascii="宋体" w:hAnsi="宋体" w:eastAsia="宋体" w:cs="宋体"/>
                <w:kern w:val="0"/>
                <w:sz w:val="21"/>
                <w:szCs w:val="21"/>
              </w:rPr>
              <w:t>支持终端安全工具的使用管控，包括漏洞修复、系统修复、弹窗拦截、垃圾清理、文件粉碎、启动项管理、右键管理、断网修复、网络流量，安全工具可设置隐藏，禁止终端用户使用。</w:t>
            </w:r>
          </w:p>
        </w:tc>
      </w:tr>
      <w:tr w14:paraId="4191E5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16BF1F31">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37</w:t>
            </w:r>
          </w:p>
        </w:tc>
        <w:tc>
          <w:tcPr>
            <w:tcW w:w="1518" w:type="dxa"/>
            <w:vMerge w:val="continue"/>
            <w:vAlign w:val="center"/>
          </w:tcPr>
          <w:p w14:paraId="280EC08B">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tcPr>
          <w:p w14:paraId="16227348">
            <w:pPr>
              <w:widowControl w:val="0"/>
              <w:jc w:val="both"/>
              <w:rPr>
                <w:rFonts w:hint="eastAsia" w:ascii="宋体" w:hAnsi="宋体" w:eastAsia="宋体" w:cs="宋体"/>
                <w:color w:val="0000FF"/>
                <w:sz w:val="21"/>
                <w:szCs w:val="21"/>
              </w:rPr>
            </w:pPr>
            <w:r>
              <w:rPr>
                <w:rFonts w:hint="eastAsia" w:cs="宋体"/>
                <w:sz w:val="21"/>
                <w:szCs w:val="21"/>
                <w:lang w:val="en-US" w:eastAsia="zh-CN"/>
              </w:rPr>
              <w:t>△</w:t>
            </w:r>
            <w:r>
              <w:rPr>
                <w:rFonts w:hint="eastAsia" w:ascii="宋体" w:hAnsi="宋体" w:eastAsia="宋体" w:cs="宋体"/>
                <w:sz w:val="21"/>
                <w:szCs w:val="21"/>
              </w:rPr>
              <w:t>要求终端具有弹窗拦截工具，具备自动拦截方式，手动截图拦截方式，可拦截流氓、广告、以及恶意弹窗等。</w:t>
            </w:r>
          </w:p>
        </w:tc>
      </w:tr>
      <w:tr w14:paraId="0B1504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2C87102E">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38</w:t>
            </w:r>
          </w:p>
        </w:tc>
        <w:tc>
          <w:tcPr>
            <w:tcW w:w="1518" w:type="dxa"/>
            <w:vMerge w:val="restart"/>
            <w:vAlign w:val="center"/>
          </w:tcPr>
          <w:p w14:paraId="2D143697">
            <w:pPr>
              <w:widowControl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行为管理</w:t>
            </w:r>
          </w:p>
        </w:tc>
        <w:tc>
          <w:tcPr>
            <w:tcW w:w="6391" w:type="dxa"/>
            <w:vAlign w:val="center"/>
          </w:tcPr>
          <w:p w14:paraId="7B595D1C">
            <w:pPr>
              <w:widowControl w:val="0"/>
              <w:jc w:val="both"/>
              <w:rPr>
                <w:rFonts w:hint="eastAsia" w:ascii="宋体" w:hAnsi="宋体" w:eastAsia="宋体" w:cs="宋体"/>
                <w:sz w:val="21"/>
                <w:szCs w:val="21"/>
              </w:rPr>
            </w:pPr>
            <w:r>
              <w:rPr>
                <w:rFonts w:hint="eastAsia" w:ascii="宋体" w:hAnsi="宋体" w:eastAsia="宋体" w:cs="宋体"/>
                <w:sz w:val="21"/>
                <w:szCs w:val="21"/>
              </w:rPr>
              <w:t>支持软件禁用功能，可以设置使用违规软件的处理方式，包括记录、提示卸载以及隔离，可添加软件黑白名单，设置软件是否可用，并支持名单的导入、导出功能。</w:t>
            </w:r>
          </w:p>
        </w:tc>
      </w:tr>
      <w:tr w14:paraId="7C3CE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2271AEFA">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39</w:t>
            </w:r>
          </w:p>
        </w:tc>
        <w:tc>
          <w:tcPr>
            <w:tcW w:w="1518" w:type="dxa"/>
            <w:vMerge w:val="continue"/>
            <w:vAlign w:val="center"/>
          </w:tcPr>
          <w:p w14:paraId="3A6FBA88">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vAlign w:val="center"/>
          </w:tcPr>
          <w:p w14:paraId="2623DBD8">
            <w:pPr>
              <w:widowControl w:val="0"/>
              <w:jc w:val="both"/>
              <w:rPr>
                <w:rFonts w:hint="eastAsia" w:ascii="宋体" w:hAnsi="宋体" w:eastAsia="宋体" w:cs="宋体"/>
                <w:sz w:val="21"/>
                <w:szCs w:val="21"/>
              </w:rPr>
            </w:pPr>
            <w:r>
              <w:rPr>
                <w:rFonts w:hint="eastAsia" w:ascii="宋体" w:hAnsi="宋体" w:eastAsia="宋体" w:cs="宋体"/>
                <w:sz w:val="21"/>
                <w:szCs w:val="21"/>
              </w:rPr>
              <w:t>支持管理本地软件库和云软件库，且配合防护策略，可限制不同终端可下载的软件，帮助用户建立私有应用商店，便于维护企业良好的软件使用环境。</w:t>
            </w:r>
          </w:p>
        </w:tc>
      </w:tr>
      <w:tr w14:paraId="029A6E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452C9C25">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w:t>
            </w:r>
          </w:p>
        </w:tc>
        <w:tc>
          <w:tcPr>
            <w:tcW w:w="1518" w:type="dxa"/>
            <w:vMerge w:val="restart"/>
            <w:vAlign w:val="center"/>
          </w:tcPr>
          <w:p w14:paraId="3FC83187">
            <w:pPr>
              <w:widowControl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恶意代码库</w:t>
            </w:r>
          </w:p>
        </w:tc>
        <w:tc>
          <w:tcPr>
            <w:tcW w:w="6391" w:type="dxa"/>
          </w:tcPr>
          <w:p w14:paraId="7F8F999F">
            <w:pPr>
              <w:widowControl w:val="0"/>
              <w:jc w:val="both"/>
              <w:rPr>
                <w:rFonts w:hint="eastAsia" w:ascii="宋体" w:hAnsi="宋体" w:eastAsia="宋体" w:cs="宋体"/>
                <w:sz w:val="21"/>
                <w:szCs w:val="21"/>
              </w:rPr>
            </w:pPr>
            <w:r>
              <w:rPr>
                <w:rFonts w:hint="eastAsia" w:ascii="宋体" w:hAnsi="宋体" w:eastAsia="宋体" w:cs="宋体"/>
                <w:sz w:val="21"/>
                <w:szCs w:val="21"/>
              </w:rPr>
              <w:t>要求支持</w:t>
            </w:r>
            <w:r>
              <w:rPr>
                <w:rFonts w:hint="eastAsia" w:ascii="宋体" w:hAnsi="宋体" w:eastAsia="宋体" w:cs="宋体"/>
                <w:kern w:val="0"/>
                <w:sz w:val="21"/>
                <w:szCs w:val="21"/>
              </w:rPr>
              <w:t>病毒库更新周期为一天一更新，紧急或重大事故出现可及时升级。</w:t>
            </w:r>
          </w:p>
        </w:tc>
      </w:tr>
      <w:tr w14:paraId="12A356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2C728CF4">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41</w:t>
            </w:r>
          </w:p>
        </w:tc>
        <w:tc>
          <w:tcPr>
            <w:tcW w:w="1518" w:type="dxa"/>
            <w:vMerge w:val="continue"/>
            <w:vAlign w:val="center"/>
          </w:tcPr>
          <w:p w14:paraId="458D0E2E">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tcPr>
          <w:p w14:paraId="67E053F2">
            <w:pPr>
              <w:widowControl w:val="0"/>
              <w:jc w:val="both"/>
              <w:rPr>
                <w:rFonts w:hint="eastAsia" w:ascii="宋体" w:hAnsi="宋体" w:eastAsia="宋体" w:cs="宋体"/>
                <w:sz w:val="21"/>
                <w:szCs w:val="21"/>
              </w:rPr>
            </w:pPr>
            <w:r>
              <w:rPr>
                <w:rFonts w:hint="eastAsia" w:ascii="宋体" w:hAnsi="宋体" w:eastAsia="宋体" w:cs="宋体"/>
                <w:sz w:val="21"/>
                <w:szCs w:val="21"/>
              </w:rPr>
              <w:t>要求支持</w:t>
            </w:r>
            <w:r>
              <w:rPr>
                <w:rFonts w:hint="eastAsia" w:ascii="宋体" w:hAnsi="宋体" w:eastAsia="宋体" w:cs="宋体"/>
                <w:kern w:val="0"/>
                <w:sz w:val="21"/>
                <w:szCs w:val="21"/>
              </w:rPr>
              <w:t>十万多种家族类型病毒，亿级别以上样本数量。</w:t>
            </w:r>
          </w:p>
        </w:tc>
      </w:tr>
      <w:tr w14:paraId="4851FD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276CFC95">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42</w:t>
            </w:r>
          </w:p>
        </w:tc>
        <w:tc>
          <w:tcPr>
            <w:tcW w:w="1518" w:type="dxa"/>
            <w:vAlign w:val="center"/>
          </w:tcPr>
          <w:p w14:paraId="2DA750D5">
            <w:pPr>
              <w:widowControl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更新迭代</w:t>
            </w:r>
          </w:p>
        </w:tc>
        <w:tc>
          <w:tcPr>
            <w:tcW w:w="6391" w:type="dxa"/>
          </w:tcPr>
          <w:p w14:paraId="2547B93D">
            <w:pPr>
              <w:widowControl w:val="0"/>
              <w:jc w:val="both"/>
              <w:rPr>
                <w:rFonts w:hint="eastAsia" w:ascii="宋体" w:hAnsi="宋体" w:eastAsia="宋体" w:cs="宋体"/>
                <w:sz w:val="21"/>
                <w:szCs w:val="21"/>
              </w:rPr>
            </w:pPr>
            <w:r>
              <w:rPr>
                <w:rFonts w:hint="eastAsia" w:ascii="宋体" w:hAnsi="宋体" w:eastAsia="宋体" w:cs="宋体"/>
                <w:sz w:val="21"/>
                <w:szCs w:val="21"/>
              </w:rPr>
              <w:t>要求</w:t>
            </w:r>
            <w:r>
              <w:rPr>
                <w:rFonts w:hint="eastAsia" w:ascii="宋体" w:hAnsi="宋体" w:eastAsia="宋体" w:cs="宋体"/>
                <w:kern w:val="0"/>
                <w:sz w:val="21"/>
                <w:szCs w:val="21"/>
              </w:rPr>
              <w:t>支持内网环境中心使用离线增量包更新病毒库与组件版本。</w:t>
            </w:r>
          </w:p>
        </w:tc>
      </w:tr>
      <w:tr w14:paraId="70FDE0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5E0F81E4">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43</w:t>
            </w:r>
          </w:p>
        </w:tc>
        <w:tc>
          <w:tcPr>
            <w:tcW w:w="1518" w:type="dxa"/>
            <w:vMerge w:val="restart"/>
            <w:vAlign w:val="center"/>
          </w:tcPr>
          <w:p w14:paraId="2FAA781C">
            <w:pPr>
              <w:widowControl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日志报表</w:t>
            </w:r>
          </w:p>
        </w:tc>
        <w:tc>
          <w:tcPr>
            <w:tcW w:w="6391" w:type="dxa"/>
          </w:tcPr>
          <w:p w14:paraId="4032B11F">
            <w:pPr>
              <w:widowControl w:val="0"/>
              <w:jc w:val="both"/>
              <w:rPr>
                <w:rFonts w:hint="eastAsia" w:ascii="宋体" w:hAnsi="宋体" w:eastAsia="宋体" w:cs="宋体"/>
                <w:sz w:val="21"/>
                <w:szCs w:val="21"/>
              </w:rPr>
            </w:pPr>
            <w:r>
              <w:rPr>
                <w:rFonts w:hint="eastAsia" w:ascii="宋体" w:hAnsi="宋体" w:eastAsia="宋体" w:cs="宋体"/>
                <w:sz w:val="21"/>
                <w:szCs w:val="21"/>
              </w:rPr>
              <w:t>要求</w:t>
            </w:r>
            <w:r>
              <w:rPr>
                <w:rFonts w:hint="eastAsia" w:ascii="宋体" w:hAnsi="宋体" w:eastAsia="宋体" w:cs="宋体"/>
                <w:kern w:val="0"/>
                <w:sz w:val="21"/>
                <w:szCs w:val="21"/>
              </w:rPr>
              <w:t>支持各类事件日志，包含病毒查杀日志、病毒防御事件日志、系统防御事件日志、网络防御事件日志、访问控制事件日志、漏洞修复事件日志、终端管理日志、系统管理日志。</w:t>
            </w:r>
          </w:p>
        </w:tc>
      </w:tr>
      <w:tr w14:paraId="481C1C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66FAF9FD">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w:t>
            </w:r>
          </w:p>
        </w:tc>
        <w:tc>
          <w:tcPr>
            <w:tcW w:w="1518" w:type="dxa"/>
            <w:vMerge w:val="continue"/>
            <w:vAlign w:val="center"/>
          </w:tcPr>
          <w:p w14:paraId="02D8A589">
            <w:pPr>
              <w:widowControl w:val="0"/>
              <w:jc w:val="center"/>
              <w:rPr>
                <w:rFonts w:hint="eastAsia" w:ascii="宋体" w:hAnsi="宋体" w:eastAsia="宋体" w:cs="宋体"/>
                <w:b/>
                <w:bCs/>
                <w:color w:val="000000" w:themeColor="text1"/>
                <w:sz w:val="21"/>
                <w:szCs w:val="21"/>
                <w14:textFill>
                  <w14:solidFill>
                    <w14:schemeClr w14:val="tx1"/>
                  </w14:solidFill>
                </w14:textFill>
              </w:rPr>
            </w:pPr>
          </w:p>
        </w:tc>
        <w:tc>
          <w:tcPr>
            <w:tcW w:w="6391" w:type="dxa"/>
          </w:tcPr>
          <w:p w14:paraId="3F751F3D">
            <w:pPr>
              <w:widowControl w:val="0"/>
              <w:jc w:val="both"/>
              <w:rPr>
                <w:rFonts w:hint="eastAsia" w:ascii="宋体" w:hAnsi="宋体" w:eastAsia="宋体" w:cs="宋体"/>
                <w:sz w:val="21"/>
                <w:szCs w:val="21"/>
              </w:rPr>
            </w:pPr>
            <w:r>
              <w:rPr>
                <w:rFonts w:hint="eastAsia" w:ascii="宋体" w:hAnsi="宋体" w:eastAsia="宋体" w:cs="宋体"/>
                <w:kern w:val="0"/>
                <w:sz w:val="21"/>
                <w:szCs w:val="21"/>
              </w:rPr>
              <w:t>要求支持导出安全分析报告，对当前中心进行安全状况分析并生成分析报告，可按照最近7天、最近30天、最近一年等时间范围生成报告，也可自定义时间范围生成报告；安全报告支持邮件订阅功能，可给管理员配置订阅功能。</w:t>
            </w:r>
          </w:p>
        </w:tc>
      </w:tr>
      <w:tr w14:paraId="6E3826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857" w:type="dxa"/>
            <w:vAlign w:val="center"/>
          </w:tcPr>
          <w:p w14:paraId="60B3A75A">
            <w:pPr>
              <w:keepNext w:val="0"/>
              <w:keepLines w:val="0"/>
              <w:widowControl/>
              <w:suppressLineNumbers w:val="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45</w:t>
            </w:r>
          </w:p>
        </w:tc>
        <w:tc>
          <w:tcPr>
            <w:tcW w:w="1518" w:type="dxa"/>
            <w:vMerge w:val="restart"/>
            <w:vAlign w:val="center"/>
          </w:tcPr>
          <w:p w14:paraId="037FDA12">
            <w:pPr>
              <w:pStyle w:val="14"/>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服务</w:t>
            </w:r>
          </w:p>
        </w:tc>
        <w:tc>
          <w:tcPr>
            <w:tcW w:w="6391" w:type="dxa"/>
            <w:vAlign w:val="center"/>
          </w:tcPr>
          <w:p w14:paraId="263BB0F0">
            <w:pPr>
              <w:pStyle w:val="14"/>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为保障用户隐私安全，查杀防御的同时，产生的日志记录仅存储在本地，不回传任何数据。</w:t>
            </w:r>
          </w:p>
        </w:tc>
      </w:tr>
      <w:tr w14:paraId="26C5D3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857" w:type="dxa"/>
            <w:vAlign w:val="center"/>
          </w:tcPr>
          <w:p w14:paraId="106DD81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46</w:t>
            </w:r>
          </w:p>
        </w:tc>
        <w:tc>
          <w:tcPr>
            <w:tcW w:w="1518" w:type="dxa"/>
            <w:vMerge w:val="continue"/>
            <w:vAlign w:val="center"/>
          </w:tcPr>
          <w:p w14:paraId="25D2D84D">
            <w:pPr>
              <w:pStyle w:val="14"/>
              <w:jc w:val="both"/>
              <w:rPr>
                <w:rFonts w:hint="eastAsia" w:ascii="宋体" w:hAnsi="宋体" w:eastAsia="宋体" w:cs="宋体"/>
                <w:sz w:val="21"/>
                <w:szCs w:val="21"/>
              </w:rPr>
            </w:pPr>
          </w:p>
        </w:tc>
        <w:tc>
          <w:tcPr>
            <w:tcW w:w="6391" w:type="dxa"/>
            <w:vAlign w:val="center"/>
          </w:tcPr>
          <w:p w14:paraId="63E067DD">
            <w:pPr>
              <w:pStyle w:val="14"/>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应建立病毒跟踪、研究和支持响应体系，有强大的本地化技术支持力量，为客户提供完善、即时的售后服务。保证网络系统在遭遇新型病毒或突发情况下得到及时响应。</w:t>
            </w:r>
          </w:p>
        </w:tc>
      </w:tr>
      <w:tr w14:paraId="3BD12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419FD02C">
            <w:pPr>
              <w:keepNext w:val="0"/>
              <w:keepLines w:val="0"/>
              <w:widowControl/>
              <w:suppressLineNumbers w:val="0"/>
              <w:jc w:val="center"/>
              <w:textAlignment w:val="center"/>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47</w:t>
            </w:r>
          </w:p>
        </w:tc>
        <w:tc>
          <w:tcPr>
            <w:tcW w:w="1518" w:type="dxa"/>
            <w:vAlign w:val="center"/>
          </w:tcPr>
          <w:p w14:paraId="16EC96C2">
            <w:pPr>
              <w:pStyle w:val="14"/>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其他</w:t>
            </w:r>
          </w:p>
        </w:tc>
        <w:tc>
          <w:tcPr>
            <w:tcW w:w="6391" w:type="dxa"/>
          </w:tcPr>
          <w:p w14:paraId="3116FC9A">
            <w:pPr>
              <w:pStyle w:val="14"/>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为保障用户利益，中标单位应在签订采购合同之前到达采购人测试主要指标功能是否满足项目建设的需求，对于提供虚假参数强行中标的行为，经测试查实后取消其中标资格，并按相关要求赔偿采购方相关损失。</w:t>
            </w:r>
          </w:p>
          <w:p w14:paraId="58E14668">
            <w:pPr>
              <w:widowControl w:val="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2、中标企业在中标公示期间，须提供原厂商盖章针对本次项目的授权书原件、原厂盖章的售后服务承诺函原件、原厂盖章的技术偏离表原件、原厂盖章功能截图证明原件。</w:t>
            </w:r>
          </w:p>
          <w:p w14:paraId="6694911D">
            <w:pPr>
              <w:widowControl w:val="0"/>
              <w:jc w:val="both"/>
              <w:rPr>
                <w:rFonts w:hint="eastAsia" w:ascii="宋体" w:hAnsi="宋体" w:eastAsia="宋体"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t>3、</w:t>
            </w:r>
            <w:r>
              <w:rPr>
                <w:rFonts w:cs="宋体"/>
                <w:b w:val="0"/>
                <w:color w:val="000000" w:themeColor="text1"/>
                <w:sz w:val="21"/>
                <w:szCs w:val="21"/>
                <w14:textFill>
                  <w14:solidFill>
                    <w14:schemeClr w14:val="tx1"/>
                  </w14:solidFill>
                </w14:textFill>
              </w:rPr>
              <w:t>供货时，软件授权名称须为项目使用人浙江省肿瘤医院</w:t>
            </w:r>
            <w:r>
              <w:rPr>
                <w:rFonts w:cs="宋体"/>
                <w:b w:val="0"/>
                <w:bCs/>
                <w:color w:val="000000" w:themeColor="text1"/>
                <w:sz w:val="21"/>
                <w:szCs w:val="21"/>
                <w14:textFill>
                  <w14:solidFill>
                    <w14:schemeClr w14:val="tx1"/>
                  </w14:solidFill>
                </w14:textFill>
              </w:rPr>
              <w:t>，并能通过序列号查验，以免软件版权导致法律问题。</w:t>
            </w:r>
          </w:p>
        </w:tc>
      </w:tr>
      <w:tr w14:paraId="5166F7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57" w:type="dxa"/>
            <w:vAlign w:val="center"/>
          </w:tcPr>
          <w:p w14:paraId="1FB2269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518" w:type="dxa"/>
            <w:vAlign w:val="center"/>
          </w:tcPr>
          <w:p w14:paraId="76E6CBCC">
            <w:pPr>
              <w:pStyle w:val="14"/>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themeColor="text1"/>
                <w:sz w:val="21"/>
                <w:szCs w:val="21"/>
                <w:lang w:val="en-US" w:eastAsia="zh-CN"/>
                <w14:textFill>
                  <w14:solidFill>
                    <w14:schemeClr w14:val="tx1"/>
                  </w14:solidFill>
                </w14:textFill>
              </w:rPr>
              <w:t>服务承诺函</w:t>
            </w:r>
          </w:p>
        </w:tc>
        <w:tc>
          <w:tcPr>
            <w:tcW w:w="6391" w:type="dxa"/>
          </w:tcPr>
          <w:p w14:paraId="7E32072B">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合同签订时，提供原厂商针对本项目的服务承诺函</w:t>
            </w:r>
          </w:p>
        </w:tc>
      </w:tr>
    </w:tbl>
    <w:p w14:paraId="03660BFE">
      <w:pPr>
        <w:rPr>
          <w:rFonts w:hint="eastAsia"/>
          <w:sz w:val="21"/>
          <w:szCs w:val="21"/>
        </w:rPr>
      </w:pPr>
    </w:p>
    <w:p w14:paraId="0533A201">
      <w:pPr>
        <w:rPr>
          <w:rFonts w:hint="eastAsia"/>
          <w:sz w:val="21"/>
          <w:szCs w:val="21"/>
        </w:rPr>
      </w:pPr>
    </w:p>
    <w:p w14:paraId="1D8165FF">
      <w:pPr>
        <w:pStyle w:val="5"/>
        <w:bidi w:val="0"/>
        <w:rPr>
          <w:rFonts w:hint="eastAsia"/>
          <w:sz w:val="21"/>
          <w:szCs w:val="21"/>
        </w:rPr>
      </w:pPr>
      <w:r>
        <w:rPr>
          <w:rFonts w:hint="eastAsia"/>
          <w:sz w:val="21"/>
          <w:szCs w:val="21"/>
        </w:rPr>
        <w:t>数据开放安全管理平台</w:t>
      </w:r>
    </w:p>
    <w:tbl>
      <w:tblPr>
        <w:tblStyle w:val="9"/>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330"/>
        <w:gridCol w:w="1289"/>
        <w:gridCol w:w="5335"/>
      </w:tblGrid>
      <w:tr w14:paraId="39F1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77C38414">
            <w:pPr>
              <w:keepNext w:val="0"/>
              <w:keepLines w:val="0"/>
              <w:widowControl/>
              <w:suppressLineNumbers w:val="0"/>
              <w:jc w:val="left"/>
              <w:textAlignment w:val="center"/>
              <w:rPr>
                <w:rFonts w:hint="eastAsia" w:ascii="等线" w:hAnsi="等线" w:eastAsia="等线" w:cs="等线"/>
                <w:b/>
                <w:bCs/>
                <w:i w:val="0"/>
                <w:iCs w:val="0"/>
                <w:color w:val="000000"/>
                <w:kern w:val="0"/>
                <w:sz w:val="21"/>
                <w:szCs w:val="21"/>
                <w:u w:val="none"/>
                <w:lang w:val="en-US" w:eastAsia="zh-CN" w:bidi="ar"/>
              </w:rPr>
            </w:pPr>
            <w:r>
              <w:rPr>
                <w:rFonts w:hint="eastAsia" w:ascii="等线" w:hAnsi="等线" w:eastAsia="等线" w:cs="等线"/>
                <w:b/>
                <w:bCs/>
                <w:i w:val="0"/>
                <w:iCs w:val="0"/>
                <w:color w:val="000000"/>
                <w:kern w:val="0"/>
                <w:sz w:val="21"/>
                <w:szCs w:val="21"/>
                <w:u w:val="none"/>
                <w:lang w:val="en-US" w:eastAsia="zh-CN" w:bidi="ar"/>
              </w:rPr>
              <w:t>序号</w:t>
            </w:r>
          </w:p>
        </w:tc>
        <w:tc>
          <w:tcPr>
            <w:tcW w:w="1330" w:type="dxa"/>
            <w:shd w:val="clear" w:color="auto" w:fill="auto"/>
            <w:vAlign w:val="center"/>
          </w:tcPr>
          <w:p w14:paraId="6AFF722D">
            <w:pPr>
              <w:keepNext w:val="0"/>
              <w:keepLines w:val="0"/>
              <w:widowControl/>
              <w:suppressLineNumbers w:val="0"/>
              <w:jc w:val="left"/>
              <w:textAlignment w:val="center"/>
              <w:rPr>
                <w:rFonts w:hint="eastAsia" w:ascii="等线" w:hAnsi="等线" w:eastAsia="等线" w:cs="等线"/>
                <w:b/>
                <w:bCs/>
                <w:i w:val="0"/>
                <w:iCs w:val="0"/>
                <w:color w:val="000000"/>
                <w:sz w:val="21"/>
                <w:szCs w:val="21"/>
                <w:u w:val="none"/>
                <w:lang w:val="en-US" w:eastAsia="zh-CN" w:bidi="ar-SA"/>
              </w:rPr>
            </w:pPr>
            <w:r>
              <w:rPr>
                <w:rFonts w:hint="eastAsia" w:ascii="等线" w:hAnsi="等线" w:eastAsia="等线" w:cs="等线"/>
                <w:b/>
                <w:bCs/>
                <w:i w:val="0"/>
                <w:iCs w:val="0"/>
                <w:color w:val="000000"/>
                <w:kern w:val="0"/>
                <w:sz w:val="21"/>
                <w:szCs w:val="21"/>
                <w:u w:val="none"/>
                <w:lang w:val="en-US" w:eastAsia="zh-CN" w:bidi="ar"/>
              </w:rPr>
              <w:t>业务模块</w:t>
            </w:r>
          </w:p>
        </w:tc>
        <w:tc>
          <w:tcPr>
            <w:tcW w:w="1289" w:type="dxa"/>
            <w:shd w:val="clear" w:color="auto" w:fill="auto"/>
            <w:vAlign w:val="center"/>
          </w:tcPr>
          <w:p w14:paraId="3E65893B">
            <w:pPr>
              <w:keepNext w:val="0"/>
              <w:keepLines w:val="0"/>
              <w:widowControl/>
              <w:suppressLineNumbers w:val="0"/>
              <w:jc w:val="left"/>
              <w:textAlignment w:val="center"/>
              <w:rPr>
                <w:rFonts w:hint="eastAsia" w:ascii="等线" w:hAnsi="等线" w:eastAsia="等线" w:cs="等线"/>
                <w:b/>
                <w:bCs/>
                <w:i w:val="0"/>
                <w:iCs w:val="0"/>
                <w:color w:val="000000"/>
                <w:sz w:val="21"/>
                <w:szCs w:val="21"/>
                <w:u w:val="none"/>
                <w:lang w:val="en-US" w:eastAsia="zh-CN" w:bidi="ar-SA"/>
              </w:rPr>
            </w:pPr>
            <w:r>
              <w:rPr>
                <w:rFonts w:hint="eastAsia" w:ascii="等线" w:hAnsi="等线" w:eastAsia="等线" w:cs="等线"/>
                <w:b/>
                <w:bCs/>
                <w:i w:val="0"/>
                <w:iCs w:val="0"/>
                <w:color w:val="000000"/>
                <w:kern w:val="0"/>
                <w:sz w:val="21"/>
                <w:szCs w:val="21"/>
                <w:u w:val="none"/>
                <w:lang w:val="en-US" w:eastAsia="zh-CN" w:bidi="ar"/>
              </w:rPr>
              <w:t>功能点</w:t>
            </w:r>
          </w:p>
        </w:tc>
        <w:tc>
          <w:tcPr>
            <w:tcW w:w="5335" w:type="dxa"/>
            <w:shd w:val="clear" w:color="auto" w:fill="auto"/>
            <w:vAlign w:val="center"/>
          </w:tcPr>
          <w:p w14:paraId="11B7A1B4">
            <w:pPr>
              <w:keepNext w:val="0"/>
              <w:keepLines w:val="0"/>
              <w:widowControl/>
              <w:suppressLineNumbers w:val="0"/>
              <w:jc w:val="left"/>
              <w:textAlignment w:val="center"/>
              <w:rPr>
                <w:rFonts w:hint="eastAsia" w:ascii="等线" w:hAnsi="等线" w:eastAsia="等线" w:cs="等线"/>
                <w:b/>
                <w:bCs/>
                <w:i w:val="0"/>
                <w:iCs w:val="0"/>
                <w:color w:val="000000"/>
                <w:sz w:val="21"/>
                <w:szCs w:val="21"/>
                <w:u w:val="none"/>
                <w:lang w:val="en-US" w:eastAsia="zh-CN" w:bidi="ar-SA"/>
              </w:rPr>
            </w:pPr>
            <w:r>
              <w:rPr>
                <w:rFonts w:hint="eastAsia" w:ascii="等线" w:hAnsi="等线" w:eastAsia="等线" w:cs="等线"/>
                <w:b/>
                <w:bCs/>
                <w:i w:val="0"/>
                <w:iCs w:val="0"/>
                <w:color w:val="000000"/>
                <w:kern w:val="0"/>
                <w:sz w:val="21"/>
                <w:szCs w:val="21"/>
                <w:u w:val="none"/>
                <w:lang w:val="en-US" w:eastAsia="zh-CN" w:bidi="ar"/>
              </w:rPr>
              <w:t>功能描述</w:t>
            </w:r>
          </w:p>
        </w:tc>
      </w:tr>
      <w:tr w14:paraId="24FC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76BDB843">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30" w:type="dxa"/>
            <w:vMerge w:val="restart"/>
            <w:shd w:val="clear" w:color="auto" w:fill="auto"/>
            <w:vAlign w:val="center"/>
          </w:tcPr>
          <w:p w14:paraId="7656B548">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数据开放服务资产注册</w:t>
            </w:r>
          </w:p>
        </w:tc>
        <w:tc>
          <w:tcPr>
            <w:tcW w:w="1289" w:type="dxa"/>
            <w:vMerge w:val="restart"/>
            <w:shd w:val="clear" w:color="auto" w:fill="auto"/>
            <w:vAlign w:val="center"/>
          </w:tcPr>
          <w:p w14:paraId="6F92879A">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△URL服务注册</w:t>
            </w:r>
          </w:p>
        </w:tc>
        <w:tc>
          <w:tcPr>
            <w:tcW w:w="5335" w:type="dxa"/>
            <w:shd w:val="clear" w:color="auto" w:fill="auto"/>
            <w:vAlign w:val="center"/>
          </w:tcPr>
          <w:p w14:paraId="4DFFC88B">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URL服务支持按厂商简称、服务名称、服务地址、访问地址、访问来源、状态、创建时间等呈现数据</w:t>
            </w:r>
          </w:p>
        </w:tc>
      </w:tr>
      <w:tr w14:paraId="3D53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5068FE42">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330" w:type="dxa"/>
            <w:vMerge w:val="continue"/>
          </w:tcPr>
          <w:p w14:paraId="638FCB44">
            <w:pPr>
              <w:widowControl w:val="0"/>
              <w:jc w:val="both"/>
              <w:rPr>
                <w:rFonts w:hint="eastAsia"/>
                <w:sz w:val="21"/>
                <w:szCs w:val="21"/>
                <w:vertAlign w:val="baseline"/>
              </w:rPr>
            </w:pPr>
          </w:p>
        </w:tc>
        <w:tc>
          <w:tcPr>
            <w:tcW w:w="1289" w:type="dxa"/>
            <w:vMerge w:val="continue"/>
          </w:tcPr>
          <w:p w14:paraId="6CBBCFD3">
            <w:pPr>
              <w:widowControl w:val="0"/>
              <w:jc w:val="both"/>
              <w:rPr>
                <w:rFonts w:hint="eastAsia"/>
                <w:sz w:val="21"/>
                <w:szCs w:val="21"/>
                <w:vertAlign w:val="baseline"/>
              </w:rPr>
            </w:pPr>
          </w:p>
        </w:tc>
        <w:tc>
          <w:tcPr>
            <w:tcW w:w="5335" w:type="dxa"/>
            <w:shd w:val="clear" w:color="auto" w:fill="auto"/>
            <w:vAlign w:val="center"/>
          </w:tcPr>
          <w:p w14:paraId="422EE65B">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URL服务支持按状态、创建时间排序，状态筛选用于快速查找到状态对应的记录、支持多维度组合检索</w:t>
            </w:r>
          </w:p>
        </w:tc>
      </w:tr>
      <w:tr w14:paraId="0887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6D98185E">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330" w:type="dxa"/>
            <w:vMerge w:val="continue"/>
          </w:tcPr>
          <w:p w14:paraId="6369F6BD">
            <w:pPr>
              <w:widowControl w:val="0"/>
              <w:jc w:val="both"/>
              <w:rPr>
                <w:rFonts w:hint="eastAsia"/>
                <w:sz w:val="21"/>
                <w:szCs w:val="21"/>
                <w:vertAlign w:val="baseline"/>
              </w:rPr>
            </w:pPr>
          </w:p>
        </w:tc>
        <w:tc>
          <w:tcPr>
            <w:tcW w:w="1289" w:type="dxa"/>
            <w:vMerge w:val="continue"/>
          </w:tcPr>
          <w:p w14:paraId="00E24696">
            <w:pPr>
              <w:widowControl w:val="0"/>
              <w:jc w:val="both"/>
              <w:rPr>
                <w:rFonts w:hint="eastAsia"/>
                <w:sz w:val="21"/>
                <w:szCs w:val="21"/>
                <w:vertAlign w:val="baseline"/>
              </w:rPr>
            </w:pPr>
          </w:p>
        </w:tc>
        <w:tc>
          <w:tcPr>
            <w:tcW w:w="5335" w:type="dxa"/>
            <w:shd w:val="clear" w:color="auto" w:fill="auto"/>
            <w:vAlign w:val="center"/>
          </w:tcPr>
          <w:p w14:paraId="47E06A0C">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支持新建URL转发、编辑URL转发、查看URL转发，支持禁用/批量禁用因违规或业务关闭的访问地址，支持恢复/批量恢复已整改后的URL服务业务，用于恢复业务的正常访问</w:t>
            </w:r>
          </w:p>
        </w:tc>
      </w:tr>
      <w:tr w14:paraId="51BC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5DECBA92">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330" w:type="dxa"/>
            <w:vMerge w:val="continue"/>
          </w:tcPr>
          <w:p w14:paraId="7EF1641B">
            <w:pPr>
              <w:widowControl w:val="0"/>
              <w:jc w:val="both"/>
              <w:rPr>
                <w:rFonts w:hint="eastAsia"/>
                <w:sz w:val="21"/>
                <w:szCs w:val="21"/>
                <w:vertAlign w:val="baseline"/>
              </w:rPr>
            </w:pPr>
          </w:p>
        </w:tc>
        <w:tc>
          <w:tcPr>
            <w:tcW w:w="1289" w:type="dxa"/>
            <w:vMerge w:val="continue"/>
          </w:tcPr>
          <w:p w14:paraId="6C445981">
            <w:pPr>
              <w:widowControl w:val="0"/>
              <w:jc w:val="both"/>
              <w:rPr>
                <w:rFonts w:hint="eastAsia"/>
                <w:sz w:val="21"/>
                <w:szCs w:val="21"/>
                <w:vertAlign w:val="baseline"/>
              </w:rPr>
            </w:pPr>
          </w:p>
        </w:tc>
        <w:tc>
          <w:tcPr>
            <w:tcW w:w="5335" w:type="dxa"/>
            <w:shd w:val="clear" w:color="auto" w:fill="auto"/>
            <w:vAlign w:val="center"/>
          </w:tcPr>
          <w:p w14:paraId="194B70D3">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支持一键复制访问地址、导出URL服务列表供业务方进行分析</w:t>
            </w:r>
          </w:p>
        </w:tc>
      </w:tr>
      <w:tr w14:paraId="18F8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1C63E8CD">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330" w:type="dxa"/>
            <w:vMerge w:val="continue"/>
          </w:tcPr>
          <w:p w14:paraId="0DB5320F">
            <w:pPr>
              <w:widowControl w:val="0"/>
              <w:jc w:val="both"/>
              <w:rPr>
                <w:rFonts w:hint="eastAsia"/>
                <w:sz w:val="21"/>
                <w:szCs w:val="21"/>
                <w:vertAlign w:val="baseline"/>
              </w:rPr>
            </w:pPr>
          </w:p>
        </w:tc>
        <w:tc>
          <w:tcPr>
            <w:tcW w:w="1289" w:type="dxa"/>
            <w:vMerge w:val="continue"/>
          </w:tcPr>
          <w:p w14:paraId="426906EF">
            <w:pPr>
              <w:widowControl w:val="0"/>
              <w:jc w:val="both"/>
              <w:rPr>
                <w:rFonts w:hint="eastAsia"/>
                <w:sz w:val="21"/>
                <w:szCs w:val="21"/>
                <w:vertAlign w:val="baseline"/>
              </w:rPr>
            </w:pPr>
          </w:p>
        </w:tc>
        <w:tc>
          <w:tcPr>
            <w:tcW w:w="5335" w:type="dxa"/>
            <w:shd w:val="clear" w:color="auto" w:fill="auto"/>
            <w:vAlign w:val="center"/>
          </w:tcPr>
          <w:p w14:paraId="768027AA">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URL服务定义支持厂商信息、服务信息、目标服务地址及属性、访问来源设置及属性设置，访问信息配置</w:t>
            </w:r>
          </w:p>
        </w:tc>
      </w:tr>
      <w:tr w14:paraId="132F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4BE92B00">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330" w:type="dxa"/>
            <w:vMerge w:val="continue"/>
          </w:tcPr>
          <w:p w14:paraId="0213AB2C">
            <w:pPr>
              <w:widowControl w:val="0"/>
              <w:jc w:val="both"/>
              <w:rPr>
                <w:rFonts w:hint="eastAsia"/>
                <w:sz w:val="21"/>
                <w:szCs w:val="21"/>
                <w:vertAlign w:val="baseline"/>
              </w:rPr>
            </w:pPr>
          </w:p>
        </w:tc>
        <w:tc>
          <w:tcPr>
            <w:tcW w:w="1289" w:type="dxa"/>
            <w:vMerge w:val="continue"/>
          </w:tcPr>
          <w:p w14:paraId="0226DA70">
            <w:pPr>
              <w:widowControl w:val="0"/>
              <w:jc w:val="both"/>
              <w:rPr>
                <w:rFonts w:hint="eastAsia"/>
                <w:sz w:val="21"/>
                <w:szCs w:val="21"/>
                <w:vertAlign w:val="baseline"/>
              </w:rPr>
            </w:pPr>
          </w:p>
        </w:tc>
        <w:tc>
          <w:tcPr>
            <w:tcW w:w="5335" w:type="dxa"/>
            <w:shd w:val="clear" w:color="auto" w:fill="auto"/>
            <w:vAlign w:val="center"/>
          </w:tcPr>
          <w:p w14:paraId="76556D28">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URL服务配置文件预览功能，用于审查配置的URL服务配置文件的内容信息</w:t>
            </w:r>
          </w:p>
        </w:tc>
      </w:tr>
      <w:tr w14:paraId="2785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2A905C71">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30" w:type="dxa"/>
            <w:vMerge w:val="restart"/>
            <w:shd w:val="clear" w:color="auto" w:fill="auto"/>
            <w:vAlign w:val="center"/>
          </w:tcPr>
          <w:p w14:paraId="09AFE434">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△数据开放服务授权管理</w:t>
            </w:r>
          </w:p>
        </w:tc>
        <w:tc>
          <w:tcPr>
            <w:tcW w:w="1289" w:type="dxa"/>
            <w:shd w:val="clear" w:color="auto" w:fill="auto"/>
            <w:vAlign w:val="center"/>
          </w:tcPr>
          <w:p w14:paraId="1939FAC6">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URL服务开放审核</w:t>
            </w:r>
          </w:p>
        </w:tc>
        <w:tc>
          <w:tcPr>
            <w:tcW w:w="5335" w:type="dxa"/>
            <w:shd w:val="clear" w:color="auto" w:fill="auto"/>
            <w:vAlign w:val="center"/>
          </w:tcPr>
          <w:p w14:paraId="1A59D015">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1、支持URL服务审核，主要包括：厂商信息、目标服务地址及属性、访问来源设置、其他转发配置、页面是否启用压缩以及对于服务的备注信息</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2、支持根据实际情况设置URL服务对外提供访问的地址</w:t>
            </w:r>
          </w:p>
        </w:tc>
      </w:tr>
      <w:tr w14:paraId="4402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75AA1A74">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330" w:type="dxa"/>
            <w:vMerge w:val="continue"/>
          </w:tcPr>
          <w:p w14:paraId="7AA65966">
            <w:pPr>
              <w:widowControl w:val="0"/>
              <w:jc w:val="both"/>
              <w:rPr>
                <w:rFonts w:hint="eastAsia"/>
                <w:sz w:val="21"/>
                <w:szCs w:val="21"/>
                <w:vertAlign w:val="baseline"/>
              </w:rPr>
            </w:pPr>
          </w:p>
        </w:tc>
        <w:tc>
          <w:tcPr>
            <w:tcW w:w="1289" w:type="dxa"/>
            <w:shd w:val="clear" w:color="auto" w:fill="auto"/>
            <w:vAlign w:val="center"/>
          </w:tcPr>
          <w:p w14:paraId="4DCAB6E7">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待审信息</w:t>
            </w:r>
          </w:p>
        </w:tc>
        <w:tc>
          <w:tcPr>
            <w:tcW w:w="5335" w:type="dxa"/>
            <w:shd w:val="clear" w:color="auto" w:fill="auto"/>
            <w:vAlign w:val="center"/>
          </w:tcPr>
          <w:p w14:paraId="5038329B">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首页待审信息的工作界面，数据开放审核确保数据开放的合理性和规范性</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1、通过字段排序、按资产名称/厂商简称进行模糊检索等功能，帮助审核者在待审工作中定向找到优先级高的审核任务</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2、支持URL服务审核，主要包括：厂商信息、目标服务地址及属性、访问来源设置、其他转发配置、页面是否启用压缩以及对于服务的备注信息</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3、支持根据实际情况设置URL服务对外提供访问的地址</w:t>
            </w:r>
          </w:p>
        </w:tc>
      </w:tr>
      <w:tr w14:paraId="6A3B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0347F0A2">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1330" w:type="dxa"/>
            <w:vMerge w:val="continue"/>
          </w:tcPr>
          <w:p w14:paraId="1B94E917">
            <w:pPr>
              <w:widowControl w:val="0"/>
              <w:jc w:val="both"/>
              <w:rPr>
                <w:rFonts w:hint="eastAsia"/>
                <w:sz w:val="21"/>
                <w:szCs w:val="21"/>
                <w:vertAlign w:val="baseline"/>
              </w:rPr>
            </w:pPr>
          </w:p>
        </w:tc>
        <w:tc>
          <w:tcPr>
            <w:tcW w:w="1289" w:type="dxa"/>
            <w:shd w:val="clear" w:color="auto" w:fill="auto"/>
            <w:vAlign w:val="center"/>
          </w:tcPr>
          <w:p w14:paraId="1CCD5C1F">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已审信息</w:t>
            </w:r>
          </w:p>
        </w:tc>
        <w:tc>
          <w:tcPr>
            <w:tcW w:w="5335" w:type="dxa"/>
            <w:shd w:val="clear" w:color="auto" w:fill="auto"/>
            <w:vAlign w:val="center"/>
          </w:tcPr>
          <w:p w14:paraId="3C969DE2">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已经审核过的URL服务，作为数据URL服务开放审核溯源和审计依据</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1、支持字段排序、按资产名称/厂商简称进行模糊检索</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2、支持查看URL服务审核内容信息，及信息科审核意见信息</w:t>
            </w:r>
          </w:p>
        </w:tc>
      </w:tr>
      <w:tr w14:paraId="027A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1CEED2CE">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30" w:type="dxa"/>
            <w:vMerge w:val="restart"/>
            <w:shd w:val="clear" w:color="auto" w:fill="auto"/>
            <w:vAlign w:val="center"/>
          </w:tcPr>
          <w:p w14:paraId="1898B326">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数据开放服务资产使用状态</w:t>
            </w:r>
          </w:p>
        </w:tc>
        <w:tc>
          <w:tcPr>
            <w:tcW w:w="1289" w:type="dxa"/>
            <w:shd w:val="clear" w:color="auto" w:fill="auto"/>
            <w:vAlign w:val="center"/>
          </w:tcPr>
          <w:p w14:paraId="301A63F3">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流量概览</w:t>
            </w:r>
          </w:p>
        </w:tc>
        <w:tc>
          <w:tcPr>
            <w:tcW w:w="5335" w:type="dxa"/>
            <w:shd w:val="clear" w:color="auto" w:fill="auto"/>
            <w:vAlign w:val="center"/>
          </w:tcPr>
          <w:p w14:paraId="75C656E5">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平台提供URL服务访问流量概览功能，主要包含：累计、本年、本月、本日的访问量，支持以年、月、日维度呈现数据，提供访问量列表下载功能用于支撑使用方进行其他维度的分析</w:t>
            </w:r>
          </w:p>
        </w:tc>
      </w:tr>
      <w:tr w14:paraId="7E7B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57C8CA8A">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1330" w:type="dxa"/>
            <w:vMerge w:val="continue"/>
          </w:tcPr>
          <w:p w14:paraId="4AFC7B22">
            <w:pPr>
              <w:widowControl w:val="0"/>
              <w:jc w:val="both"/>
              <w:rPr>
                <w:rFonts w:hint="eastAsia"/>
                <w:sz w:val="21"/>
                <w:szCs w:val="21"/>
                <w:vertAlign w:val="baseline"/>
              </w:rPr>
            </w:pPr>
          </w:p>
        </w:tc>
        <w:tc>
          <w:tcPr>
            <w:tcW w:w="1289" w:type="dxa"/>
            <w:shd w:val="clear" w:color="auto" w:fill="auto"/>
            <w:vAlign w:val="center"/>
          </w:tcPr>
          <w:p w14:paraId="69A6F4F8">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资产概览</w:t>
            </w:r>
          </w:p>
        </w:tc>
        <w:tc>
          <w:tcPr>
            <w:tcW w:w="5335" w:type="dxa"/>
            <w:shd w:val="clear" w:color="auto" w:fill="auto"/>
            <w:vAlign w:val="center"/>
          </w:tcPr>
          <w:p w14:paraId="1EBF9C78">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平台资产总览，医院资产（URL服务、厂商）数据的时间快照，支持资产数据下沉查看详细信息</w:t>
            </w:r>
          </w:p>
        </w:tc>
      </w:tr>
      <w:tr w14:paraId="5A02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47A66E29">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1330" w:type="dxa"/>
            <w:vMerge w:val="continue"/>
          </w:tcPr>
          <w:p w14:paraId="40F09A1E">
            <w:pPr>
              <w:widowControl w:val="0"/>
              <w:jc w:val="both"/>
              <w:rPr>
                <w:rFonts w:hint="eastAsia"/>
                <w:sz w:val="21"/>
                <w:szCs w:val="21"/>
                <w:vertAlign w:val="baseline"/>
              </w:rPr>
            </w:pPr>
          </w:p>
        </w:tc>
        <w:tc>
          <w:tcPr>
            <w:tcW w:w="1289" w:type="dxa"/>
            <w:shd w:val="clear" w:color="auto" w:fill="auto"/>
            <w:vAlign w:val="center"/>
          </w:tcPr>
          <w:p w14:paraId="743275FD">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资产台账</w:t>
            </w:r>
          </w:p>
        </w:tc>
        <w:tc>
          <w:tcPr>
            <w:tcW w:w="5335" w:type="dxa"/>
            <w:shd w:val="clear" w:color="auto" w:fill="auto"/>
            <w:vAlign w:val="center"/>
          </w:tcPr>
          <w:p w14:paraId="7F8D0A9F">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1、当前厂商资产台账信息支持时间范围检索、按资产名称检索</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2、以时间轴呈现当前厂商的资产台账变化信息</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3、资产台账信息根据搜索模式不同进行差异化呈现</w:t>
            </w:r>
          </w:p>
        </w:tc>
      </w:tr>
      <w:tr w14:paraId="2F66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1CE9C4E1">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1330" w:type="dxa"/>
            <w:vMerge w:val="continue"/>
          </w:tcPr>
          <w:p w14:paraId="0B378192">
            <w:pPr>
              <w:widowControl w:val="0"/>
              <w:jc w:val="both"/>
              <w:rPr>
                <w:rFonts w:hint="eastAsia"/>
                <w:sz w:val="21"/>
                <w:szCs w:val="21"/>
                <w:vertAlign w:val="baseline"/>
              </w:rPr>
            </w:pPr>
          </w:p>
        </w:tc>
        <w:tc>
          <w:tcPr>
            <w:tcW w:w="1289" w:type="dxa"/>
            <w:vMerge w:val="restart"/>
            <w:shd w:val="clear" w:color="auto" w:fill="auto"/>
            <w:vAlign w:val="center"/>
          </w:tcPr>
          <w:p w14:paraId="26041A79">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URL访问量</w:t>
            </w:r>
          </w:p>
        </w:tc>
        <w:tc>
          <w:tcPr>
            <w:tcW w:w="5335" w:type="dxa"/>
            <w:shd w:val="clear" w:color="auto" w:fill="auto"/>
            <w:vAlign w:val="center"/>
          </w:tcPr>
          <w:p w14:paraId="10AC093D">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URL访问量统计支持按时间统计（按日、按月、按年细分呈现）、按URL服务统计、按厂商统计维度统计访问量</w:t>
            </w:r>
          </w:p>
        </w:tc>
      </w:tr>
      <w:tr w14:paraId="0BD8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4149EC26">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1330" w:type="dxa"/>
            <w:vMerge w:val="continue"/>
          </w:tcPr>
          <w:p w14:paraId="2D491984">
            <w:pPr>
              <w:widowControl w:val="0"/>
              <w:jc w:val="both"/>
              <w:rPr>
                <w:rFonts w:hint="eastAsia"/>
                <w:sz w:val="21"/>
                <w:szCs w:val="21"/>
                <w:vertAlign w:val="baseline"/>
              </w:rPr>
            </w:pPr>
          </w:p>
        </w:tc>
        <w:tc>
          <w:tcPr>
            <w:tcW w:w="1289" w:type="dxa"/>
            <w:vMerge w:val="continue"/>
          </w:tcPr>
          <w:p w14:paraId="259FC587">
            <w:pPr>
              <w:widowControl w:val="0"/>
              <w:jc w:val="both"/>
              <w:rPr>
                <w:rFonts w:hint="eastAsia"/>
                <w:sz w:val="21"/>
                <w:szCs w:val="21"/>
                <w:vertAlign w:val="baseline"/>
              </w:rPr>
            </w:pPr>
          </w:p>
        </w:tc>
        <w:tc>
          <w:tcPr>
            <w:tcW w:w="5335" w:type="dxa"/>
            <w:shd w:val="clear" w:color="auto" w:fill="auto"/>
            <w:vAlign w:val="center"/>
          </w:tcPr>
          <w:p w14:paraId="609153EC">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URL访问量支持按时间范围、URL服务、厂商简称维度支持单维度或多维度组合检索</w:t>
            </w:r>
          </w:p>
        </w:tc>
      </w:tr>
      <w:tr w14:paraId="5740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7A87D7C8">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330" w:type="dxa"/>
            <w:vMerge w:val="continue"/>
          </w:tcPr>
          <w:p w14:paraId="497B9581">
            <w:pPr>
              <w:widowControl w:val="0"/>
              <w:jc w:val="both"/>
              <w:rPr>
                <w:rFonts w:hint="eastAsia"/>
                <w:sz w:val="21"/>
                <w:szCs w:val="21"/>
                <w:vertAlign w:val="baseline"/>
              </w:rPr>
            </w:pPr>
          </w:p>
        </w:tc>
        <w:tc>
          <w:tcPr>
            <w:tcW w:w="1289" w:type="dxa"/>
            <w:vMerge w:val="continue"/>
          </w:tcPr>
          <w:p w14:paraId="6C1D1A90">
            <w:pPr>
              <w:widowControl w:val="0"/>
              <w:jc w:val="both"/>
              <w:rPr>
                <w:rFonts w:hint="eastAsia"/>
                <w:sz w:val="21"/>
                <w:szCs w:val="21"/>
                <w:vertAlign w:val="baseline"/>
              </w:rPr>
            </w:pPr>
          </w:p>
        </w:tc>
        <w:tc>
          <w:tcPr>
            <w:tcW w:w="5335" w:type="dxa"/>
            <w:shd w:val="clear" w:color="auto" w:fill="auto"/>
            <w:vAlign w:val="center"/>
          </w:tcPr>
          <w:p w14:paraId="1F320BB8">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支持URL访问量导出功能，可供其他维度分析和使用</w:t>
            </w:r>
          </w:p>
        </w:tc>
      </w:tr>
      <w:tr w14:paraId="6858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13F563A8">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30" w:type="dxa"/>
            <w:vMerge w:val="restart"/>
            <w:shd w:val="clear" w:color="auto" w:fill="auto"/>
            <w:vAlign w:val="center"/>
          </w:tcPr>
          <w:p w14:paraId="399A0412">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数据开放服务安全态势</w:t>
            </w:r>
          </w:p>
        </w:tc>
        <w:tc>
          <w:tcPr>
            <w:tcW w:w="1289" w:type="dxa"/>
            <w:shd w:val="clear" w:color="auto" w:fill="auto"/>
            <w:vAlign w:val="center"/>
          </w:tcPr>
          <w:p w14:paraId="22F9141A">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本日监控信息</w:t>
            </w:r>
          </w:p>
        </w:tc>
        <w:tc>
          <w:tcPr>
            <w:tcW w:w="5335" w:type="dxa"/>
            <w:shd w:val="clear" w:color="auto" w:fill="auto"/>
            <w:vAlign w:val="center"/>
          </w:tcPr>
          <w:p w14:paraId="41C5E71F">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本日访问状态看板，通过这个看板可以及时发现本日URL服务访问是否存在异常（拦截访问、预警访问），拦截访问需要查看拦截原因并即刻处理，预警访问可以按照自己工作节奏查看原因有计划的安排处理</w:t>
            </w:r>
          </w:p>
        </w:tc>
      </w:tr>
      <w:tr w14:paraId="3340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0CC0FED8">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1330" w:type="dxa"/>
            <w:vMerge w:val="continue"/>
          </w:tcPr>
          <w:p w14:paraId="566C21A7">
            <w:pPr>
              <w:widowControl w:val="0"/>
              <w:jc w:val="both"/>
              <w:rPr>
                <w:rFonts w:hint="eastAsia"/>
                <w:sz w:val="21"/>
                <w:szCs w:val="21"/>
                <w:vertAlign w:val="baseline"/>
              </w:rPr>
            </w:pPr>
          </w:p>
        </w:tc>
        <w:tc>
          <w:tcPr>
            <w:tcW w:w="1289" w:type="dxa"/>
            <w:shd w:val="clear" w:color="auto" w:fill="auto"/>
            <w:vAlign w:val="center"/>
          </w:tcPr>
          <w:p w14:paraId="17B958F4">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△本周/本月统计分析</w:t>
            </w:r>
          </w:p>
        </w:tc>
        <w:tc>
          <w:tcPr>
            <w:tcW w:w="5335" w:type="dxa"/>
            <w:shd w:val="clear" w:color="auto" w:fill="auto"/>
            <w:vAlign w:val="center"/>
          </w:tcPr>
          <w:p w14:paraId="564CB3CE">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支持按本周、按本月进行统计分析，呈现拦截访问原因，支持数据下钻原因分析。</w:t>
            </w:r>
          </w:p>
        </w:tc>
      </w:tr>
      <w:tr w14:paraId="2F23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7309BF24">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1330" w:type="dxa"/>
            <w:vMerge w:val="continue"/>
          </w:tcPr>
          <w:p w14:paraId="08AEFCF8">
            <w:pPr>
              <w:widowControl w:val="0"/>
              <w:jc w:val="both"/>
              <w:rPr>
                <w:rFonts w:hint="eastAsia"/>
                <w:sz w:val="21"/>
                <w:szCs w:val="21"/>
                <w:vertAlign w:val="baseline"/>
              </w:rPr>
            </w:pPr>
          </w:p>
        </w:tc>
        <w:tc>
          <w:tcPr>
            <w:tcW w:w="1289" w:type="dxa"/>
            <w:shd w:val="clear" w:color="auto" w:fill="auto"/>
            <w:vAlign w:val="center"/>
          </w:tcPr>
          <w:p w14:paraId="70262D90">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拦截的异常访问信息</w:t>
            </w:r>
          </w:p>
        </w:tc>
        <w:tc>
          <w:tcPr>
            <w:tcW w:w="5335" w:type="dxa"/>
            <w:shd w:val="clear" w:color="auto" w:fill="auto"/>
            <w:vAlign w:val="center"/>
          </w:tcPr>
          <w:p w14:paraId="09A3F110">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查阅所有触碰平台访问拦截规则的的记录及原因，准确定位问题以及问题对象，提升解决问题的效率。</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1、支持URL服务访问拦截统计</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2、URL服务拦截信息支持按厂商简称、服务名称、访问地址、拦截原因、规则内容、统计数量呈现列表</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3、多个字段具备筛选、搜索功能、支持多条件组合查询</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4、支持拦截访问趋势、拦截原因分布的数据统计分析</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5、拦截统计记录支持下钻，查看拦截访问详情信息通过查看日志内容了解内容信息，利于问题的解决。</w:t>
            </w:r>
          </w:p>
        </w:tc>
      </w:tr>
      <w:tr w14:paraId="05D2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3FD4BE73">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330" w:type="dxa"/>
            <w:vMerge w:val="restart"/>
            <w:shd w:val="clear" w:color="auto" w:fill="auto"/>
            <w:vAlign w:val="center"/>
          </w:tcPr>
          <w:p w14:paraId="2B63A79D">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△数据开放服务问题追踪</w:t>
            </w:r>
          </w:p>
        </w:tc>
        <w:tc>
          <w:tcPr>
            <w:tcW w:w="1289" w:type="dxa"/>
            <w:vMerge w:val="restart"/>
            <w:shd w:val="clear" w:color="auto" w:fill="auto"/>
            <w:vAlign w:val="center"/>
          </w:tcPr>
          <w:p w14:paraId="3C013A7A">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URL访问日志</w:t>
            </w:r>
          </w:p>
        </w:tc>
        <w:tc>
          <w:tcPr>
            <w:tcW w:w="5335" w:type="dxa"/>
            <w:shd w:val="clear" w:color="auto" w:fill="auto"/>
            <w:vAlign w:val="center"/>
          </w:tcPr>
          <w:p w14:paraId="06D0AAB7">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支持按当前厂商呈现URL访问日志 包含URL服务列表支持按状态、厂商简称、服务名称、访问地址、失败信息、调用时间、耗时等呈现数据</w:t>
            </w:r>
          </w:p>
        </w:tc>
      </w:tr>
      <w:tr w14:paraId="013A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391DC0E6">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330" w:type="dxa"/>
            <w:vMerge w:val="continue"/>
          </w:tcPr>
          <w:p w14:paraId="7FD69D29">
            <w:pPr>
              <w:widowControl w:val="0"/>
              <w:jc w:val="both"/>
              <w:rPr>
                <w:rFonts w:hint="eastAsia"/>
                <w:sz w:val="21"/>
                <w:szCs w:val="21"/>
                <w:vertAlign w:val="baseline"/>
              </w:rPr>
            </w:pPr>
          </w:p>
        </w:tc>
        <w:tc>
          <w:tcPr>
            <w:tcW w:w="1289" w:type="dxa"/>
            <w:vMerge w:val="continue"/>
          </w:tcPr>
          <w:p w14:paraId="20FB9C9E">
            <w:pPr>
              <w:widowControl w:val="0"/>
              <w:jc w:val="both"/>
              <w:rPr>
                <w:rFonts w:hint="eastAsia"/>
                <w:sz w:val="21"/>
                <w:szCs w:val="21"/>
                <w:vertAlign w:val="baseline"/>
              </w:rPr>
            </w:pPr>
          </w:p>
        </w:tc>
        <w:tc>
          <w:tcPr>
            <w:tcW w:w="5335" w:type="dxa"/>
            <w:shd w:val="clear" w:color="auto" w:fill="auto"/>
            <w:vAlign w:val="center"/>
          </w:tcPr>
          <w:p w14:paraId="07C198BC">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支持查看在平台上每个环节存储的日志内容信息</w:t>
            </w:r>
          </w:p>
        </w:tc>
      </w:tr>
      <w:tr w14:paraId="7187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22D3BDC2">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1330" w:type="dxa"/>
            <w:vMerge w:val="continue"/>
          </w:tcPr>
          <w:p w14:paraId="4383A596">
            <w:pPr>
              <w:widowControl w:val="0"/>
              <w:jc w:val="both"/>
              <w:rPr>
                <w:rFonts w:hint="eastAsia"/>
                <w:sz w:val="21"/>
                <w:szCs w:val="21"/>
                <w:vertAlign w:val="baseline"/>
              </w:rPr>
            </w:pPr>
          </w:p>
        </w:tc>
        <w:tc>
          <w:tcPr>
            <w:tcW w:w="1289" w:type="dxa"/>
            <w:vMerge w:val="continue"/>
          </w:tcPr>
          <w:p w14:paraId="000F724A">
            <w:pPr>
              <w:widowControl w:val="0"/>
              <w:jc w:val="both"/>
              <w:rPr>
                <w:rFonts w:hint="eastAsia"/>
                <w:sz w:val="21"/>
                <w:szCs w:val="21"/>
                <w:vertAlign w:val="baseline"/>
              </w:rPr>
            </w:pPr>
          </w:p>
        </w:tc>
        <w:tc>
          <w:tcPr>
            <w:tcW w:w="5335" w:type="dxa"/>
            <w:shd w:val="clear" w:color="auto" w:fill="auto"/>
            <w:vAlign w:val="center"/>
          </w:tcPr>
          <w:p w14:paraId="781A60E2">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支持按时间范围、日志状态、 服务名称的单一维度的检索和多维度组合检索，支持按调用时间、耗时进行排序快速筛选到目标记录</w:t>
            </w:r>
          </w:p>
        </w:tc>
      </w:tr>
      <w:tr w14:paraId="3436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0FB04536">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30" w:type="dxa"/>
            <w:vMerge w:val="restart"/>
            <w:shd w:val="clear" w:color="auto" w:fill="auto"/>
            <w:vAlign w:val="center"/>
          </w:tcPr>
          <w:p w14:paraId="4589A898">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MCP能力封装</w:t>
            </w:r>
          </w:p>
        </w:tc>
        <w:tc>
          <w:tcPr>
            <w:tcW w:w="1289" w:type="dxa"/>
            <w:shd w:val="clear" w:color="auto" w:fill="auto"/>
            <w:vAlign w:val="center"/>
          </w:tcPr>
          <w:p w14:paraId="4A7F6A51">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△MCP服务接口封装</w:t>
            </w:r>
          </w:p>
        </w:tc>
        <w:tc>
          <w:tcPr>
            <w:tcW w:w="5335" w:type="dxa"/>
            <w:shd w:val="clear" w:color="auto" w:fill="auto"/>
            <w:vAlign w:val="center"/>
          </w:tcPr>
          <w:p w14:paraId="3A0904AE">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平台能力通过MCP统一封装，对外提供标准化、可治理的服务调用接口</w:t>
            </w:r>
          </w:p>
        </w:tc>
      </w:tr>
      <w:tr w14:paraId="10F0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4440B4D7">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1330" w:type="dxa"/>
            <w:vMerge w:val="continue"/>
          </w:tcPr>
          <w:p w14:paraId="2D9E549D">
            <w:pPr>
              <w:widowControl w:val="0"/>
              <w:jc w:val="both"/>
              <w:rPr>
                <w:rFonts w:hint="eastAsia"/>
                <w:sz w:val="21"/>
                <w:szCs w:val="21"/>
                <w:vertAlign w:val="baseline"/>
              </w:rPr>
            </w:pPr>
          </w:p>
        </w:tc>
        <w:tc>
          <w:tcPr>
            <w:tcW w:w="1289" w:type="dxa"/>
            <w:shd w:val="clear" w:color="auto" w:fill="auto"/>
            <w:vAlign w:val="center"/>
          </w:tcPr>
          <w:p w14:paraId="23B8E227">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OpenAPI/Swagger接口批量导入</w:t>
            </w:r>
          </w:p>
        </w:tc>
        <w:tc>
          <w:tcPr>
            <w:tcW w:w="5335" w:type="dxa"/>
            <w:shd w:val="clear" w:color="auto" w:fill="auto"/>
            <w:vAlign w:val="center"/>
          </w:tcPr>
          <w:p w14:paraId="02A82C2D">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支持Swagger/OpenAPI格式接口文档批量导入</w:t>
            </w:r>
          </w:p>
        </w:tc>
      </w:tr>
      <w:tr w14:paraId="3A70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544143D1">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1330" w:type="dxa"/>
            <w:vMerge w:val="continue"/>
          </w:tcPr>
          <w:p w14:paraId="19E4CFF2">
            <w:pPr>
              <w:widowControl w:val="0"/>
              <w:jc w:val="both"/>
              <w:rPr>
                <w:rFonts w:hint="eastAsia"/>
                <w:sz w:val="21"/>
                <w:szCs w:val="21"/>
                <w:vertAlign w:val="baseline"/>
              </w:rPr>
            </w:pPr>
          </w:p>
        </w:tc>
        <w:tc>
          <w:tcPr>
            <w:tcW w:w="1289" w:type="dxa"/>
            <w:shd w:val="clear" w:color="auto" w:fill="auto"/>
            <w:vAlign w:val="center"/>
          </w:tcPr>
          <w:p w14:paraId="03054D28">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平台资产现状获取</w:t>
            </w:r>
          </w:p>
        </w:tc>
        <w:tc>
          <w:tcPr>
            <w:tcW w:w="5335" w:type="dxa"/>
            <w:shd w:val="clear" w:color="auto" w:fill="auto"/>
            <w:vAlign w:val="center"/>
          </w:tcPr>
          <w:p w14:paraId="257876C7">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快速获取平台资产现状、服务分布与运行状态</w:t>
            </w:r>
          </w:p>
        </w:tc>
      </w:tr>
      <w:tr w14:paraId="1BCD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018ACC68">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1330" w:type="dxa"/>
            <w:vMerge w:val="continue"/>
          </w:tcPr>
          <w:p w14:paraId="5FD0C6E9">
            <w:pPr>
              <w:widowControl w:val="0"/>
              <w:jc w:val="both"/>
              <w:rPr>
                <w:rFonts w:hint="eastAsia"/>
                <w:sz w:val="21"/>
                <w:szCs w:val="21"/>
                <w:vertAlign w:val="baseline"/>
              </w:rPr>
            </w:pPr>
          </w:p>
        </w:tc>
        <w:tc>
          <w:tcPr>
            <w:tcW w:w="1289" w:type="dxa"/>
            <w:shd w:val="clear" w:color="auto" w:fill="auto"/>
            <w:vAlign w:val="center"/>
          </w:tcPr>
          <w:p w14:paraId="32EF7CB9">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访问量统计获取</w:t>
            </w:r>
          </w:p>
        </w:tc>
        <w:tc>
          <w:tcPr>
            <w:tcW w:w="5335" w:type="dxa"/>
            <w:shd w:val="clear" w:color="auto" w:fill="auto"/>
            <w:vAlign w:val="center"/>
          </w:tcPr>
          <w:p w14:paraId="1A124788">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实时获取服务访问量、趋势与使用率数据</w:t>
            </w:r>
          </w:p>
        </w:tc>
      </w:tr>
      <w:tr w14:paraId="7B0B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shd w:val="clear" w:color="auto" w:fill="auto"/>
            <w:vAlign w:val="center"/>
          </w:tcPr>
          <w:p w14:paraId="24D2C998">
            <w:pPr>
              <w:keepNext w:val="0"/>
              <w:keepLines w:val="0"/>
              <w:widowControl/>
              <w:suppressLineNumbers w:val="0"/>
              <w:jc w:val="center"/>
              <w:textAlignment w:val="center"/>
              <w:rPr>
                <w:rFonts w:hint="eastAsia" w:ascii="等线" w:hAnsi="等线" w:eastAsia="等线" w:cs="等线"/>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1330" w:type="dxa"/>
            <w:vMerge w:val="continue"/>
          </w:tcPr>
          <w:p w14:paraId="708A8EE8">
            <w:pPr>
              <w:widowControl w:val="0"/>
              <w:jc w:val="both"/>
              <w:rPr>
                <w:rFonts w:hint="eastAsia"/>
                <w:sz w:val="21"/>
                <w:szCs w:val="21"/>
                <w:vertAlign w:val="baseline"/>
              </w:rPr>
            </w:pPr>
          </w:p>
        </w:tc>
        <w:tc>
          <w:tcPr>
            <w:tcW w:w="1289" w:type="dxa"/>
            <w:shd w:val="clear" w:color="auto" w:fill="auto"/>
            <w:vAlign w:val="center"/>
          </w:tcPr>
          <w:p w14:paraId="7D10CA6A">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简易日志查询</w:t>
            </w:r>
          </w:p>
        </w:tc>
        <w:tc>
          <w:tcPr>
            <w:tcW w:w="5335" w:type="dxa"/>
            <w:shd w:val="clear" w:color="auto" w:fill="auto"/>
            <w:vAlign w:val="center"/>
          </w:tcPr>
          <w:p w14:paraId="1FBFC9DA">
            <w:pPr>
              <w:keepNext w:val="0"/>
              <w:keepLines w:val="0"/>
              <w:widowControl/>
              <w:suppressLineNumbers w:val="0"/>
              <w:jc w:val="left"/>
              <w:textAlignment w:val="center"/>
              <w:rPr>
                <w:rFonts w:hint="eastAsia" w:ascii="等线" w:hAnsi="等线" w:eastAsia="等线" w:cs="等线"/>
                <w:i w:val="0"/>
                <w:iCs w:val="0"/>
                <w:color w:val="000000"/>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支持访问日志快速查询、筛选与检索</w:t>
            </w:r>
          </w:p>
        </w:tc>
      </w:tr>
    </w:tbl>
    <w:p w14:paraId="6C1118B3">
      <w:pPr>
        <w:rPr>
          <w:rFonts w:hint="eastAsia"/>
          <w:sz w:val="21"/>
          <w:szCs w:val="21"/>
        </w:rPr>
      </w:pPr>
    </w:p>
    <w:p w14:paraId="2169A2AA">
      <w:pPr>
        <w:rPr>
          <w:rFonts w:hint="eastAsia"/>
          <w:sz w:val="21"/>
          <w:szCs w:val="21"/>
        </w:rPr>
      </w:pPr>
    </w:p>
    <w:p w14:paraId="067E13B9">
      <w:pPr>
        <w:pStyle w:val="5"/>
        <w:bidi w:val="0"/>
        <w:rPr>
          <w:rFonts w:hint="eastAsia"/>
          <w:sz w:val="21"/>
          <w:szCs w:val="21"/>
        </w:rPr>
      </w:pPr>
      <w:r>
        <w:rPr>
          <w:rFonts w:hint="eastAsia"/>
          <w:sz w:val="21"/>
          <w:szCs w:val="21"/>
        </w:rPr>
        <w:t>集成技术服务</w:t>
      </w:r>
    </w:p>
    <w:tbl>
      <w:tblPr>
        <w:tblStyle w:val="9"/>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7832"/>
      </w:tblGrid>
      <w:tr w14:paraId="4239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shd w:val="clear" w:color="auto" w:fill="auto"/>
            <w:vAlign w:val="center"/>
          </w:tcPr>
          <w:p w14:paraId="5FECDC78">
            <w:pPr>
              <w:widowControl/>
              <w:spacing w:line="360" w:lineRule="auto"/>
              <w:jc w:val="center"/>
              <w:textAlignment w:val="center"/>
              <w:rPr>
                <w:rFonts w:hint="eastAsia" w:ascii="宋体" w:hAnsi="宋体" w:eastAsia="宋体" w:cs="宋体"/>
                <w:bCs/>
                <w:color w:val="auto"/>
                <w:sz w:val="21"/>
                <w:szCs w:val="21"/>
                <w:lang w:val="en-US" w:eastAsia="zh-CN" w:bidi="ar-SA"/>
              </w:rPr>
            </w:pPr>
            <w:r>
              <w:rPr>
                <w:rFonts w:hint="eastAsia" w:ascii="宋体" w:hAnsi="宋体" w:cs="宋体"/>
                <w:bCs/>
                <w:color w:val="auto"/>
                <w:sz w:val="21"/>
                <w:szCs w:val="21"/>
                <w:lang w:eastAsia="zh-CN"/>
              </w:rPr>
              <w:t>序号</w:t>
            </w:r>
          </w:p>
        </w:tc>
        <w:tc>
          <w:tcPr>
            <w:tcW w:w="7832" w:type="dxa"/>
            <w:shd w:val="clear" w:color="auto" w:fill="auto"/>
            <w:vAlign w:val="center"/>
          </w:tcPr>
          <w:p w14:paraId="4DB06158">
            <w:pPr>
              <w:widowControl/>
              <w:spacing w:line="360" w:lineRule="auto"/>
              <w:jc w:val="both"/>
              <w:textAlignment w:val="center"/>
              <w:rPr>
                <w:rFonts w:hint="eastAsia" w:ascii="宋体" w:hAnsi="宋体" w:eastAsia="宋体" w:cs="宋体"/>
                <w:bCs/>
                <w:color w:val="auto"/>
                <w:sz w:val="21"/>
                <w:szCs w:val="21"/>
                <w:lang w:val="en-US" w:eastAsia="zh-CN" w:bidi="ar-SA"/>
              </w:rPr>
            </w:pPr>
            <w:r>
              <w:rPr>
                <w:rFonts w:hint="eastAsia" w:ascii="宋体" w:hAnsi="宋体" w:eastAsia="宋体" w:cs="宋体"/>
                <w:bCs/>
                <w:color w:val="auto"/>
                <w:sz w:val="21"/>
                <w:szCs w:val="21"/>
              </w:rPr>
              <w:t>服务要求</w:t>
            </w:r>
          </w:p>
        </w:tc>
      </w:tr>
      <w:tr w14:paraId="06DF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shd w:val="clear" w:color="auto" w:fill="auto"/>
            <w:vAlign w:val="center"/>
          </w:tcPr>
          <w:p w14:paraId="74A1737D">
            <w:pPr>
              <w:widowControl/>
              <w:numPr>
                <w:ilvl w:val="0"/>
                <w:numId w:val="0"/>
              </w:numPr>
              <w:spacing w:line="360" w:lineRule="auto"/>
              <w:ind w:left="360" w:leftChars="0" w:hanging="360" w:firstLineChars="0"/>
              <w:jc w:val="center"/>
              <w:textAlignment w:val="center"/>
              <w:rPr>
                <w:rFonts w:hint="eastAsia" w:ascii="宋体" w:hAnsi="宋体" w:eastAsia="宋体" w:cs="宋体"/>
                <w:bCs/>
                <w:color w:val="auto"/>
                <w:sz w:val="21"/>
                <w:szCs w:val="21"/>
                <w:lang w:val="en-US" w:eastAsia="zh-CN" w:bidi="ar-SA"/>
              </w:rPr>
            </w:pPr>
            <w:r>
              <w:rPr>
                <w:rFonts w:hint="default" w:ascii="宋体" w:hAnsi="宋体" w:eastAsia="宋体" w:cs="宋体"/>
                <w:bCs/>
                <w:color w:val="auto"/>
                <w:kern w:val="2"/>
                <w:sz w:val="21"/>
                <w:szCs w:val="21"/>
                <w:lang w:val="en-US" w:eastAsia="zh-CN" w:bidi="ar-SA"/>
              </w:rPr>
              <w:t>1</w:t>
            </w:r>
          </w:p>
        </w:tc>
        <w:tc>
          <w:tcPr>
            <w:tcW w:w="7832" w:type="dxa"/>
            <w:shd w:val="clear" w:color="auto" w:fill="auto"/>
            <w:vAlign w:val="center"/>
          </w:tcPr>
          <w:p w14:paraId="71A44420">
            <w:pPr>
              <w:widowControl/>
              <w:numPr>
                <w:ilvl w:val="0"/>
                <w:numId w:val="0"/>
              </w:numPr>
              <w:spacing w:line="360" w:lineRule="auto"/>
              <w:ind w:left="360" w:leftChars="0" w:hanging="360" w:firstLineChars="0"/>
              <w:jc w:val="both"/>
              <w:textAlignment w:val="center"/>
              <w:rPr>
                <w:rFonts w:hint="eastAsia" w:ascii="宋体" w:hAnsi="宋体" w:eastAsia="宋体" w:cs="宋体"/>
                <w:bCs/>
                <w:color w:val="auto"/>
                <w:sz w:val="21"/>
                <w:szCs w:val="21"/>
              </w:rPr>
            </w:pPr>
            <w:r>
              <w:rPr>
                <w:rFonts w:hint="eastAsia" w:ascii="宋体" w:hAnsi="宋体" w:cs="宋体"/>
                <w:bCs/>
                <w:color w:val="auto"/>
                <w:kern w:val="2"/>
                <w:sz w:val="21"/>
                <w:szCs w:val="21"/>
                <w:lang w:val="en-US" w:eastAsia="zh-CN" w:bidi="ar-SA"/>
              </w:rPr>
              <w:t>1.1</w:t>
            </w:r>
            <w:r>
              <w:rPr>
                <w:rFonts w:hint="default" w:ascii="宋体" w:hAnsi="宋体" w:eastAsia="宋体" w:cs="宋体"/>
                <w:bCs/>
                <w:color w:val="auto"/>
                <w:kern w:val="2"/>
                <w:sz w:val="21"/>
                <w:szCs w:val="21"/>
                <w:lang w:val="en-US" w:eastAsia="zh-CN" w:bidi="ar-SA"/>
              </w:rPr>
              <w:t>、</w:t>
            </w:r>
            <w:r>
              <w:rPr>
                <w:rFonts w:hint="eastAsia" w:ascii="宋体" w:hAnsi="宋体" w:eastAsia="宋体" w:cs="宋体"/>
                <w:bCs/>
                <w:color w:val="auto"/>
                <w:sz w:val="21"/>
                <w:szCs w:val="21"/>
              </w:rPr>
              <w:t>集成商熟悉医疗行业网络安全形势和建设经验；</w:t>
            </w:r>
          </w:p>
          <w:p w14:paraId="44E9BDE2">
            <w:pPr>
              <w:widowControl/>
              <w:numPr>
                <w:ilvl w:val="0"/>
                <w:numId w:val="0"/>
              </w:numPr>
              <w:spacing w:line="360" w:lineRule="auto"/>
              <w:ind w:left="360" w:leftChars="0" w:hanging="360" w:firstLineChars="0"/>
              <w:jc w:val="both"/>
              <w:textAlignment w:val="center"/>
              <w:rPr>
                <w:rFonts w:hint="eastAsia" w:ascii="宋体" w:hAnsi="宋体" w:eastAsia="宋体" w:cs="宋体"/>
                <w:bCs/>
                <w:color w:val="auto"/>
                <w:sz w:val="21"/>
                <w:szCs w:val="21"/>
              </w:rPr>
            </w:pPr>
            <w:r>
              <w:rPr>
                <w:rFonts w:hint="eastAsia" w:ascii="宋体" w:hAnsi="宋体" w:cs="宋体"/>
                <w:bCs/>
                <w:color w:val="auto"/>
                <w:kern w:val="2"/>
                <w:sz w:val="21"/>
                <w:szCs w:val="21"/>
                <w:lang w:val="en-US" w:eastAsia="zh-CN" w:bidi="ar-SA"/>
              </w:rPr>
              <w:t>1.2</w:t>
            </w:r>
            <w:r>
              <w:rPr>
                <w:rFonts w:hint="default" w:ascii="宋体" w:hAnsi="宋体" w:eastAsia="宋体" w:cs="宋体"/>
                <w:bCs/>
                <w:color w:val="auto"/>
                <w:kern w:val="2"/>
                <w:sz w:val="21"/>
                <w:szCs w:val="21"/>
                <w:lang w:val="en-US" w:eastAsia="zh-CN" w:bidi="ar-SA"/>
              </w:rPr>
              <w:t>、</w:t>
            </w:r>
            <w:r>
              <w:rPr>
                <w:rFonts w:hint="eastAsia" w:ascii="宋体" w:hAnsi="宋体" w:eastAsia="宋体" w:cs="宋体"/>
                <w:bCs/>
                <w:color w:val="auto"/>
                <w:sz w:val="21"/>
                <w:szCs w:val="21"/>
              </w:rPr>
              <w:t>集成商具备自有技术团队，能够提供网络、网络安全、系统、应用安全支持；</w:t>
            </w:r>
          </w:p>
          <w:p w14:paraId="3EB8EC91">
            <w:pPr>
              <w:widowControl/>
              <w:numPr>
                <w:ilvl w:val="0"/>
                <w:numId w:val="0"/>
              </w:numPr>
              <w:spacing w:line="360" w:lineRule="auto"/>
              <w:ind w:left="360" w:leftChars="0" w:hanging="360" w:firstLineChars="0"/>
              <w:jc w:val="both"/>
              <w:textAlignment w:val="center"/>
              <w:rPr>
                <w:rFonts w:hint="eastAsia" w:ascii="宋体" w:hAnsi="宋体" w:eastAsia="宋体" w:cs="宋体"/>
                <w:bCs/>
                <w:color w:val="auto"/>
                <w:sz w:val="21"/>
                <w:szCs w:val="21"/>
              </w:rPr>
            </w:pPr>
            <w:r>
              <w:rPr>
                <w:rFonts w:hint="eastAsia" w:ascii="宋体" w:hAnsi="宋体" w:cs="宋体"/>
                <w:bCs/>
                <w:color w:val="auto"/>
                <w:kern w:val="2"/>
                <w:sz w:val="21"/>
                <w:szCs w:val="21"/>
                <w:lang w:val="en-US" w:eastAsia="zh-CN" w:bidi="ar-SA"/>
              </w:rPr>
              <w:t>1.3</w:t>
            </w:r>
            <w:r>
              <w:rPr>
                <w:rFonts w:hint="default" w:ascii="宋体" w:hAnsi="宋体" w:eastAsia="宋体" w:cs="宋体"/>
                <w:bCs/>
                <w:color w:val="auto"/>
                <w:kern w:val="2"/>
                <w:sz w:val="21"/>
                <w:szCs w:val="21"/>
                <w:lang w:val="en-US" w:eastAsia="zh-CN" w:bidi="ar-SA"/>
              </w:rPr>
              <w:t>、</w:t>
            </w:r>
            <w:r>
              <w:rPr>
                <w:rFonts w:hint="eastAsia" w:ascii="宋体" w:hAnsi="宋体" w:eastAsia="宋体" w:cs="宋体"/>
                <w:bCs/>
                <w:color w:val="auto"/>
                <w:sz w:val="21"/>
                <w:szCs w:val="21"/>
              </w:rPr>
              <w:t>集成商能够提供规划咨询服务，协助用户实现网络安全防护架构最优化；</w:t>
            </w:r>
          </w:p>
          <w:p w14:paraId="04C31152">
            <w:pPr>
              <w:widowControl/>
              <w:numPr>
                <w:ilvl w:val="0"/>
                <w:numId w:val="0"/>
              </w:numPr>
              <w:spacing w:line="360" w:lineRule="auto"/>
              <w:jc w:val="both"/>
              <w:textAlignment w:val="center"/>
              <w:rPr>
                <w:rFonts w:hint="eastAsia" w:ascii="宋体" w:hAnsi="宋体" w:eastAsia="宋体" w:cs="宋体"/>
                <w:bCs/>
                <w:color w:val="auto"/>
                <w:sz w:val="21"/>
                <w:szCs w:val="21"/>
              </w:rPr>
            </w:pPr>
            <w:r>
              <w:rPr>
                <w:rFonts w:hint="eastAsia" w:ascii="宋体" w:hAnsi="宋体" w:cs="宋体"/>
                <w:color w:val="auto"/>
                <w:kern w:val="2"/>
                <w:sz w:val="21"/>
                <w:szCs w:val="21"/>
                <w:lang w:val="en-US" w:eastAsia="zh-CN" w:bidi="ar-SA"/>
              </w:rPr>
              <w:t>1.4</w:t>
            </w:r>
            <w:r>
              <w:rPr>
                <w:rFonts w:hint="default" w:ascii="宋体" w:hAnsi="宋体" w:eastAsia="宋体" w:cs="宋体"/>
                <w:color w:val="auto"/>
                <w:kern w:val="2"/>
                <w:sz w:val="21"/>
                <w:szCs w:val="21"/>
                <w:lang w:val="en-US" w:eastAsia="zh-CN" w:bidi="ar-SA"/>
              </w:rPr>
              <w:t>、</w:t>
            </w:r>
            <w:r>
              <w:rPr>
                <w:rFonts w:hint="eastAsia" w:ascii="宋体" w:hAnsi="宋体" w:eastAsia="宋体" w:cs="宋体"/>
                <w:bCs/>
                <w:color w:val="auto"/>
                <w:sz w:val="21"/>
                <w:szCs w:val="21"/>
              </w:rPr>
              <w:t>集成商须提供7*24小时技术支持，在出现问题后，30分钟内能够到达现场提供技术服务；</w:t>
            </w:r>
          </w:p>
          <w:p w14:paraId="76B50191">
            <w:pPr>
              <w:widowControl/>
              <w:numPr>
                <w:ilvl w:val="0"/>
                <w:numId w:val="0"/>
              </w:numPr>
              <w:spacing w:line="360" w:lineRule="auto"/>
              <w:ind w:left="360" w:hanging="360" w:firstLineChars="0"/>
              <w:jc w:val="both"/>
              <w:textAlignment w:val="center"/>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1.5、</w:t>
            </w:r>
            <w:r>
              <w:rPr>
                <w:rFonts w:hint="eastAsia" w:ascii="宋体" w:hAnsi="宋体" w:eastAsia="宋体" w:cs="宋体"/>
                <w:bCs/>
                <w:color w:val="auto"/>
                <w:sz w:val="21"/>
                <w:szCs w:val="21"/>
              </w:rPr>
              <w:t>新购设备或系统上线时，相关信息在项目验收前更新到</w:t>
            </w:r>
            <w:r>
              <w:rPr>
                <w:rFonts w:hint="eastAsia" w:ascii="宋体" w:hAnsi="宋体" w:eastAsia="宋体" w:cs="宋体"/>
                <w:bCs/>
                <w:color w:val="auto"/>
                <w:sz w:val="21"/>
                <w:szCs w:val="21"/>
                <w:lang w:val="en-US" w:eastAsia="zh-CN"/>
              </w:rPr>
              <w:t>医院的</w:t>
            </w:r>
            <w:r>
              <w:rPr>
                <w:rFonts w:hint="eastAsia" w:ascii="宋体" w:hAnsi="宋体" w:eastAsia="宋体" w:cs="宋体"/>
                <w:bCs/>
                <w:color w:val="auto"/>
                <w:sz w:val="21"/>
                <w:szCs w:val="21"/>
              </w:rPr>
              <w:t>配置管理数据库</w:t>
            </w:r>
            <w:r>
              <w:rPr>
                <w:rFonts w:hint="eastAsia" w:ascii="宋体" w:hAnsi="宋体" w:eastAsia="宋体" w:cs="宋体"/>
                <w:bCs/>
                <w:color w:val="auto"/>
                <w:sz w:val="21"/>
                <w:szCs w:val="21"/>
                <w:lang w:val="en-US" w:eastAsia="zh-CN"/>
              </w:rPr>
              <w:t>系统</w:t>
            </w:r>
            <w:r>
              <w:rPr>
                <w:rFonts w:hint="eastAsia" w:ascii="宋体" w:hAnsi="宋体" w:eastAsia="宋体" w:cs="宋体"/>
                <w:bCs/>
                <w:color w:val="auto"/>
                <w:sz w:val="21"/>
                <w:szCs w:val="21"/>
              </w:rPr>
              <w:t>中</w:t>
            </w:r>
          </w:p>
          <w:p w14:paraId="361CBB92">
            <w:pPr>
              <w:widowControl/>
              <w:numPr>
                <w:ilvl w:val="0"/>
                <w:numId w:val="0"/>
              </w:numPr>
              <w:spacing w:line="360" w:lineRule="auto"/>
              <w:ind w:left="360" w:hanging="360" w:firstLineChars="0"/>
              <w:jc w:val="both"/>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1.6、</w:t>
            </w:r>
            <w:r>
              <w:rPr>
                <w:rFonts w:hint="eastAsia" w:ascii="宋体" w:hAnsi="宋体" w:eastAsia="宋体" w:cs="宋体"/>
                <w:bCs/>
                <w:color w:val="auto"/>
                <w:sz w:val="21"/>
                <w:szCs w:val="21"/>
              </w:rPr>
              <w:t>每周检查配置项，确保</w:t>
            </w:r>
            <w:r>
              <w:rPr>
                <w:rFonts w:hint="eastAsia" w:ascii="宋体" w:hAnsi="宋体" w:eastAsia="宋体" w:cs="宋体"/>
                <w:bCs/>
                <w:color w:val="auto"/>
                <w:sz w:val="21"/>
                <w:szCs w:val="21"/>
                <w:lang w:val="en-US" w:eastAsia="zh-CN"/>
              </w:rPr>
              <w:t>医院</w:t>
            </w:r>
            <w:r>
              <w:rPr>
                <w:rFonts w:hint="eastAsia" w:ascii="宋体" w:hAnsi="宋体" w:eastAsia="宋体" w:cs="宋体"/>
                <w:bCs/>
                <w:color w:val="auto"/>
                <w:sz w:val="21"/>
                <w:szCs w:val="21"/>
              </w:rPr>
              <w:t>配置管理数据库中的数据始终是最新的。</w:t>
            </w:r>
          </w:p>
          <w:p w14:paraId="15AD2F51">
            <w:pPr>
              <w:widowControl/>
              <w:numPr>
                <w:ilvl w:val="0"/>
                <w:numId w:val="0"/>
              </w:numPr>
              <w:spacing w:line="360" w:lineRule="auto"/>
              <w:ind w:left="360" w:hanging="360" w:firstLineChars="0"/>
              <w:jc w:val="both"/>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1.7、</w:t>
            </w:r>
            <w:r>
              <w:rPr>
                <w:rFonts w:hint="eastAsia" w:ascii="宋体" w:hAnsi="宋体" w:eastAsia="宋体" w:cs="宋体"/>
                <w:bCs/>
                <w:color w:val="auto"/>
                <w:sz w:val="21"/>
                <w:szCs w:val="21"/>
              </w:rPr>
              <w:t>探索利用低代码平台进行自动化录入或比对检查的可行性。</w:t>
            </w:r>
          </w:p>
          <w:p w14:paraId="5B055CEB">
            <w:pPr>
              <w:widowControl/>
              <w:numPr>
                <w:ilvl w:val="0"/>
                <w:numId w:val="0"/>
              </w:numPr>
              <w:spacing w:line="360" w:lineRule="auto"/>
              <w:ind w:left="360" w:hanging="360" w:firstLineChars="0"/>
              <w:jc w:val="both"/>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1.8、</w:t>
            </w:r>
            <w:r>
              <w:rPr>
                <w:rFonts w:hint="eastAsia" w:ascii="宋体" w:hAnsi="宋体" w:eastAsia="宋体" w:cs="宋体"/>
                <w:bCs/>
                <w:color w:val="auto"/>
                <w:sz w:val="21"/>
                <w:szCs w:val="21"/>
              </w:rPr>
              <w:t>对接医院低代码平台，配合提交相关项目交付内容。执行实现院方提出的相关需求</w:t>
            </w:r>
          </w:p>
          <w:p w14:paraId="72F58535">
            <w:pPr>
              <w:widowControl/>
              <w:numPr>
                <w:ilvl w:val="0"/>
                <w:numId w:val="0"/>
              </w:numPr>
              <w:spacing w:line="360" w:lineRule="auto"/>
              <w:ind w:left="360" w:hanging="360" w:firstLineChars="0"/>
              <w:jc w:val="both"/>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1.9</w:t>
            </w:r>
            <w:r>
              <w:rPr>
                <w:rFonts w:hint="eastAsia" w:ascii="宋体" w:hAnsi="宋体" w:eastAsia="宋体" w:cs="宋体"/>
                <w:bCs/>
                <w:color w:val="auto"/>
                <w:sz w:val="21"/>
                <w:szCs w:val="21"/>
              </w:rPr>
              <w:t>在每个季度结束时，团队需要按照既定的标准操作流程准备工作总结、安服成果、问题及整改建议等报告</w:t>
            </w:r>
          </w:p>
          <w:p w14:paraId="523D0E1E">
            <w:pPr>
              <w:widowControl/>
              <w:numPr>
                <w:ilvl w:val="0"/>
                <w:numId w:val="0"/>
              </w:numPr>
              <w:spacing w:line="360" w:lineRule="auto"/>
              <w:ind w:left="360" w:hanging="360" w:firstLineChars="0"/>
              <w:jc w:val="both"/>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1.10</w:t>
            </w:r>
            <w:r>
              <w:rPr>
                <w:rFonts w:hint="eastAsia" w:ascii="宋体" w:hAnsi="宋体" w:eastAsia="宋体" w:cs="宋体"/>
                <w:bCs/>
                <w:color w:val="auto"/>
                <w:sz w:val="21"/>
                <w:szCs w:val="21"/>
              </w:rPr>
              <w:t>季度标准操作流程提交不仅限于报告，也可能包括对标准操作流程本身执行情况的评估</w:t>
            </w:r>
          </w:p>
          <w:p w14:paraId="61E58E14">
            <w:pPr>
              <w:widowControl/>
              <w:numPr>
                <w:ilvl w:val="0"/>
                <w:numId w:val="0"/>
              </w:numPr>
              <w:spacing w:line="360" w:lineRule="auto"/>
              <w:ind w:left="360" w:hanging="360" w:firstLineChars="0"/>
              <w:jc w:val="both"/>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1.11</w:t>
            </w:r>
            <w:r>
              <w:rPr>
                <w:rFonts w:hint="eastAsia" w:ascii="宋体" w:hAnsi="宋体" w:eastAsia="宋体" w:cs="宋体"/>
                <w:bCs/>
                <w:color w:val="auto"/>
                <w:sz w:val="21"/>
                <w:szCs w:val="21"/>
              </w:rPr>
              <w:t>在季度标准操作流程提交过程中，团队根据实际执行过程中遇到的问题，提交对操作流程的优化建议</w:t>
            </w:r>
          </w:p>
          <w:p w14:paraId="2B7D76FF">
            <w:pPr>
              <w:widowControl/>
              <w:numPr>
                <w:ilvl w:val="0"/>
                <w:numId w:val="0"/>
              </w:numPr>
              <w:spacing w:line="360" w:lineRule="auto"/>
              <w:ind w:left="360" w:leftChars="0" w:hanging="360" w:firstLineChars="0"/>
              <w:jc w:val="both"/>
              <w:textAlignment w:val="center"/>
              <w:rPr>
                <w:rFonts w:hint="eastAsia" w:ascii="宋体" w:hAnsi="宋体" w:eastAsia="仿宋_GB2312" w:cs="宋体"/>
                <w:color w:val="auto"/>
                <w:sz w:val="21"/>
                <w:szCs w:val="21"/>
                <w:lang w:val="en-US" w:eastAsia="zh-CN" w:bidi="ar-SA"/>
              </w:rPr>
            </w:pPr>
            <w:r>
              <w:rPr>
                <w:rFonts w:hint="eastAsia" w:ascii="宋体" w:hAnsi="宋体" w:eastAsia="宋体" w:cs="宋体"/>
                <w:bCs/>
                <w:color w:val="auto"/>
                <w:sz w:val="21"/>
                <w:szCs w:val="21"/>
                <w:lang w:val="en-US" w:eastAsia="zh-CN"/>
              </w:rPr>
              <w:t>1.12</w:t>
            </w:r>
            <w:r>
              <w:rPr>
                <w:rFonts w:hint="eastAsia" w:ascii="宋体" w:hAnsi="宋体" w:eastAsia="宋体" w:cs="宋体"/>
                <w:bCs/>
                <w:color w:val="auto"/>
                <w:sz w:val="21"/>
                <w:szCs w:val="21"/>
              </w:rPr>
              <w:t>每月定期举行一次项目进度会议，确保项目按计划进行</w:t>
            </w:r>
          </w:p>
        </w:tc>
      </w:tr>
    </w:tbl>
    <w:p w14:paraId="2F940750">
      <w:pPr>
        <w:rPr>
          <w:rFonts w:hint="eastAsia"/>
        </w:rPr>
      </w:pPr>
    </w:p>
    <w:p w14:paraId="1CB2C5B4">
      <w:pPr>
        <w:pStyle w:val="4"/>
      </w:pPr>
      <w:r>
        <w:rPr>
          <w:rFonts w:hint="eastAsia"/>
        </w:rPr>
        <w:t>四、</w:t>
      </w:r>
      <w:r>
        <w:t xml:space="preserve"> 商务要求</w:t>
      </w:r>
    </w:p>
    <w:p w14:paraId="7C6A48D0">
      <w:pPr>
        <w:rPr>
          <w:rStyle w:val="11"/>
        </w:rPr>
      </w:pPr>
      <w:r>
        <w:rPr>
          <w:rStyle w:val="11"/>
          <w:rFonts w:hint="eastAsia"/>
        </w:rPr>
        <w:t>（一）</w:t>
      </w:r>
      <w:r>
        <w:rPr>
          <w:rStyle w:val="11"/>
        </w:rPr>
        <w:t>供货要求</w:t>
      </w:r>
    </w:p>
    <w:p w14:paraId="14784B60">
      <w:pPr>
        <w:pStyle w:val="12"/>
        <w:numPr>
          <w:ilvl w:val="0"/>
          <w:numId w:val="4"/>
        </w:numPr>
        <w:ind w:firstLineChars="0"/>
        <w:rPr>
          <w:rFonts w:hint="eastAsia" w:ascii="宋体" w:hAnsi="宋体" w:eastAsia="宋体"/>
          <w:sz w:val="24"/>
        </w:rPr>
      </w:pPr>
      <w:r>
        <w:rPr>
          <w:rFonts w:ascii="宋体" w:hAnsi="宋体" w:eastAsia="宋体"/>
          <w:sz w:val="24"/>
        </w:rPr>
        <w:t>产品均应为原厂全新的原装产品，无侵权行为、无任何缺陷隐患，</w:t>
      </w:r>
      <w:r>
        <w:rPr>
          <w:rFonts w:hint="eastAsia" w:ascii="宋体" w:hAnsi="宋体" w:eastAsia="宋体"/>
          <w:sz w:val="24"/>
        </w:rPr>
        <w:t>在中国境内可依常规安全合法使用；</w:t>
      </w:r>
    </w:p>
    <w:p w14:paraId="65F0666F">
      <w:pPr>
        <w:pStyle w:val="12"/>
        <w:numPr>
          <w:ilvl w:val="0"/>
          <w:numId w:val="4"/>
        </w:numPr>
        <w:ind w:firstLineChars="0"/>
        <w:rPr>
          <w:rFonts w:hint="eastAsia" w:ascii="宋体" w:hAnsi="宋体" w:eastAsia="宋体"/>
          <w:sz w:val="24"/>
        </w:rPr>
      </w:pPr>
      <w:r>
        <w:rPr>
          <w:rFonts w:ascii="宋体" w:hAnsi="宋体" w:eastAsia="宋体"/>
          <w:sz w:val="24"/>
        </w:rPr>
        <w:t>产品必须得到制造商认证，符合国家或国际的质量标准；</w:t>
      </w:r>
    </w:p>
    <w:p w14:paraId="529691E1">
      <w:pPr>
        <w:pStyle w:val="12"/>
        <w:numPr>
          <w:ilvl w:val="0"/>
          <w:numId w:val="4"/>
        </w:numPr>
        <w:ind w:firstLineChars="0"/>
        <w:rPr>
          <w:rFonts w:hint="eastAsia" w:ascii="宋体" w:hAnsi="宋体" w:eastAsia="宋体"/>
          <w:sz w:val="24"/>
        </w:rPr>
      </w:pPr>
      <w:r>
        <w:rPr>
          <w:rFonts w:ascii="宋体" w:hAnsi="宋体" w:eastAsia="宋体"/>
          <w:sz w:val="24"/>
        </w:rPr>
        <w:t>浙江省肿瘤医院有权对产品进行第三方的检测，如产品未能达到</w:t>
      </w:r>
      <w:r>
        <w:rPr>
          <w:rFonts w:hint="eastAsia" w:ascii="宋体" w:hAnsi="宋体" w:eastAsia="宋体"/>
          <w:sz w:val="24"/>
        </w:rPr>
        <w:t>调研内容</w:t>
      </w:r>
      <w:r>
        <w:rPr>
          <w:rFonts w:ascii="宋体" w:hAnsi="宋体" w:eastAsia="宋体"/>
          <w:sz w:val="24"/>
        </w:rPr>
        <w:t>的性能参数，可要求无偿更换或单方面终止合同。</w:t>
      </w:r>
    </w:p>
    <w:p w14:paraId="7567519B">
      <w:pPr>
        <w:pStyle w:val="12"/>
        <w:numPr>
          <w:ilvl w:val="0"/>
          <w:numId w:val="4"/>
        </w:numPr>
        <w:ind w:firstLineChars="0"/>
        <w:rPr>
          <w:rFonts w:hint="eastAsia" w:ascii="宋体" w:hAnsi="宋体" w:eastAsia="宋体"/>
          <w:sz w:val="24"/>
        </w:rPr>
      </w:pPr>
      <w:r>
        <w:rPr>
          <w:rFonts w:hint="eastAsia" w:ascii="宋体" w:hAnsi="宋体" w:eastAsia="宋体"/>
          <w:sz w:val="24"/>
        </w:rPr>
        <w:t>本项目的所有软、硬件(如线缆、软件、硬件模块等，包括未列出而系统实施又必需的软件、硬件)需配齐以构成一套完整实用系统，所有辅材采用原装配套产品，没有原装配套的产品的，由供应商提供相应产品并保证其质量安全。</w:t>
      </w:r>
    </w:p>
    <w:p w14:paraId="17B2A497">
      <w:pPr>
        <w:pStyle w:val="12"/>
        <w:numPr>
          <w:ilvl w:val="0"/>
          <w:numId w:val="4"/>
        </w:numPr>
        <w:ind w:firstLineChars="0"/>
        <w:rPr>
          <w:rFonts w:hint="eastAsia" w:ascii="宋体" w:hAnsi="宋体" w:eastAsia="宋体"/>
          <w:sz w:val="24"/>
        </w:rPr>
      </w:pPr>
      <w:r>
        <w:rPr>
          <w:rFonts w:hint="eastAsia" w:ascii="宋体" w:hAnsi="宋体" w:eastAsia="宋体"/>
          <w:sz w:val="24"/>
        </w:rPr>
        <w:t>完成设备的安装调试，电源、相关缆线（网线、光纤线）必须齐全并满足机房实际布局连接要求；新增设备后如涉及到机房布局需要进行调整。</w:t>
      </w:r>
    </w:p>
    <w:p w14:paraId="3B61034E">
      <w:pPr>
        <w:pStyle w:val="12"/>
        <w:numPr>
          <w:ilvl w:val="0"/>
          <w:numId w:val="4"/>
        </w:numPr>
        <w:ind w:firstLineChars="0"/>
        <w:rPr>
          <w:rFonts w:hint="eastAsia" w:ascii="宋体" w:hAnsi="宋体" w:eastAsia="宋体"/>
          <w:sz w:val="24"/>
        </w:rPr>
      </w:pPr>
      <w:r>
        <w:rPr>
          <w:rFonts w:hint="eastAsia" w:ascii="宋体" w:hAnsi="宋体" w:eastAsia="宋体"/>
          <w:sz w:val="24"/>
        </w:rPr>
        <w:t>本次拟调研内容内容除包括上述设备外，还应包括随机的辅助设备、专用电线电缆、随机软件、技术资料（包括操作手册、使用指南、维修指南和含维修网点在内的服务手册等）、设备运行所必需的随机消耗材料，相应的技术服务与质量保证。</w:t>
      </w:r>
    </w:p>
    <w:p w14:paraId="13C8A7FF">
      <w:pPr>
        <w:pStyle w:val="12"/>
        <w:numPr>
          <w:ilvl w:val="0"/>
          <w:numId w:val="4"/>
        </w:numPr>
        <w:ind w:firstLineChars="0"/>
        <w:rPr>
          <w:rFonts w:hint="eastAsia" w:ascii="宋体" w:hAnsi="宋体" w:eastAsia="宋体"/>
          <w:sz w:val="24"/>
        </w:rPr>
      </w:pPr>
      <w:r>
        <w:rPr>
          <w:rFonts w:hint="eastAsia" w:ascii="宋体" w:hAnsi="宋体" w:eastAsia="宋体"/>
          <w:sz w:val="24"/>
        </w:rPr>
        <w:t xml:space="preserve">产品应详细列明设备的所有技术指标（包括所投产品的品牌、规格型号、详细配置、主要技术参数、随机软件等），明确表示该项指标所涉及的软硬件是标准配置还是选择配置。同时还须包括产品说明书或产品主要技术资料和性能的详细描述，产品制造、安装、验收标准，详细的交货时所配文件清单、主要部件明细表（包括品牌、制造厂名和主要技术参数）等。 </w:t>
      </w:r>
    </w:p>
    <w:p w14:paraId="13E1A141">
      <w:pPr>
        <w:pStyle w:val="12"/>
        <w:numPr>
          <w:ilvl w:val="0"/>
          <w:numId w:val="4"/>
        </w:numPr>
        <w:ind w:firstLineChars="0"/>
        <w:rPr>
          <w:rFonts w:hint="eastAsia" w:ascii="宋体" w:hAnsi="宋体" w:eastAsia="宋体"/>
          <w:sz w:val="24"/>
        </w:rPr>
      </w:pPr>
      <w:r>
        <w:rPr>
          <w:rFonts w:hint="eastAsia" w:ascii="宋体" w:hAnsi="宋体" w:eastAsia="宋体"/>
          <w:sz w:val="24"/>
        </w:rPr>
        <w:t>产品相关所有预装和为本项目安装的软件均为具有合法版权或使用权的正版软件且无质量瑕疵。</w:t>
      </w:r>
    </w:p>
    <w:p w14:paraId="51F3F641">
      <w:pPr>
        <w:pStyle w:val="12"/>
        <w:numPr>
          <w:ilvl w:val="0"/>
          <w:numId w:val="4"/>
        </w:numPr>
        <w:ind w:firstLineChars="0"/>
        <w:rPr>
          <w:rFonts w:hint="eastAsia" w:ascii="宋体" w:hAnsi="宋体" w:eastAsia="宋体"/>
          <w:sz w:val="24"/>
        </w:rPr>
      </w:pPr>
      <w:r>
        <w:rPr>
          <w:rFonts w:hint="eastAsia" w:ascii="宋体" w:hAnsi="宋体" w:eastAsia="宋体"/>
          <w:sz w:val="24"/>
        </w:rPr>
        <w:t>如遇软件产品升级、改版，应免费提供更新、升级服务。</w:t>
      </w:r>
    </w:p>
    <w:p w14:paraId="173B0BEF">
      <w:pPr>
        <w:pStyle w:val="12"/>
        <w:numPr>
          <w:ilvl w:val="0"/>
          <w:numId w:val="4"/>
        </w:numPr>
        <w:ind w:firstLineChars="0"/>
        <w:rPr>
          <w:rFonts w:hint="eastAsia" w:ascii="宋体" w:hAnsi="宋体" w:eastAsia="宋体"/>
          <w:b/>
          <w:bCs/>
          <w:sz w:val="24"/>
        </w:rPr>
      </w:pPr>
      <w:r>
        <w:rPr>
          <w:rFonts w:hint="eastAsia" w:ascii="宋体" w:hAnsi="宋体" w:eastAsia="宋体"/>
          <w:b/>
          <w:bCs/>
          <w:sz w:val="24"/>
        </w:rPr>
        <w:t>注：报名单位可对于供货要求提供更细化的内容。</w:t>
      </w:r>
    </w:p>
    <w:p w14:paraId="4F458E04">
      <w:pPr>
        <w:rPr>
          <w:rStyle w:val="11"/>
        </w:rPr>
      </w:pPr>
      <w:r>
        <w:rPr>
          <w:rStyle w:val="11"/>
          <w:rFonts w:hint="eastAsia"/>
        </w:rPr>
        <w:t>（二）</w:t>
      </w:r>
      <w:r>
        <w:rPr>
          <w:rStyle w:val="11"/>
        </w:rPr>
        <w:t>交付时间</w:t>
      </w:r>
    </w:p>
    <w:p w14:paraId="3A660027">
      <w:pPr>
        <w:rPr>
          <w:rFonts w:hint="eastAsia"/>
        </w:rPr>
      </w:pPr>
      <w:r>
        <w:rPr>
          <w:rFonts w:hint="eastAsia"/>
        </w:rPr>
        <w:t>自合同签订之日起3个月内完成软硬件产品的部署实施交付，1年内完成相关安全服务</w:t>
      </w:r>
      <w:r>
        <w:t>。</w:t>
      </w:r>
    </w:p>
    <w:p w14:paraId="7620A3B1">
      <w:pPr>
        <w:rPr>
          <w:rFonts w:hint="eastAsia"/>
        </w:rPr>
      </w:pPr>
    </w:p>
    <w:p w14:paraId="5D34C119">
      <w:pPr>
        <w:rPr>
          <w:rStyle w:val="11"/>
        </w:rPr>
      </w:pPr>
      <w:r>
        <w:rPr>
          <w:rStyle w:val="11"/>
          <w:rFonts w:hint="eastAsia"/>
        </w:rPr>
        <w:t>（三）</w:t>
      </w:r>
      <w:r>
        <w:rPr>
          <w:rStyle w:val="11"/>
        </w:rPr>
        <w:t>交付地点</w:t>
      </w:r>
    </w:p>
    <w:p w14:paraId="4BE0C967">
      <w:pPr>
        <w:rPr>
          <w:rFonts w:hint="eastAsia"/>
        </w:rPr>
      </w:pPr>
      <w:r>
        <w:t>由浙江省肿瘤医院指定地点，免费送货上门，免费安装调试合格。</w:t>
      </w:r>
    </w:p>
    <w:p w14:paraId="099B4EC9">
      <w:pPr>
        <w:rPr>
          <w:rFonts w:hint="eastAsia"/>
        </w:rPr>
      </w:pPr>
    </w:p>
    <w:p w14:paraId="262A2ABF">
      <w:pPr>
        <w:rPr>
          <w:rStyle w:val="11"/>
        </w:rPr>
      </w:pPr>
      <w:r>
        <w:rPr>
          <w:rStyle w:val="11"/>
          <w:rFonts w:hint="eastAsia"/>
        </w:rPr>
        <w:t>（四）</w:t>
      </w:r>
      <w:r>
        <w:rPr>
          <w:rStyle w:val="11"/>
        </w:rPr>
        <w:t>实施服务</w:t>
      </w:r>
    </w:p>
    <w:p w14:paraId="3AB69DEE">
      <w:pPr>
        <w:ind w:firstLine="480" w:firstLineChars="200"/>
        <w:rPr>
          <w:rFonts w:hint="eastAsia"/>
        </w:rPr>
      </w:pPr>
      <w:r>
        <w:t>为保证项目质量，保证措施、服务响应及时、项目管理（包括项目组织管理、人员管理、技术管理、进度管理、资料管理等），在</w:t>
      </w:r>
      <w:r>
        <w:rPr>
          <w:rFonts w:hint="eastAsia"/>
        </w:rPr>
        <w:t>项目各项内容</w:t>
      </w:r>
      <w:r>
        <w:t>实施期内，提供不少于</w:t>
      </w:r>
      <w:r>
        <w:rPr>
          <w:rFonts w:hint="eastAsia"/>
        </w:rPr>
        <w:t>3人的项目组成员现场支持。</w:t>
      </w:r>
    </w:p>
    <w:p w14:paraId="2FB61A37">
      <w:pPr>
        <w:rPr>
          <w:rFonts w:hint="eastAsia"/>
          <w:b/>
          <w:bCs/>
        </w:rPr>
      </w:pPr>
      <w:r>
        <w:rPr>
          <w:rFonts w:hint="eastAsia"/>
          <w:b/>
          <w:bCs/>
        </w:rPr>
        <w:t>注：报名单位可根据拟定拟调研内容提出更细化的实施方案内容。</w:t>
      </w:r>
    </w:p>
    <w:p w14:paraId="0AD58450">
      <w:pPr>
        <w:rPr>
          <w:rStyle w:val="11"/>
        </w:rPr>
      </w:pPr>
      <w:r>
        <w:rPr>
          <w:rStyle w:val="11"/>
          <w:rFonts w:hint="eastAsia"/>
        </w:rPr>
        <w:t>（五）</w:t>
      </w:r>
      <w:r>
        <w:rPr>
          <w:rStyle w:val="11"/>
        </w:rPr>
        <w:t>验收要求</w:t>
      </w:r>
    </w:p>
    <w:p w14:paraId="696E8DC5">
      <w:pPr>
        <w:pStyle w:val="12"/>
        <w:ind w:firstLine="0" w:firstLineChars="0"/>
        <w:rPr>
          <w:rFonts w:hint="eastAsia" w:ascii="宋体" w:hAnsi="宋体" w:eastAsia="宋体"/>
          <w:color w:val="auto"/>
          <w:sz w:val="24"/>
          <w:highlight w:val="none"/>
        </w:rPr>
      </w:pPr>
      <w:r>
        <w:rPr>
          <w:rFonts w:hint="eastAsia" w:ascii="宋体" w:hAnsi="宋体" w:eastAsia="宋体"/>
          <w:color w:val="auto"/>
          <w:sz w:val="24"/>
          <w:highlight w:val="none"/>
        </w:rPr>
        <w:t>项目软硬件相关内容（第3项，第7项-第18项）交付完毕后进行初验，剩余服务类内容交付完毕后进行终验。</w:t>
      </w:r>
    </w:p>
    <w:p w14:paraId="26056D84">
      <w:pPr>
        <w:rPr>
          <w:rStyle w:val="11"/>
        </w:rPr>
      </w:pPr>
      <w:r>
        <w:rPr>
          <w:rStyle w:val="11"/>
          <w:rFonts w:hint="eastAsia"/>
        </w:rPr>
        <w:t>（六）付款</w:t>
      </w:r>
    </w:p>
    <w:p w14:paraId="534A4876">
      <w:pPr>
        <w:pStyle w:val="12"/>
        <w:ind w:firstLine="0" w:firstLineChars="0"/>
        <w:rPr>
          <w:rFonts w:hint="eastAsia" w:ascii="宋体" w:hAnsi="宋体" w:eastAsia="宋体"/>
          <w:color w:val="auto"/>
          <w:sz w:val="24"/>
        </w:rPr>
      </w:pPr>
      <w:r>
        <w:rPr>
          <w:rFonts w:hint="eastAsia" w:ascii="宋体" w:hAnsi="宋体" w:eastAsia="宋体"/>
          <w:color w:val="auto"/>
          <w:sz w:val="24"/>
        </w:rPr>
        <w:t>合同签订后付款40%，初验后付款30%，终验后付款至100%。</w:t>
      </w:r>
    </w:p>
    <w:p w14:paraId="5141B148">
      <w:pPr>
        <w:pStyle w:val="4"/>
      </w:pPr>
      <w:r>
        <w:rPr>
          <w:rFonts w:hint="eastAsia"/>
        </w:rPr>
        <w:t>五、</w:t>
      </w:r>
      <w:r>
        <w:t xml:space="preserve"> 服务要求</w:t>
      </w:r>
    </w:p>
    <w:p w14:paraId="603AF484">
      <w:pPr>
        <w:rPr>
          <w:rStyle w:val="11"/>
        </w:rPr>
      </w:pPr>
      <w:r>
        <w:rPr>
          <w:rStyle w:val="11"/>
          <w:rFonts w:hint="eastAsia"/>
        </w:rPr>
        <w:t>（一）</w:t>
      </w:r>
      <w:r>
        <w:rPr>
          <w:rStyle w:val="11"/>
        </w:rPr>
        <w:t>售后服务</w:t>
      </w:r>
    </w:p>
    <w:p w14:paraId="50C3523B">
      <w:pPr>
        <w:pStyle w:val="12"/>
        <w:numPr>
          <w:ilvl w:val="0"/>
          <w:numId w:val="5"/>
        </w:numPr>
        <w:ind w:firstLineChars="0"/>
        <w:rPr>
          <w:rFonts w:hint="eastAsia" w:ascii="宋体" w:hAnsi="宋体" w:eastAsia="宋体"/>
          <w:sz w:val="24"/>
        </w:rPr>
      </w:pPr>
      <w:r>
        <w:rPr>
          <w:rFonts w:ascii="宋体" w:hAnsi="宋体" w:eastAsia="宋体"/>
          <w:sz w:val="24"/>
        </w:rPr>
        <w:t>保修期自项目验收合格之日起计算，</w:t>
      </w:r>
      <w:r>
        <w:rPr>
          <w:rFonts w:hint="eastAsia" w:ascii="宋体" w:hAnsi="宋体" w:eastAsia="宋体"/>
          <w:sz w:val="24"/>
          <w:u w:val="single"/>
        </w:rPr>
        <w:t>软硬件产品</w:t>
      </w:r>
      <w:r>
        <w:rPr>
          <w:rFonts w:ascii="宋体" w:hAnsi="宋体" w:eastAsia="宋体"/>
          <w:sz w:val="24"/>
          <w:u w:val="single"/>
        </w:rPr>
        <w:t>质保</w:t>
      </w:r>
      <w:r>
        <w:rPr>
          <w:rFonts w:hint="eastAsia" w:ascii="宋体" w:hAnsi="宋体" w:eastAsia="宋体"/>
          <w:sz w:val="24"/>
          <w:u w:val="single"/>
        </w:rPr>
        <w:t>详见清单要求</w:t>
      </w:r>
      <w:r>
        <w:rPr>
          <w:rFonts w:ascii="宋体" w:hAnsi="宋体" w:eastAsia="宋体"/>
          <w:sz w:val="24"/>
        </w:rPr>
        <w:t>，</w:t>
      </w:r>
      <w:r>
        <w:rPr>
          <w:rFonts w:hint="eastAsia" w:ascii="宋体" w:hAnsi="宋体" w:eastAsia="宋体"/>
          <w:sz w:val="24"/>
          <w:u w:val="single"/>
        </w:rPr>
        <w:t>服务类内容服务1年</w:t>
      </w:r>
      <w:r>
        <w:rPr>
          <w:rFonts w:hint="eastAsia" w:ascii="宋体" w:hAnsi="宋体" w:eastAsia="宋体"/>
          <w:sz w:val="24"/>
        </w:rPr>
        <w:t>，</w:t>
      </w:r>
      <w:r>
        <w:rPr>
          <w:rFonts w:ascii="宋体" w:hAnsi="宋体" w:eastAsia="宋体"/>
          <w:sz w:val="24"/>
        </w:rPr>
        <w:t>报名单位应对保修期的具体期限做出承诺，保修期内对所供产品提供免费上门保修保用服务。</w:t>
      </w:r>
    </w:p>
    <w:p w14:paraId="703678F2">
      <w:pPr>
        <w:pStyle w:val="12"/>
        <w:numPr>
          <w:ilvl w:val="0"/>
          <w:numId w:val="5"/>
        </w:numPr>
        <w:ind w:firstLineChars="0"/>
        <w:rPr>
          <w:rFonts w:hint="eastAsia" w:ascii="宋体" w:hAnsi="宋体" w:eastAsia="宋体"/>
          <w:sz w:val="24"/>
        </w:rPr>
      </w:pPr>
      <w:r>
        <w:rPr>
          <w:rFonts w:ascii="宋体" w:hAnsi="宋体" w:eastAsia="宋体"/>
          <w:sz w:val="24"/>
        </w:rPr>
        <w:t>保修期内负责对所供产品实行包退、包维护保养，所有产品的维修、版本升级均为免费。</w:t>
      </w:r>
    </w:p>
    <w:p w14:paraId="74CAE21C">
      <w:pPr>
        <w:pStyle w:val="12"/>
        <w:numPr>
          <w:ilvl w:val="0"/>
          <w:numId w:val="5"/>
        </w:numPr>
        <w:ind w:firstLineChars="0"/>
        <w:rPr>
          <w:rFonts w:hint="eastAsia" w:ascii="宋体" w:hAnsi="宋体" w:eastAsia="宋体"/>
          <w:sz w:val="24"/>
        </w:rPr>
      </w:pPr>
      <w:r>
        <w:rPr>
          <w:rFonts w:hint="eastAsia" w:ascii="宋体" w:hAnsi="宋体" w:eastAsia="宋体"/>
          <w:sz w:val="24"/>
        </w:rPr>
        <w:t>报名单位须提供不少于</w:t>
      </w:r>
      <w:r>
        <w:rPr>
          <w:rFonts w:hint="eastAsia" w:ascii="宋体" w:hAnsi="宋体" w:eastAsia="宋体"/>
          <w:sz w:val="24"/>
          <w:u w:val="single"/>
        </w:rPr>
        <w:t>四次/年</w:t>
      </w:r>
      <w:r>
        <w:rPr>
          <w:rFonts w:hint="eastAsia" w:ascii="宋体" w:hAnsi="宋体" w:eastAsia="宋体"/>
          <w:sz w:val="24"/>
        </w:rPr>
        <w:t>的巡检服务，巡检对象须包括医院现有的核心网络安全设备的巡检服务。</w:t>
      </w:r>
    </w:p>
    <w:p w14:paraId="2651324D">
      <w:pPr>
        <w:pStyle w:val="12"/>
        <w:numPr>
          <w:ilvl w:val="0"/>
          <w:numId w:val="5"/>
        </w:numPr>
        <w:ind w:firstLineChars="0"/>
        <w:rPr>
          <w:rFonts w:hint="eastAsia" w:ascii="宋体" w:hAnsi="宋体" w:eastAsia="宋体"/>
          <w:sz w:val="24"/>
        </w:rPr>
      </w:pPr>
      <w:r>
        <w:rPr>
          <w:rFonts w:hint="eastAsia" w:ascii="宋体" w:hAnsi="宋体" w:eastAsia="宋体"/>
          <w:sz w:val="24"/>
        </w:rPr>
        <w:t>提供详细的实施方案，若在实施过程中造成医院业务非计划性停机或者数据丢失，由中标方负全部责任并赔偿院方因此造成的全部损失。</w:t>
      </w:r>
    </w:p>
    <w:p w14:paraId="14037DA1">
      <w:pPr>
        <w:pStyle w:val="12"/>
        <w:numPr>
          <w:ilvl w:val="0"/>
          <w:numId w:val="5"/>
        </w:numPr>
        <w:ind w:firstLineChars="0"/>
        <w:rPr>
          <w:rFonts w:hint="eastAsia" w:ascii="宋体" w:hAnsi="宋体" w:eastAsia="宋体"/>
          <w:sz w:val="24"/>
        </w:rPr>
      </w:pPr>
      <w:r>
        <w:rPr>
          <w:rFonts w:hint="eastAsia" w:ascii="宋体" w:hAnsi="宋体" w:eastAsia="宋体"/>
          <w:sz w:val="24"/>
        </w:rPr>
        <w:t>报名单位需充分考虑医院现有的软、硬件的利旧方案，并免费提供设备搬迁服务、机柜搬移服务和数据迁移服务，所产生的第三方费用由中标方承担。</w:t>
      </w:r>
    </w:p>
    <w:p w14:paraId="64F7522B">
      <w:pPr>
        <w:pStyle w:val="12"/>
        <w:numPr>
          <w:ilvl w:val="0"/>
          <w:numId w:val="5"/>
        </w:numPr>
        <w:ind w:firstLineChars="0"/>
        <w:rPr>
          <w:rFonts w:hint="eastAsia" w:ascii="宋体" w:hAnsi="宋体" w:eastAsia="宋体"/>
          <w:sz w:val="24"/>
        </w:rPr>
      </w:pPr>
      <w:r>
        <w:rPr>
          <w:rFonts w:hint="eastAsia" w:ascii="宋体" w:hAnsi="宋体" w:eastAsia="宋体"/>
          <w:sz w:val="24"/>
        </w:rPr>
        <w:t>报名单位须具备全专业技术团队服务能力并针对本项目组建专门的实施团队，且实施团队不少于3人，要求投标时提供相关工程师社保证明以及证书复印件，后续实施的工程师必须与投标文件中的工程师一一对应。</w:t>
      </w:r>
    </w:p>
    <w:p w14:paraId="7F181CCD">
      <w:pPr>
        <w:pStyle w:val="12"/>
        <w:numPr>
          <w:ilvl w:val="0"/>
          <w:numId w:val="5"/>
        </w:numPr>
        <w:ind w:firstLineChars="0"/>
        <w:rPr>
          <w:rFonts w:hint="eastAsia" w:ascii="宋体" w:hAnsi="宋体" w:eastAsia="宋体"/>
          <w:b/>
          <w:bCs/>
          <w:sz w:val="24"/>
        </w:rPr>
      </w:pPr>
      <w:r>
        <w:rPr>
          <w:rFonts w:hint="eastAsia" w:ascii="宋体" w:hAnsi="宋体" w:eastAsia="宋体"/>
          <w:b/>
          <w:bCs/>
          <w:sz w:val="24"/>
        </w:rPr>
        <w:t>报名单位须提供7*24小时技术支持，全年不少于40个工作日的现场技术支持。</w:t>
      </w:r>
    </w:p>
    <w:p w14:paraId="5B15D4DD">
      <w:pPr>
        <w:pStyle w:val="12"/>
        <w:numPr>
          <w:ilvl w:val="0"/>
          <w:numId w:val="5"/>
        </w:numPr>
        <w:ind w:firstLineChars="0"/>
        <w:rPr>
          <w:rFonts w:hint="eastAsia" w:ascii="宋体" w:hAnsi="宋体" w:eastAsia="宋体"/>
          <w:sz w:val="24"/>
        </w:rPr>
      </w:pPr>
      <w:r>
        <w:rPr>
          <w:rFonts w:hint="eastAsia" w:ascii="宋体" w:hAnsi="宋体" w:eastAsia="宋体"/>
          <w:sz w:val="24"/>
        </w:rPr>
        <w:t>报名单位须提供现场技术保障服务，协调原厂人员实行网络安全检查和加固，并向用户汇报各项工作情况。</w:t>
      </w:r>
    </w:p>
    <w:p w14:paraId="51C330B6">
      <w:pPr>
        <w:pStyle w:val="12"/>
        <w:numPr>
          <w:ilvl w:val="0"/>
          <w:numId w:val="5"/>
        </w:numPr>
        <w:ind w:firstLineChars="0"/>
        <w:rPr>
          <w:rFonts w:hint="eastAsia" w:ascii="宋体" w:hAnsi="宋体" w:eastAsia="宋体"/>
          <w:sz w:val="24"/>
        </w:rPr>
      </w:pPr>
      <w:r>
        <w:rPr>
          <w:rFonts w:hint="eastAsia" w:ascii="宋体" w:hAnsi="宋体" w:eastAsia="宋体"/>
          <w:sz w:val="24"/>
        </w:rPr>
        <w:t>报名单位</w:t>
      </w:r>
      <w:r>
        <w:rPr>
          <w:rFonts w:ascii="宋体" w:hAnsi="宋体" w:eastAsia="宋体"/>
          <w:sz w:val="24"/>
        </w:rPr>
        <w:t>应提供系统扩充、升级方面的技术支持服务。</w:t>
      </w:r>
    </w:p>
    <w:p w14:paraId="23A2B154">
      <w:pPr>
        <w:pStyle w:val="12"/>
        <w:ind w:firstLine="0" w:firstLineChars="0"/>
        <w:rPr>
          <w:rFonts w:hint="eastAsia" w:ascii="宋体" w:hAnsi="宋体" w:eastAsia="宋体"/>
          <w:b/>
          <w:bCs/>
          <w:sz w:val="24"/>
        </w:rPr>
      </w:pPr>
      <w:r>
        <w:rPr>
          <w:rFonts w:hint="eastAsia" w:ascii="宋体" w:hAnsi="宋体" w:eastAsia="宋体"/>
          <w:b/>
          <w:bCs/>
          <w:sz w:val="24"/>
        </w:rPr>
        <w:t>注：报名单位可对于售后服务提供更细化的内容。</w:t>
      </w:r>
    </w:p>
    <w:p w14:paraId="1DE28AC7">
      <w:pPr>
        <w:rPr>
          <w:rFonts w:hint="eastAsia"/>
        </w:rPr>
      </w:pPr>
      <w:r>
        <w:tab/>
      </w:r>
    </w:p>
    <w:p w14:paraId="16F2C059">
      <w:pPr>
        <w:rPr>
          <w:rStyle w:val="11"/>
        </w:rPr>
      </w:pPr>
      <w:r>
        <w:rPr>
          <w:rStyle w:val="11"/>
          <w:rFonts w:hint="eastAsia"/>
        </w:rPr>
        <w:t>（二）</w:t>
      </w:r>
      <w:r>
        <w:rPr>
          <w:rStyle w:val="11"/>
        </w:rPr>
        <w:t>培训要求</w:t>
      </w:r>
    </w:p>
    <w:p w14:paraId="79C9D7D1">
      <w:pPr>
        <w:pStyle w:val="12"/>
        <w:numPr>
          <w:ilvl w:val="0"/>
          <w:numId w:val="6"/>
        </w:numPr>
        <w:ind w:firstLineChars="0"/>
        <w:rPr>
          <w:rFonts w:hint="eastAsia" w:ascii="宋体" w:hAnsi="宋体" w:eastAsia="宋体"/>
          <w:sz w:val="24"/>
        </w:rPr>
      </w:pPr>
      <w:r>
        <w:rPr>
          <w:rFonts w:ascii="宋体" w:hAnsi="宋体" w:eastAsia="宋体"/>
          <w:sz w:val="24"/>
        </w:rPr>
        <w:t>基本培训要求：针对系统管理人员提供产品的配置、操作及维护培训，主要内容为平台系统的基本结构、功能与特性，日常使用操作、维护与管理，常见故障的排除，紧急情况的处理等，直到业主工程师熟悉使用。培训时间不少于</w:t>
      </w:r>
      <w:r>
        <w:rPr>
          <w:rFonts w:hint="eastAsia" w:ascii="宋体" w:hAnsi="宋体" w:eastAsia="宋体"/>
          <w:sz w:val="24"/>
        </w:rPr>
        <w:t>1</w:t>
      </w:r>
      <w:r>
        <w:rPr>
          <w:rFonts w:ascii="宋体" w:hAnsi="宋体" w:eastAsia="宋体"/>
          <w:sz w:val="24"/>
        </w:rPr>
        <w:t>天。</w:t>
      </w:r>
    </w:p>
    <w:p w14:paraId="4F6963B0">
      <w:pPr>
        <w:pStyle w:val="12"/>
        <w:numPr>
          <w:ilvl w:val="0"/>
          <w:numId w:val="6"/>
        </w:numPr>
        <w:ind w:firstLineChars="0"/>
        <w:rPr>
          <w:rFonts w:hint="eastAsia" w:ascii="宋体" w:hAnsi="宋体" w:eastAsia="宋体"/>
          <w:sz w:val="24"/>
        </w:rPr>
      </w:pPr>
      <w:r>
        <w:rPr>
          <w:rFonts w:ascii="宋体" w:hAnsi="宋体" w:eastAsia="宋体"/>
          <w:sz w:val="24"/>
        </w:rPr>
        <w:t>用户使用培训：针对业务人员使用操作培训，主要内容为平台系统基本情况与功能介绍、实践操作，技术指导等。培训时间不少于3天。</w:t>
      </w:r>
    </w:p>
    <w:p w14:paraId="19222D08">
      <w:pPr>
        <w:pStyle w:val="12"/>
        <w:numPr>
          <w:ilvl w:val="0"/>
          <w:numId w:val="6"/>
        </w:numPr>
        <w:ind w:firstLineChars="0"/>
        <w:rPr>
          <w:rFonts w:hint="eastAsia" w:ascii="宋体" w:hAnsi="宋体" w:eastAsia="宋体"/>
          <w:sz w:val="24"/>
        </w:rPr>
      </w:pPr>
      <w:r>
        <w:rPr>
          <w:rFonts w:ascii="宋体" w:hAnsi="宋体" w:eastAsia="宋体"/>
          <w:sz w:val="24"/>
        </w:rPr>
        <w:t>培训地点：平台系统安装所在地，具体由浙江省肿瘤医院确定，人数不限。</w:t>
      </w:r>
    </w:p>
    <w:p w14:paraId="4F265A6E">
      <w:pPr>
        <w:pStyle w:val="12"/>
        <w:numPr>
          <w:ilvl w:val="0"/>
          <w:numId w:val="6"/>
        </w:numPr>
        <w:ind w:firstLineChars="0"/>
        <w:rPr>
          <w:rFonts w:hint="eastAsia" w:ascii="宋体" w:hAnsi="宋体" w:eastAsia="宋体"/>
          <w:sz w:val="24"/>
        </w:rPr>
      </w:pPr>
      <w:r>
        <w:rPr>
          <w:rFonts w:ascii="宋体" w:hAnsi="宋体" w:eastAsia="宋体"/>
          <w:sz w:val="24"/>
        </w:rPr>
        <w:t>维保期内提供不少于6次的集中培训服务。</w:t>
      </w:r>
    </w:p>
    <w:p w14:paraId="3976CF32">
      <w:pPr>
        <w:pStyle w:val="12"/>
        <w:ind w:firstLine="0" w:firstLineChars="0"/>
        <w:rPr>
          <w:rFonts w:hint="eastAsia" w:ascii="宋体" w:hAnsi="宋体" w:eastAsia="宋体"/>
          <w:b/>
          <w:bCs/>
          <w:sz w:val="24"/>
        </w:rPr>
      </w:pPr>
      <w:r>
        <w:rPr>
          <w:rFonts w:hint="eastAsia" w:ascii="宋体" w:hAnsi="宋体" w:eastAsia="宋体"/>
          <w:b/>
          <w:bCs/>
          <w:sz w:val="24"/>
        </w:rPr>
        <w:t>注：报名单位可根据上述需求提供更细化的培训内容。</w:t>
      </w:r>
    </w:p>
    <w:p w14:paraId="3FD421B7">
      <w:pPr>
        <w:pStyle w:val="4"/>
      </w:pPr>
      <w:r>
        <w:rPr>
          <w:rFonts w:hint="eastAsia"/>
        </w:rPr>
        <w:t>六、调研要求</w:t>
      </w:r>
    </w:p>
    <w:p w14:paraId="481E2FFD">
      <w:pPr>
        <w:rPr>
          <w:rFonts w:hint="eastAsia"/>
        </w:rPr>
      </w:pPr>
      <w:r>
        <w:rPr>
          <w:rFonts w:hint="eastAsia"/>
        </w:rPr>
        <w:t>1、面向集成商、服务商进行本次项目方案征集。</w:t>
      </w:r>
    </w:p>
    <w:p w14:paraId="7E823A76">
      <w:pPr>
        <w:rPr>
          <w:rFonts w:hint="eastAsia"/>
        </w:rPr>
      </w:pPr>
      <w:r>
        <w:rPr>
          <w:rFonts w:hint="eastAsia"/>
        </w:rPr>
        <w:t>2、综合出具针对我院的信息安全改造优化方案，提出合理化建议，进行短期和长期的安全建设规划。</w:t>
      </w:r>
    </w:p>
    <w:p w14:paraId="6509C7E3">
      <w:pPr>
        <w:rPr>
          <w:rFonts w:hint="eastAsia"/>
        </w:rPr>
      </w:pPr>
      <w:r>
        <w:rPr>
          <w:rFonts w:hint="eastAsia"/>
        </w:rPr>
        <w:t>3、报价包含达到项目实施条件的一切内容，不再增加额外费用。</w:t>
      </w:r>
    </w:p>
    <w:p w14:paraId="7A12520A">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nsJR0bAh+SimSun">
    <w:altName w:val="微软雅黑"/>
    <w:panose1 w:val="00000000000000000000"/>
    <w:charset w:val="00"/>
    <w:family w:val="auto"/>
    <w:pitch w:val="default"/>
    <w:sig w:usb0="00000000" w:usb1="0000000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8BE53"/>
    <w:multiLevelType w:val="singleLevel"/>
    <w:tmpl w:val="B938BE53"/>
    <w:lvl w:ilvl="0" w:tentative="0">
      <w:start w:val="1"/>
      <w:numFmt w:val="chineseCounting"/>
      <w:suff w:val="space"/>
      <w:lvlText w:val="%1、"/>
      <w:lvlJc w:val="left"/>
      <w:rPr>
        <w:rFonts w:hint="eastAsia"/>
      </w:rPr>
    </w:lvl>
  </w:abstractNum>
  <w:abstractNum w:abstractNumId="1">
    <w:nsid w:val="08747A43"/>
    <w:multiLevelType w:val="multilevel"/>
    <w:tmpl w:val="08747A4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972102F"/>
    <w:multiLevelType w:val="multilevel"/>
    <w:tmpl w:val="0972102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92225BA"/>
    <w:multiLevelType w:val="multilevel"/>
    <w:tmpl w:val="292225B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72F7EDE"/>
    <w:multiLevelType w:val="multilevel"/>
    <w:tmpl w:val="572F7EDE"/>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51F7036"/>
    <w:multiLevelType w:val="multilevel"/>
    <w:tmpl w:val="751F7036"/>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B8E"/>
    <w:rsid w:val="003C28DE"/>
    <w:rsid w:val="005C7B8E"/>
    <w:rsid w:val="00682A8A"/>
    <w:rsid w:val="00776070"/>
    <w:rsid w:val="007B7605"/>
    <w:rsid w:val="00A75D46"/>
    <w:rsid w:val="00AE2F65"/>
    <w:rsid w:val="00D74676"/>
    <w:rsid w:val="00E85CF7"/>
    <w:rsid w:val="00F74652"/>
    <w:rsid w:val="00FC0D5E"/>
    <w:rsid w:val="013F747B"/>
    <w:rsid w:val="01675739"/>
    <w:rsid w:val="024A0BB7"/>
    <w:rsid w:val="02927D47"/>
    <w:rsid w:val="02C31095"/>
    <w:rsid w:val="03242127"/>
    <w:rsid w:val="033200FC"/>
    <w:rsid w:val="0367056A"/>
    <w:rsid w:val="03AA510D"/>
    <w:rsid w:val="044E2BE0"/>
    <w:rsid w:val="04731D7D"/>
    <w:rsid w:val="049C150C"/>
    <w:rsid w:val="05542478"/>
    <w:rsid w:val="05926AFC"/>
    <w:rsid w:val="075621C1"/>
    <w:rsid w:val="08B707C9"/>
    <w:rsid w:val="08EB4EA1"/>
    <w:rsid w:val="09D07158"/>
    <w:rsid w:val="0A621193"/>
    <w:rsid w:val="0A7B71A7"/>
    <w:rsid w:val="0AB51D9C"/>
    <w:rsid w:val="0BC30111"/>
    <w:rsid w:val="0D005C95"/>
    <w:rsid w:val="0D215336"/>
    <w:rsid w:val="0D264448"/>
    <w:rsid w:val="0D4977E2"/>
    <w:rsid w:val="0DFF4277"/>
    <w:rsid w:val="0ECD2F96"/>
    <w:rsid w:val="0F8C5DA2"/>
    <w:rsid w:val="11F74265"/>
    <w:rsid w:val="124617C4"/>
    <w:rsid w:val="12955E7E"/>
    <w:rsid w:val="13517FF7"/>
    <w:rsid w:val="13902C55"/>
    <w:rsid w:val="142B51AD"/>
    <w:rsid w:val="14413033"/>
    <w:rsid w:val="15AF54A9"/>
    <w:rsid w:val="15B413FA"/>
    <w:rsid w:val="16022317"/>
    <w:rsid w:val="167F4E7B"/>
    <w:rsid w:val="16860517"/>
    <w:rsid w:val="16BE2033"/>
    <w:rsid w:val="186D4767"/>
    <w:rsid w:val="189D0461"/>
    <w:rsid w:val="1912647A"/>
    <w:rsid w:val="19E207DF"/>
    <w:rsid w:val="1A2224C8"/>
    <w:rsid w:val="1ADC6D40"/>
    <w:rsid w:val="1BCA6B98"/>
    <w:rsid w:val="1BE7774A"/>
    <w:rsid w:val="1C3B7A96"/>
    <w:rsid w:val="1CE27B22"/>
    <w:rsid w:val="1D5D3988"/>
    <w:rsid w:val="1DAD55D7"/>
    <w:rsid w:val="1E024D4F"/>
    <w:rsid w:val="1E4E3279"/>
    <w:rsid w:val="1E8C604D"/>
    <w:rsid w:val="1F817EB6"/>
    <w:rsid w:val="21F7620D"/>
    <w:rsid w:val="22006398"/>
    <w:rsid w:val="223E0F9E"/>
    <w:rsid w:val="228D0920"/>
    <w:rsid w:val="234B131B"/>
    <w:rsid w:val="23502079"/>
    <w:rsid w:val="23713D9D"/>
    <w:rsid w:val="23743318"/>
    <w:rsid w:val="23DE4BB2"/>
    <w:rsid w:val="24155071"/>
    <w:rsid w:val="241C1F5B"/>
    <w:rsid w:val="24692CC1"/>
    <w:rsid w:val="249F6C02"/>
    <w:rsid w:val="24A37AEA"/>
    <w:rsid w:val="252A72C7"/>
    <w:rsid w:val="25440E2B"/>
    <w:rsid w:val="26137BEB"/>
    <w:rsid w:val="263F5F38"/>
    <w:rsid w:val="26F15921"/>
    <w:rsid w:val="26F910BC"/>
    <w:rsid w:val="27FE6547"/>
    <w:rsid w:val="28060F58"/>
    <w:rsid w:val="2812669E"/>
    <w:rsid w:val="284877C3"/>
    <w:rsid w:val="28EB63A0"/>
    <w:rsid w:val="29245CA8"/>
    <w:rsid w:val="2ABC049B"/>
    <w:rsid w:val="2B4468EE"/>
    <w:rsid w:val="2B554930"/>
    <w:rsid w:val="2BB65EE6"/>
    <w:rsid w:val="2BD575BF"/>
    <w:rsid w:val="2BFC7A83"/>
    <w:rsid w:val="2CCF6239"/>
    <w:rsid w:val="2CF9225E"/>
    <w:rsid w:val="2CFB2059"/>
    <w:rsid w:val="2DC773DC"/>
    <w:rsid w:val="301A41E9"/>
    <w:rsid w:val="3156058B"/>
    <w:rsid w:val="318625CD"/>
    <w:rsid w:val="332761B1"/>
    <w:rsid w:val="333218E2"/>
    <w:rsid w:val="33925D96"/>
    <w:rsid w:val="33C323F3"/>
    <w:rsid w:val="35585E51"/>
    <w:rsid w:val="35CD34E9"/>
    <w:rsid w:val="36E246CB"/>
    <w:rsid w:val="37205FF6"/>
    <w:rsid w:val="37217B5C"/>
    <w:rsid w:val="37FA03AE"/>
    <w:rsid w:val="38C764E2"/>
    <w:rsid w:val="38E057F5"/>
    <w:rsid w:val="38F35529"/>
    <w:rsid w:val="395F671A"/>
    <w:rsid w:val="397A7B42"/>
    <w:rsid w:val="3A4E7473"/>
    <w:rsid w:val="3A537A35"/>
    <w:rsid w:val="3A581C40"/>
    <w:rsid w:val="3CC203DF"/>
    <w:rsid w:val="3D344362"/>
    <w:rsid w:val="3F4168C2"/>
    <w:rsid w:val="3F4F7231"/>
    <w:rsid w:val="4074305B"/>
    <w:rsid w:val="40923879"/>
    <w:rsid w:val="41720FB5"/>
    <w:rsid w:val="428A4025"/>
    <w:rsid w:val="42925FFA"/>
    <w:rsid w:val="43177AD4"/>
    <w:rsid w:val="43610766"/>
    <w:rsid w:val="441540A8"/>
    <w:rsid w:val="44915758"/>
    <w:rsid w:val="44C22253"/>
    <w:rsid w:val="454F1D39"/>
    <w:rsid w:val="46386C71"/>
    <w:rsid w:val="463A1ECC"/>
    <w:rsid w:val="46911EDD"/>
    <w:rsid w:val="46D701E1"/>
    <w:rsid w:val="470D1EAB"/>
    <w:rsid w:val="4779499C"/>
    <w:rsid w:val="491F1A22"/>
    <w:rsid w:val="491F32D9"/>
    <w:rsid w:val="495318EF"/>
    <w:rsid w:val="496D09DF"/>
    <w:rsid w:val="4A8D1E31"/>
    <w:rsid w:val="4C025A51"/>
    <w:rsid w:val="4C60482B"/>
    <w:rsid w:val="4C940EBC"/>
    <w:rsid w:val="4D994355"/>
    <w:rsid w:val="4E545448"/>
    <w:rsid w:val="4E597784"/>
    <w:rsid w:val="4EA11F9B"/>
    <w:rsid w:val="500A342C"/>
    <w:rsid w:val="50942CF5"/>
    <w:rsid w:val="50E05F3B"/>
    <w:rsid w:val="518965D2"/>
    <w:rsid w:val="51940CA9"/>
    <w:rsid w:val="521D4E51"/>
    <w:rsid w:val="54372D88"/>
    <w:rsid w:val="544942FC"/>
    <w:rsid w:val="55530A4B"/>
    <w:rsid w:val="557355CF"/>
    <w:rsid w:val="55EE704F"/>
    <w:rsid w:val="58270F01"/>
    <w:rsid w:val="5ABA666F"/>
    <w:rsid w:val="5B634E66"/>
    <w:rsid w:val="5BF31218"/>
    <w:rsid w:val="5C0878B8"/>
    <w:rsid w:val="5D962247"/>
    <w:rsid w:val="5DBA5079"/>
    <w:rsid w:val="5F46227D"/>
    <w:rsid w:val="601E438A"/>
    <w:rsid w:val="608B05DF"/>
    <w:rsid w:val="60D06E12"/>
    <w:rsid w:val="60EF5D26"/>
    <w:rsid w:val="619C45C7"/>
    <w:rsid w:val="636C715C"/>
    <w:rsid w:val="63BF5E84"/>
    <w:rsid w:val="64A532CB"/>
    <w:rsid w:val="64CC26CC"/>
    <w:rsid w:val="64DA367B"/>
    <w:rsid w:val="64DB6CED"/>
    <w:rsid w:val="65404DA2"/>
    <w:rsid w:val="667B6264"/>
    <w:rsid w:val="66C11F82"/>
    <w:rsid w:val="66F11CF1"/>
    <w:rsid w:val="676A47C6"/>
    <w:rsid w:val="679775B5"/>
    <w:rsid w:val="67C740B7"/>
    <w:rsid w:val="697F058F"/>
    <w:rsid w:val="6A16113C"/>
    <w:rsid w:val="6A376A77"/>
    <w:rsid w:val="6BFD579B"/>
    <w:rsid w:val="6DE309C1"/>
    <w:rsid w:val="6E2F3F8F"/>
    <w:rsid w:val="6E376AD8"/>
    <w:rsid w:val="6E4753F3"/>
    <w:rsid w:val="6E626FFE"/>
    <w:rsid w:val="6ECE341F"/>
    <w:rsid w:val="6F4E7F01"/>
    <w:rsid w:val="6F946416"/>
    <w:rsid w:val="7035766C"/>
    <w:rsid w:val="70684777"/>
    <w:rsid w:val="708F6BDE"/>
    <w:rsid w:val="710A39B3"/>
    <w:rsid w:val="713C664E"/>
    <w:rsid w:val="71867FE1"/>
    <w:rsid w:val="71D05043"/>
    <w:rsid w:val="722A2C74"/>
    <w:rsid w:val="726245AA"/>
    <w:rsid w:val="729837A7"/>
    <w:rsid w:val="730506B2"/>
    <w:rsid w:val="73AF6429"/>
    <w:rsid w:val="73C66DBA"/>
    <w:rsid w:val="73F47DE9"/>
    <w:rsid w:val="74041A81"/>
    <w:rsid w:val="7535244A"/>
    <w:rsid w:val="75564973"/>
    <w:rsid w:val="759E1D9D"/>
    <w:rsid w:val="75D540E8"/>
    <w:rsid w:val="75F052ED"/>
    <w:rsid w:val="763249C0"/>
    <w:rsid w:val="76330BC2"/>
    <w:rsid w:val="763829C7"/>
    <w:rsid w:val="766519E5"/>
    <w:rsid w:val="7700762B"/>
    <w:rsid w:val="77AD62C7"/>
    <w:rsid w:val="77C81CC9"/>
    <w:rsid w:val="77E141C3"/>
    <w:rsid w:val="781B1E8F"/>
    <w:rsid w:val="79546699"/>
    <w:rsid w:val="7A10036E"/>
    <w:rsid w:val="7A140880"/>
    <w:rsid w:val="7A5D7AED"/>
    <w:rsid w:val="7A7B08FF"/>
    <w:rsid w:val="7B094167"/>
    <w:rsid w:val="7C255A38"/>
    <w:rsid w:val="7CBF0865"/>
    <w:rsid w:val="7D8D727A"/>
    <w:rsid w:val="7E5C43EA"/>
    <w:rsid w:val="7F7F2C3F"/>
    <w:rsid w:val="7FF3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qFormat/>
    <w:uiPriority w:val="9"/>
    <w:pPr>
      <w:keepNext/>
      <w:keepLines/>
      <w:widowControl w:val="0"/>
      <w:spacing w:before="340" w:after="330" w:line="578" w:lineRule="auto"/>
      <w:jc w:val="both"/>
      <w:outlineLvl w:val="0"/>
    </w:pPr>
    <w:rPr>
      <w:rFonts w:eastAsia="黑体" w:asciiTheme="minorHAnsi" w:hAnsiTheme="minorHAnsi" w:cstheme="minorBidi"/>
      <w:b/>
      <w:bCs/>
      <w:kern w:val="44"/>
      <w:sz w:val="30"/>
      <w:szCs w:val="44"/>
    </w:rPr>
  </w:style>
  <w:style w:type="paragraph" w:styleId="5">
    <w:name w:val="heading 2"/>
    <w:basedOn w:val="1"/>
    <w:next w:val="1"/>
    <w:link w:val="11"/>
    <w:unhideWhenUsed/>
    <w:qFormat/>
    <w:uiPriority w:val="9"/>
    <w:pPr>
      <w:keepNext/>
      <w:keepLines/>
      <w:widowControl w:val="0"/>
      <w:spacing w:before="260" w:after="260" w:line="416" w:lineRule="auto"/>
      <w:jc w:val="both"/>
      <w:outlineLvl w:val="1"/>
    </w:pPr>
    <w:rPr>
      <w:rFonts w:eastAsia="黑体" w:asciiTheme="majorHAnsi" w:hAnsiTheme="majorHAnsi" w:cstheme="majorBidi"/>
      <w:b/>
      <w:bCs/>
      <w:kern w:val="2"/>
      <w:sz w:val="28"/>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djustRightInd/>
      <w:spacing w:after="120" w:line="240" w:lineRule="auto"/>
      <w:ind w:firstLine="420" w:firstLineChars="100"/>
      <w:jc w:val="both"/>
      <w:textAlignment w:val="auto"/>
    </w:pPr>
    <w:rPr>
      <w:rFonts w:ascii="Times New Roman" w:eastAsia="宋体"/>
      <w:kern w:val="2"/>
      <w:sz w:val="21"/>
    </w:rPr>
  </w:style>
  <w:style w:type="paragraph" w:styleId="3">
    <w:name w:val="Body Text"/>
    <w:basedOn w:val="1"/>
    <w:next w:val="2"/>
    <w:qFormat/>
    <w:uiPriority w:val="0"/>
    <w:pPr>
      <w:spacing w:after="120"/>
    </w:pPr>
  </w:style>
  <w:style w:type="paragraph" w:styleId="7">
    <w:name w:val="annotation text"/>
    <w:basedOn w:val="1"/>
    <w:semiHidden/>
    <w:unhideWhenUsed/>
    <w:qFormat/>
    <w:uiPriority w:val="99"/>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字符"/>
    <w:basedOn w:val="10"/>
    <w:link w:val="5"/>
    <w:qFormat/>
    <w:uiPriority w:val="9"/>
    <w:rPr>
      <w:rFonts w:eastAsia="黑体" w:asciiTheme="majorHAnsi" w:hAnsiTheme="majorHAnsi" w:cstheme="majorBidi"/>
      <w:b/>
      <w:bCs/>
      <w:kern w:val="2"/>
      <w:sz w:val="28"/>
      <w:szCs w:val="32"/>
    </w:rPr>
  </w:style>
  <w:style w:type="paragraph" w:customStyle="1" w:styleId="12">
    <w:name w:val="列表段落1"/>
    <w:basedOn w:val="1"/>
    <w:qFormat/>
    <w:uiPriority w:val="34"/>
    <w:pPr>
      <w:widowControl w:val="0"/>
      <w:spacing w:after="160" w:line="278" w:lineRule="auto"/>
      <w:ind w:firstLine="420" w:firstLineChars="200"/>
      <w:jc w:val="both"/>
    </w:pPr>
    <w:rPr>
      <w:rFonts w:asciiTheme="minorHAnsi" w:hAnsiTheme="minorHAnsi" w:eastAsiaTheme="minorEastAsia" w:cstheme="minorBidi"/>
      <w:kern w:val="2"/>
      <w:sz w:val="21"/>
    </w:rPr>
  </w:style>
  <w:style w:type="paragraph" w:styleId="13">
    <w:name w:val="List Paragraph"/>
    <w:basedOn w:val="1"/>
    <w:qFormat/>
    <w:uiPriority w:val="34"/>
    <w:pPr>
      <w:ind w:firstLine="420" w:firstLineChars="200"/>
    </w:pPr>
    <w:rPr>
      <w:rFonts w:ascii="等线" w:hAnsi="等线" w:eastAsia="等线" w:cs="Times New Roman"/>
      <w:szCs w:val="22"/>
    </w:rPr>
  </w:style>
  <w:style w:type="paragraph" w:customStyle="1" w:styleId="14">
    <w:name w:val="Default"/>
    <w:autoRedefine/>
    <w:qFormat/>
    <w:uiPriority w:val="0"/>
    <w:pPr>
      <w:widowControl w:val="0"/>
      <w:autoSpaceDE w:val="0"/>
      <w:autoSpaceDN w:val="0"/>
      <w:adjustRightInd w:val="0"/>
    </w:pPr>
    <w:rPr>
      <w:rFonts w:ascii="Microsoft YaHei UI" w:hAnsi="Calibri" w:eastAsia="Microsoft YaHei UI" w:cs="Microsoft YaHei U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222</Words>
  <Characters>230</Characters>
  <Lines>23</Lines>
  <Paragraphs>6</Paragraphs>
  <TotalTime>13</TotalTime>
  <ScaleCrop>false</ScaleCrop>
  <LinksUpToDate>false</LinksUpToDate>
  <CharactersWithSpaces>230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2026-04-09T03:04:00Z</dcterms:created>
  <dc:creator>ASUS</dc:creator>
  <cp:lastModifiedBy>朱朱</cp:lastModifiedBy>
  <dcterms:modified xsi:type="dcterms:W3CDTF">2026-05-26T00:53:21Z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eyJoZGlkIjoiZTg0ZTgyMjRhNDdhNzJhN2M4ODE3MTQxNjdmZTc3YjEiLCJ1c2VySWQiOiI0OTczNzg1NDIifQ==</vt:lpwstr>
  </property>
  <property fmtid="{D5CDD505-2E9C-101B-9397-08002B2CF9AE}" pid="4" name="ICV">
    <vt:lpwstr>95FEE337B9E74F1BB2E553555899DD19_13</vt:lpwstr>
  </property>
</Properties>
</file>