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DCEB">
      <w:pPr>
        <w:pBdr>
          <w:bottom w:val="single" w:color="5B9BD5" w:sz="18" w:space="4"/>
        </w:pBdr>
        <w:spacing w:before="0" w:after="240" w:line="264" w:lineRule="auto"/>
        <w:jc w:val="center"/>
        <w:rPr>
          <w:rFonts w:hint="eastAsia" w:ascii="黑体" w:hAnsi="黑体" w:eastAsia="黑体" w:cs="黑体"/>
          <w:color w:val="auto"/>
          <w:sz w:val="44"/>
          <w:szCs w:val="44"/>
          <w:woUserID w:val="1"/>
        </w:rPr>
      </w:pPr>
      <w:r>
        <w:rPr>
          <w:rFonts w:hint="eastAsia" w:ascii="黑体" w:hAnsi="黑体" w:eastAsia="黑体" w:cs="黑体"/>
          <w:color w:val="auto"/>
          <w:sz w:val="44"/>
          <w:szCs w:val="44"/>
          <w:woUserID w:val="1"/>
        </w:rPr>
        <w:t>浙江省胃癌专病数据库数据治理服务</w:t>
      </w:r>
    </w:p>
    <w:p w14:paraId="0CF79B8B">
      <w:pPr>
        <w:pBdr>
          <w:bottom w:val="single" w:color="5B9BD5" w:sz="18" w:space="4"/>
        </w:pBdr>
        <w:spacing w:before="0" w:after="240" w:line="264" w:lineRule="auto"/>
        <w:jc w:val="center"/>
        <w:rPr>
          <w:rFonts w:hint="default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  <w:woUserID w:val="1"/>
        </w:rPr>
        <w:t>需求文档</w:t>
      </w:r>
    </w:p>
    <w:p w14:paraId="6EF7A846">
      <w:pPr>
        <w:pStyle w:val="3"/>
        <w:keepNext/>
        <w:spacing w:before="320" w:after="160" w:line="264" w:lineRule="auto"/>
        <w:rPr>
          <w:color w:val="auto"/>
        </w:rPr>
      </w:pPr>
      <w:r>
        <w:rPr>
          <w:color w:val="auto"/>
        </w:rPr>
        <w:t>一、项目概述</w:t>
      </w:r>
    </w:p>
    <w:p w14:paraId="38E04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264" w:lineRule="auto"/>
        <w:ind w:firstLine="440" w:firstLineChars="200"/>
        <w:textAlignment w:val="auto"/>
        <w:rPr>
          <w:color w:val="auto"/>
        </w:rPr>
      </w:pPr>
      <w:r>
        <w:rPr>
          <w:rFonts w:hint="default" w:ascii="宋体" w:hAnsi="宋体"/>
          <w:b w:val="0"/>
          <w:color w:val="auto"/>
          <w:sz w:val="22"/>
          <w:woUserID w:val="1"/>
        </w:rPr>
        <w:t>2025年7月18日，浙江省卫生健康委员会发布《关于公布浙江省医学生物信息数据库首批牵头建设单位的通知》，</w:t>
      </w:r>
      <w:r>
        <w:rPr>
          <w:rFonts w:hint="eastAsia" w:ascii="宋体" w:hAnsi="宋体"/>
          <w:b w:val="0"/>
          <w:color w:val="auto"/>
          <w:sz w:val="22"/>
          <w:lang w:val="en-US" w:eastAsia="zh-CN"/>
          <w:woUserID w:val="1"/>
        </w:rPr>
        <w:t>浙江省肿瘤医</w:t>
      </w:r>
      <w:r>
        <w:rPr>
          <w:rFonts w:hint="default" w:ascii="宋体" w:hAnsi="宋体"/>
          <w:b w:val="0"/>
          <w:color w:val="auto"/>
          <w:sz w:val="22"/>
          <w:woUserID w:val="1"/>
        </w:rPr>
        <w:t>院牵头建设浙江省胃癌专病数据库。</w:t>
      </w:r>
      <w:r>
        <w:rPr>
          <w:rFonts w:ascii="宋体" w:hAnsi="宋体" w:eastAsia="宋体"/>
          <w:b w:val="0"/>
          <w:color w:val="auto"/>
          <w:sz w:val="22"/>
        </w:rPr>
        <w:t>为支撑浙江省胃癌临床诊疗、科研协作和多中心数据治理工作，拟开展</w:t>
      </w:r>
      <w:r>
        <w:rPr>
          <w:rFonts w:ascii="宋体" w:hAnsi="宋体"/>
          <w:b w:val="0"/>
          <w:color w:val="auto"/>
          <w:sz w:val="22"/>
          <w:woUserID w:val="1"/>
        </w:rPr>
        <w:t>浙江省</w:t>
      </w:r>
      <w:r>
        <w:rPr>
          <w:rFonts w:ascii="宋体" w:hAnsi="宋体" w:eastAsia="宋体"/>
          <w:b w:val="0"/>
          <w:color w:val="auto"/>
          <w:sz w:val="22"/>
        </w:rPr>
        <w:t>胃癌</w:t>
      </w:r>
      <w:r>
        <w:rPr>
          <w:rFonts w:ascii="宋体" w:hAnsi="宋体"/>
          <w:b w:val="0"/>
          <w:color w:val="auto"/>
          <w:sz w:val="22"/>
          <w:woUserID w:val="1"/>
        </w:rPr>
        <w:t>多中心</w:t>
      </w:r>
      <w:r>
        <w:rPr>
          <w:rFonts w:hint="eastAsia" w:ascii="宋体" w:hAnsi="宋体" w:eastAsia="宋体"/>
          <w:b w:val="0"/>
          <w:color w:val="auto"/>
          <w:sz w:val="22"/>
        </w:rPr>
        <w:t>专病库数据治理服务技术</w:t>
      </w:r>
      <w:r>
        <w:rPr>
          <w:rFonts w:hint="eastAsia" w:ascii="宋体" w:hAnsi="宋体"/>
          <w:b w:val="0"/>
          <w:color w:val="auto"/>
          <w:sz w:val="22"/>
          <w:lang w:val="en-US" w:eastAsia="zh-CN"/>
        </w:rPr>
        <w:t>调研</w:t>
      </w:r>
      <w:r>
        <w:rPr>
          <w:rFonts w:ascii="宋体" w:hAnsi="宋体" w:eastAsia="宋体"/>
          <w:b w:val="0"/>
          <w:color w:val="auto"/>
          <w:sz w:val="22"/>
        </w:rPr>
        <w:t>。本项目围绕胃癌标准数据集建设、多中心数据统一汇聚、数据清洗治理、结构化处理、质量控制及持续更新维护等能力，形成可沉淀、可追溯、可共享、可用于科研分析的胃癌专病数据底座。</w:t>
      </w:r>
    </w:p>
    <w:p w14:paraId="35D47D87">
      <w:pPr>
        <w:pStyle w:val="3"/>
        <w:keepNext/>
        <w:spacing w:before="320" w:after="160" w:line="264" w:lineRule="auto"/>
        <w:rPr>
          <w:color w:val="auto"/>
        </w:rPr>
      </w:pPr>
      <w:r>
        <w:rPr>
          <w:color w:val="auto"/>
        </w:rPr>
        <w:t>二、建设目标</w:t>
      </w:r>
    </w:p>
    <w:p w14:paraId="5156F516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（一）建立胃癌多中心统一数据底座。</w:t>
      </w:r>
      <w:r>
        <w:rPr>
          <w:rFonts w:ascii="宋体" w:hAnsi="宋体" w:eastAsia="宋体"/>
          <w:color w:val="auto"/>
          <w:sz w:val="22"/>
        </w:rPr>
        <w:t>围绕跨中心患者统一主索引、数据融合、合并冲突处理和数据合并策略，实现分中心数据在同一患者维度下的整合。</w:t>
      </w:r>
    </w:p>
    <w:p w14:paraId="0DB4C250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（二）形成胃癌标准数据集与字段映射体系。</w:t>
      </w:r>
      <w:r>
        <w:rPr>
          <w:rFonts w:ascii="宋体" w:hAnsi="宋体" w:eastAsia="宋体"/>
          <w:color w:val="auto"/>
          <w:sz w:val="22"/>
        </w:rPr>
        <w:t>按照胃癌标准数据集需求确定数据范围、数据数量、数据来源和数据模态，并按平台预定义数据字典映射入库。</w:t>
      </w:r>
    </w:p>
    <w:p w14:paraId="6396E989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（三）提升临床文本结构化治理能力。</w:t>
      </w:r>
      <w:r>
        <w:rPr>
          <w:rFonts w:ascii="宋体" w:hAnsi="宋体" w:eastAsia="宋体"/>
          <w:color w:val="auto"/>
          <w:sz w:val="22"/>
        </w:rPr>
        <w:t>结合 NLP 技术和大模型能力，对病历、报告等临床自由文本进行语义解析与后结构化处理，形成 key-value 形式的可分析数据。</w:t>
      </w:r>
    </w:p>
    <w:p w14:paraId="014F73C8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（四）构建全流程数据质控与更新机制。</w:t>
      </w:r>
      <w:r>
        <w:rPr>
          <w:rFonts w:ascii="宋体" w:hAnsi="宋体" w:eastAsia="宋体"/>
          <w:color w:val="auto"/>
          <w:sz w:val="22"/>
        </w:rPr>
        <w:t>覆盖原始数据提交、结构化数据集、清洗转换映射中间环节及结果数据的完整性、准确性、一致性、关联性质量检查。</w:t>
      </w:r>
    </w:p>
    <w:p w14:paraId="77ECA9EF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（五）支撑科研分析与持续迭代。</w:t>
      </w:r>
      <w:r>
        <w:rPr>
          <w:rFonts w:ascii="宋体" w:hAnsi="宋体" w:eastAsia="宋体"/>
          <w:color w:val="auto"/>
          <w:sz w:val="22"/>
        </w:rPr>
        <w:t>通过版本管理、回滚备份、变更日志和治理批次质量报告，为胃癌多中心科研协作、模型训练和后续应用扩展提供可信数据基础。</w:t>
      </w:r>
    </w:p>
    <w:p w14:paraId="5BF02D53">
      <w:pPr>
        <w:spacing w:before="0" w:after="40" w:line="264" w:lineRule="auto"/>
        <w:rPr>
          <w:color w:val="auto"/>
        </w:rPr>
      </w:pPr>
    </w:p>
    <w:p w14:paraId="4F301832">
      <w:pPr>
        <w:pStyle w:val="3"/>
        <w:keepNext/>
        <w:spacing w:before="320" w:after="160" w:line="264" w:lineRule="auto"/>
        <w:rPr>
          <w:color w:val="auto"/>
        </w:rPr>
      </w:pPr>
      <w:r>
        <w:rPr>
          <w:rFonts w:hint="eastAsia"/>
          <w:color w:val="auto"/>
          <w:lang w:val="en-US" w:eastAsia="zh-CN"/>
        </w:rPr>
        <w:t>三、</w:t>
      </w:r>
      <w:r>
        <w:rPr>
          <w:color w:val="auto"/>
        </w:rPr>
        <w:t>建设内容与功能要求</w:t>
      </w:r>
    </w:p>
    <w:p w14:paraId="613EBEF5">
      <w:pPr>
        <w:pStyle w:val="4"/>
        <w:keepNext/>
        <w:spacing w:before="240" w:after="120" w:line="264" w:lineRule="auto"/>
        <w:rPr>
          <w:color w:val="auto"/>
        </w:rPr>
      </w:pPr>
      <w:r>
        <w:rPr>
          <w:color w:val="auto"/>
        </w:rPr>
        <w:t>（一）多中心数据管理与维护</w:t>
      </w:r>
    </w:p>
    <w:p w14:paraId="3D66230E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1. 数据融合。</w:t>
      </w:r>
      <w:r>
        <w:rPr>
          <w:rFonts w:ascii="宋体" w:hAnsi="宋体" w:eastAsia="宋体"/>
          <w:color w:val="auto"/>
          <w:sz w:val="22"/>
        </w:rPr>
        <w:t>系统应支持跨中心患者统一主索引关联，合并同一患者在不同中心形成的诊疗记录；应能够识别和处理数据合并冲突，并支持制定可配置的数据合并策略，实现分中心数据在患者维度下的整合。</w:t>
      </w:r>
    </w:p>
    <w:p w14:paraId="432FD15C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2. 数据更新管理。</w:t>
      </w:r>
      <w:r>
        <w:rPr>
          <w:rFonts w:ascii="宋体" w:hAnsi="宋体" w:eastAsia="宋体"/>
          <w:color w:val="auto"/>
          <w:sz w:val="22"/>
        </w:rPr>
        <w:t>系统应支持数据定期更新、批量修正、衍生变量重算等更新场景，并在更新或回滚后自动生成备份数据；应支持增量更新版本管理，提供版本间记录新增、删除、修改数量及关键字段变化说明；合并患者、值域映射等变更操作应记录日志。</w:t>
      </w:r>
    </w:p>
    <w:p w14:paraId="723B86BE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3. 结构化数据集质控。</w:t>
      </w:r>
      <w:r>
        <w:rPr>
          <w:rFonts w:ascii="宋体" w:hAnsi="宋体" w:eastAsia="宋体"/>
          <w:color w:val="auto"/>
          <w:sz w:val="22"/>
        </w:rPr>
        <w:t>系统应支持按照分中心上传的结构化数据集开展数据质控，对字段数量、字段类型、字段值域、数据完整性等内容进行校验。</w:t>
      </w:r>
    </w:p>
    <w:p w14:paraId="0447CF91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4. 原始数据质控。</w:t>
      </w:r>
      <w:r>
        <w:rPr>
          <w:rFonts w:ascii="宋体" w:hAnsi="宋体" w:eastAsia="宋体"/>
          <w:color w:val="auto"/>
          <w:sz w:val="22"/>
        </w:rPr>
        <w:t>系统在专病数据治理空间接收多中心原始数据时，应提供前置质控模块，通过规则引擎在数据提交时进行完整性、准确性、及时性检查，并将质控结果实时反馈至源端，支持数据提交前修正。</w:t>
      </w:r>
    </w:p>
    <w:p w14:paraId="0AC43DBD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5. 数据治理质控。</w:t>
      </w:r>
      <w:r>
        <w:rPr>
          <w:rFonts w:ascii="宋体" w:hAnsi="宋体" w:eastAsia="宋体"/>
          <w:color w:val="auto"/>
          <w:sz w:val="22"/>
        </w:rPr>
        <w:t>系统应在数据清洗、转换、映射等治理流程中设置质控点，对中间数据和结果数据执行一致性、准确性、关联性等多维度质量分析；应按治理批次提供可视化质控分析，包括数据质控合规率、问题类型分布等。</w:t>
      </w:r>
    </w:p>
    <w:p w14:paraId="2C8E0160">
      <w:pPr>
        <w:spacing w:before="0" w:after="40" w:line="264" w:lineRule="auto"/>
        <w:rPr>
          <w:color w:val="auto"/>
        </w:rPr>
      </w:pPr>
    </w:p>
    <w:p w14:paraId="50872A62">
      <w:pPr>
        <w:pStyle w:val="4"/>
        <w:keepNext/>
        <w:spacing w:before="240" w:after="120" w:line="264" w:lineRule="auto"/>
        <w:rPr>
          <w:color w:val="auto"/>
        </w:rPr>
      </w:pPr>
      <w:r>
        <w:rPr>
          <w:color w:val="auto"/>
        </w:rPr>
        <w:t>（二）多中心数据汇聚与治理</w:t>
      </w:r>
    </w:p>
    <w:p w14:paraId="159B962A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1. 结构化数据汇聚。</w:t>
      </w:r>
      <w:r>
        <w:rPr>
          <w:rFonts w:ascii="宋体" w:hAnsi="宋体" w:eastAsia="宋体"/>
          <w:color w:val="auto"/>
          <w:sz w:val="22"/>
        </w:rPr>
        <w:t>供应商应协助完成数据纳排方案设计，明确胃癌标准数据集的数据范围、数据数量、数据来源和数据模态；应支持标准 CSV/JSON 等格式解析，并按胃癌专病字段集映射入库。</w:t>
      </w:r>
    </w:p>
    <w:p w14:paraId="16EEEF1C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2. 初步治理数据汇聚与结构化。</w:t>
      </w:r>
      <w:r>
        <w:rPr>
          <w:rFonts w:ascii="宋体" w:hAnsi="宋体" w:eastAsia="宋体"/>
          <w:color w:val="auto"/>
          <w:sz w:val="22"/>
        </w:rPr>
        <w:t>在结构化数据汇聚基础上，系统应结合 NLP 技术、大模型等能力，对临床自由文本进行语义解析与后结构化处理，持续形成 key-value 形式数据。</w:t>
      </w:r>
    </w:p>
    <w:p w14:paraId="7A0C74CC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3. 原始数据汇聚与结构化。</w:t>
      </w:r>
      <w:r>
        <w:rPr>
          <w:rFonts w:ascii="宋体" w:hAnsi="宋体" w:eastAsia="宋体"/>
          <w:color w:val="auto"/>
          <w:sz w:val="22"/>
        </w:rPr>
        <w:t>系统应对采集汇聚的异构异源原始数据进行清洗加工和标准化整理，通过流程引擎与规则库构建可配置的数据转换、清洗、比对、关联、融合等过程，生成易于分析利用、可共享的数据资源。</w:t>
      </w:r>
    </w:p>
    <w:p w14:paraId="1729F321">
      <w:pPr>
        <w:spacing w:before="0" w:after="120" w:line="264" w:lineRule="auto"/>
        <w:rPr>
          <w:color w:val="auto"/>
        </w:rPr>
      </w:pPr>
      <w:r>
        <w:rPr>
          <w:rFonts w:ascii="宋体" w:hAnsi="宋体" w:eastAsia="宋体"/>
          <w:b w:val="0"/>
          <w:color w:val="auto"/>
          <w:sz w:val="22"/>
        </w:rPr>
        <w:t>结构化后的胃癌专病数据应至少覆盖人口学信息、重点疾病确诊信息、疾病相关因素信息、就诊症状与诊断信息、实验室检验信息、病理、手术、化疗、医嘱用药等模块。</w:t>
      </w:r>
    </w:p>
    <w:p w14:paraId="3C6295C4">
      <w:pPr>
        <w:pStyle w:val="3"/>
        <w:keepNext/>
        <w:spacing w:before="320" w:after="160" w:line="264" w:lineRule="auto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、供应商能力要求</w:t>
      </w:r>
    </w:p>
    <w:p w14:paraId="7CC61E4D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（一）产品能力。</w:t>
      </w:r>
      <w:r>
        <w:rPr>
          <w:rFonts w:ascii="宋体" w:hAnsi="宋体" w:eastAsia="宋体"/>
          <w:color w:val="auto"/>
          <w:sz w:val="22"/>
        </w:rPr>
        <w:t>应具有医疗数据治理、专病库或科研数据库相关产品能力，能够支持标准化数据模型、数据字典、权限控制、日志审计、数据导出和质量控制。</w:t>
      </w:r>
    </w:p>
    <w:p w14:paraId="45F5FBBE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（二）实施能力。</w:t>
      </w:r>
      <w:r>
        <w:rPr>
          <w:rFonts w:ascii="宋体" w:hAnsi="宋体" w:eastAsia="宋体"/>
          <w:color w:val="auto"/>
          <w:sz w:val="22"/>
        </w:rPr>
        <w:t>应具备三级医院或肿瘤专科医院相关项目实施经验，能够完成跨系统、跨中心数据接入、数据治理规则配置、历史数据治理与增量数据维护。</w:t>
      </w:r>
    </w:p>
    <w:p w14:paraId="5E9D25B1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（三）治理能力。</w:t>
      </w:r>
      <w:r>
        <w:rPr>
          <w:rFonts w:ascii="宋体" w:hAnsi="宋体" w:eastAsia="宋体"/>
          <w:color w:val="auto"/>
          <w:sz w:val="22"/>
        </w:rPr>
        <w:t>应具备临床自由文本 NLP/大模型结构化处理经验，支持胃癌诊疗相关字段抽取、术语归一、关系挂载、人工质控与持续优化。</w:t>
      </w:r>
    </w:p>
    <w:p w14:paraId="3ACC38A0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（四）安全能力。</w:t>
      </w:r>
      <w:r>
        <w:rPr>
          <w:rFonts w:ascii="宋体" w:hAnsi="宋体" w:eastAsia="宋体"/>
          <w:color w:val="auto"/>
          <w:sz w:val="22"/>
        </w:rPr>
        <w:t>应具备数据传输加密、动态脱敏、字段级权限、导出审批、操作审计等安全合规能力，满足医疗数据安全管理要求。</w:t>
      </w:r>
    </w:p>
    <w:p w14:paraId="15ADD2E7">
      <w:pPr>
        <w:spacing w:before="0" w:after="120" w:line="269" w:lineRule="auto"/>
        <w:rPr>
          <w:color w:val="auto"/>
        </w:rPr>
      </w:pPr>
      <w:r>
        <w:rPr>
          <w:rFonts w:ascii="宋体" w:hAnsi="宋体" w:eastAsia="宋体"/>
          <w:b/>
          <w:color w:val="auto"/>
          <w:sz w:val="22"/>
        </w:rPr>
        <w:t>（五）服务能力。</w:t>
      </w:r>
      <w:r>
        <w:rPr>
          <w:rFonts w:ascii="宋体" w:hAnsi="宋体" w:eastAsia="宋体"/>
          <w:color w:val="auto"/>
          <w:sz w:val="22"/>
        </w:rPr>
        <w:t>应提供项目经理、数据治理、医学知识工程、接口开发、测试运维等核心角色投入计划，并说明培训、质保、运维和响应机制。</w:t>
      </w:r>
    </w:p>
    <w:p w14:paraId="57F44C79">
      <w:pPr>
        <w:pStyle w:val="3"/>
        <w:keepNext/>
        <w:spacing w:before="320" w:after="160" w:line="264" w:lineRule="auto"/>
        <w:rPr>
          <w:color w:val="auto"/>
        </w:rPr>
      </w:pPr>
      <w:r>
        <w:rPr>
          <w:color w:val="auto"/>
        </w:rPr>
        <w:t>附件：调研响应文件编制建议</w:t>
      </w:r>
    </w:p>
    <w:tbl>
      <w:tblPr>
        <w:tblStyle w:val="33"/>
        <w:tblW w:w="8665" w:type="dxa"/>
        <w:tblInd w:w="120" w:type="dxa"/>
        <w:tblBorders>
          <w:top w:val="single" w:color="B7C9D9" w:sz="6" w:space="0"/>
          <w:left w:val="single" w:color="B7C9D9" w:sz="6" w:space="0"/>
          <w:bottom w:val="single" w:color="B7C9D9" w:sz="6" w:space="0"/>
          <w:right w:val="single" w:color="B7C9D9" w:sz="6" w:space="0"/>
          <w:insideH w:val="single" w:color="B7C9D9" w:sz="6" w:space="0"/>
          <w:insideV w:val="single" w:color="B7C9D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25"/>
        <w:gridCol w:w="5992"/>
      </w:tblGrid>
      <w:tr w14:paraId="1CCAC928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</w:tblPrEx>
        <w:trPr>
          <w:cantSplit/>
          <w:tblHeader/>
        </w:trPr>
        <w:tc>
          <w:tcPr>
            <w:tcW w:w="748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BAEA0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/>
                <w:color w:val="auto"/>
                <w:sz w:val="20"/>
              </w:rPr>
              <w:t>序号</w:t>
            </w:r>
          </w:p>
        </w:tc>
        <w:tc>
          <w:tcPr>
            <w:tcW w:w="1925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B89BC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/>
                <w:color w:val="auto"/>
                <w:sz w:val="20"/>
              </w:rPr>
              <w:t>板块</w:t>
            </w:r>
          </w:p>
        </w:tc>
        <w:tc>
          <w:tcPr>
            <w:tcW w:w="5992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35DA5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/>
                <w:color w:val="auto"/>
                <w:sz w:val="20"/>
              </w:rPr>
              <w:t>编制说明</w:t>
            </w:r>
          </w:p>
        </w:tc>
      </w:tr>
      <w:tr w14:paraId="66E893EC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E63E9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1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9B84C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企业概况与资质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6D04C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营业执照、软件著作权、信息安全相关资质、企业规模、核心团队。</w:t>
            </w:r>
          </w:p>
        </w:tc>
      </w:tr>
      <w:tr w14:paraId="7C5E87A7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2EA5F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2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6BFA9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类似项目业绩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D4BD4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三级医院、肿瘤医院、多中心专病库、临床科研数据库、医疗数据治理项目清单及证明材料。</w:t>
            </w:r>
          </w:p>
        </w:tc>
      </w:tr>
      <w:tr w14:paraId="03B0673A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AE42A8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3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1B1F4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总体技术方案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962C6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平台架构、部署方式</w:t>
            </w:r>
            <w:r>
              <w:rPr>
                <w:rFonts w:hint="eastAsia" w:ascii="宋体" w:hAnsi="宋体"/>
                <w:b w:val="0"/>
                <w:color w:val="auto"/>
                <w:sz w:val="19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color w:val="auto"/>
                <w:sz w:val="19"/>
                <w:lang w:val="en-US" w:eastAsia="zh-CN"/>
              </w:rPr>
              <w:t>技术特点等</w:t>
            </w:r>
            <w:r>
              <w:rPr>
                <w:rFonts w:ascii="宋体" w:hAnsi="宋体" w:eastAsia="宋体"/>
                <w:b w:val="0"/>
                <w:color w:val="auto"/>
                <w:sz w:val="19"/>
              </w:rPr>
              <w:t>。</w:t>
            </w:r>
            <w:r>
              <w:rPr>
                <w:rFonts w:hint="eastAsia" w:ascii="宋体" w:hAnsi="宋体" w:eastAsia="宋体"/>
                <w:b w:val="0"/>
                <w:color w:val="auto"/>
                <w:sz w:val="19"/>
              </w:rPr>
              <w:t>技术方案建议突出关键能力和可落地实施路径，避免泛化介绍；产品截图、架构图、数据流程图、质控报告样例可作为附件提供。</w:t>
            </w:r>
          </w:p>
        </w:tc>
      </w:tr>
      <w:tr w14:paraId="30971154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58191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4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D66B7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胃癌专病数据方案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CB3DA">
            <w:pPr>
              <w:spacing w:before="0" w:after="0" w:line="269" w:lineRule="auto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胃癌标准字段集、纳排规则、值域字典、病历文本结构化</w:t>
            </w:r>
            <w:r>
              <w:rPr>
                <w:rFonts w:hint="eastAsia" w:ascii="宋体" w:hAnsi="宋体"/>
                <w:b w:val="0"/>
                <w:color w:val="auto"/>
                <w:sz w:val="19"/>
                <w:lang w:val="en-US" w:eastAsia="zh-CN"/>
              </w:rPr>
              <w:t>方案</w:t>
            </w:r>
          </w:p>
        </w:tc>
      </w:tr>
      <w:tr w14:paraId="7E9CB51E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F8685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5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76788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数据治理与质控方案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24D8F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数据清洗、映射、归一、关联融合、批次质控、质量指标、问题追溯与修复流程。</w:t>
            </w:r>
          </w:p>
        </w:tc>
      </w:tr>
      <w:tr w14:paraId="3D5D6A1B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B31A3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6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2F29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实施与服务方案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25285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项目计划、人员投入、培训安排、试运行、验收标准、质保期和运维服务。</w:t>
            </w:r>
          </w:p>
        </w:tc>
      </w:tr>
      <w:tr w14:paraId="27519DCF">
        <w:tblPrEx>
          <w:tblBorders>
            <w:top w:val="single" w:color="B7C9D9" w:sz="6" w:space="0"/>
            <w:left w:val="single" w:color="B7C9D9" w:sz="6" w:space="0"/>
            <w:bottom w:val="single" w:color="B7C9D9" w:sz="6" w:space="0"/>
            <w:right w:val="single" w:color="B7C9D9" w:sz="6" w:space="0"/>
            <w:insideH w:val="single" w:color="B7C9D9" w:sz="6" w:space="0"/>
            <w:insideV w:val="single" w:color="B7C9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D05DB">
            <w:pPr>
              <w:spacing w:before="0" w:after="0" w:line="269" w:lineRule="auto"/>
              <w:jc w:val="center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7</w:t>
            </w:r>
          </w:p>
        </w:tc>
        <w:tc>
          <w:tcPr>
            <w:tcW w:w="192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1AAAE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报价与商务建议</w:t>
            </w:r>
          </w:p>
        </w:tc>
        <w:tc>
          <w:tcPr>
            <w:tcW w:w="59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60747">
            <w:pPr>
              <w:spacing w:before="0" w:after="0" w:line="269" w:lineRule="auto"/>
              <w:jc w:val="left"/>
              <w:rPr>
                <w:color w:val="auto"/>
              </w:rPr>
            </w:pPr>
            <w:r>
              <w:rPr>
                <w:rFonts w:ascii="宋体" w:hAnsi="宋体" w:eastAsia="宋体"/>
                <w:b w:val="0"/>
                <w:color w:val="auto"/>
                <w:sz w:val="19"/>
              </w:rPr>
              <w:t>按建设内容逐项报价，说明单价、数量、测算依据、可选项和后续扩展费用。</w:t>
            </w:r>
          </w:p>
        </w:tc>
      </w:tr>
    </w:tbl>
    <w:p w14:paraId="4718E3A9">
      <w:pPr>
        <w:spacing w:before="0" w:after="40" w:line="264" w:lineRule="auto"/>
        <w:rPr>
          <w:color w:val="auto"/>
        </w:rPr>
      </w:pPr>
    </w:p>
    <w:p w14:paraId="2B05B532">
      <w:pPr>
        <w:spacing w:before="0" w:after="120" w:line="264" w:lineRule="auto"/>
        <w:rPr>
          <w:color w:val="auto"/>
        </w:rPr>
      </w:pPr>
    </w:p>
    <w:p w14:paraId="6A5073E5">
      <w:pPr>
        <w:spacing w:before="160" w:after="40" w:line="264" w:lineRule="auto"/>
        <w:jc w:val="right"/>
        <w:rPr>
          <w:rFonts w:hint="eastAsia" w:eastAsia="宋体"/>
          <w:color w:val="auto"/>
          <w:lang w:eastAsia="zh-CN"/>
        </w:rPr>
      </w:pPr>
      <w:r>
        <w:rPr>
          <w:rFonts w:ascii="宋体" w:hAnsi="宋体" w:eastAsia="宋体"/>
          <w:b w:val="0"/>
          <w:color w:val="auto"/>
          <w:sz w:val="22"/>
        </w:rPr>
        <w:t>浙江省肿瘤医院信息</w:t>
      </w:r>
      <w:r>
        <w:rPr>
          <w:rFonts w:hint="eastAsia" w:ascii="宋体" w:hAnsi="宋体"/>
          <w:b w:val="0"/>
          <w:color w:val="auto"/>
          <w:sz w:val="22"/>
          <w:lang w:val="en-US" w:eastAsia="zh-CN"/>
        </w:rPr>
        <w:t>工程部</w:t>
      </w:r>
      <w:bookmarkStart w:id="0" w:name="_GoBack"/>
      <w:bookmarkEnd w:id="0"/>
    </w:p>
    <w:p w14:paraId="3946D1D5">
      <w:pPr>
        <w:spacing w:before="0" w:after="0" w:line="264" w:lineRule="auto"/>
        <w:jc w:val="right"/>
        <w:rPr>
          <w:color w:val="auto"/>
        </w:rPr>
      </w:pPr>
      <w:r>
        <w:rPr>
          <w:rFonts w:ascii="宋体" w:hAnsi="宋体" w:eastAsia="宋体"/>
          <w:b w:val="0"/>
          <w:color w:val="auto"/>
          <w:sz w:val="22"/>
        </w:rPr>
        <w:t>2026年5月</w:t>
      </w:r>
    </w:p>
    <w:sectPr>
      <w:headerReference r:id="rId5" w:type="default"/>
      <w:footerReference r:id="rId6" w:type="default"/>
      <w:pgSz w:w="11905" w:h="16838"/>
      <w:pgMar w:top="1440" w:right="144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C6F5">
    <w:pPr>
      <w:pStyle w:val="24"/>
      <w:jc w:val="center"/>
    </w:pPr>
    <w:r>
      <w:rPr>
        <w:rFonts w:ascii="宋体" w:hAnsi="宋体" w:eastAsia="宋体"/>
        <w:color w:val="595959"/>
        <w:sz w:val="18"/>
      </w:rPr>
      <w:t xml:space="preserve">第 </w:t>
    </w:r>
    <w:r>
      <w:fldChar w:fldCharType="begin"/>
    </w:r>
    <w:r>
      <w:instrText xml:space="preserve">PAGE</w:instrText>
    </w:r>
    <w:r>
      <w:fldChar w:fldCharType="end"/>
    </w:r>
    <w:r>
      <w:rPr>
        <w:rFonts w:ascii="宋体" w:hAnsi="宋体" w:eastAsia="宋体"/>
        <w:color w:val="595959"/>
        <w:sz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630F">
    <w:pPr>
      <w:pStyle w:val="25"/>
      <w:pBdr>
        <w:bottom w:val="single" w:color="D9E2EC" w:sz="6" w:space="4"/>
      </w:pBdr>
      <w:jc w:val="right"/>
    </w:pPr>
    <w:r>
      <w:rPr>
        <w:rFonts w:ascii="宋体" w:hAnsi="宋体" w:eastAsia="宋体"/>
        <w:color w:val="595959"/>
        <w:sz w:val="18"/>
      </w:rPr>
      <w:t>浙江省肿瘤医院 | 胃癌专病库建设调研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106873"/>
    <w:rsid w:val="16447211"/>
    <w:rsid w:val="297A7E50"/>
    <w:rsid w:val="3062163D"/>
    <w:rsid w:val="3BC76554"/>
    <w:rsid w:val="3BF781B5"/>
    <w:rsid w:val="41656898"/>
    <w:rsid w:val="4C5A6FBF"/>
    <w:rsid w:val="5DE3650F"/>
    <w:rsid w:val="63AD2730"/>
    <w:rsid w:val="6BB12CE4"/>
    <w:rsid w:val="708A062C"/>
    <w:rsid w:val="75756AD4"/>
    <w:rsid w:val="7E89025C"/>
    <w:rsid w:val="98EFA61B"/>
    <w:rsid w:val="DDFF8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120" w:line="264" w:lineRule="auto"/>
    </w:pPr>
    <w:rPr>
      <w:rFonts w:ascii="Calibri" w:hAnsi="Calibri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320" w:after="160" w:line="264" w:lineRule="auto"/>
      <w:outlineLvl w:val="0"/>
    </w:pPr>
    <w:rPr>
      <w:rFonts w:asciiTheme="majorHAnsi" w:hAnsiTheme="majorHAnsi" w:eastAsiaTheme="majorEastAsia" w:cstheme="majorBidi"/>
      <w:b/>
      <w:bCs/>
      <w:color w:val="2E74B5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40" w:after="120" w:line="264" w:lineRule="auto"/>
      <w:outlineLvl w:val="1"/>
    </w:pPr>
    <w:rPr>
      <w:rFonts w:asciiTheme="majorHAnsi" w:hAnsiTheme="majorHAnsi" w:eastAsiaTheme="majorEastAsia" w:cstheme="majorBidi"/>
      <w:b/>
      <w:bCs/>
      <w:color w:val="2E74B5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 w:line="264" w:lineRule="auto"/>
      <w:outlineLvl w:val="2"/>
    </w:pPr>
    <w:rPr>
      <w:rFonts w:asciiTheme="majorHAnsi" w:hAnsiTheme="majorHAnsi" w:eastAsiaTheme="majorEastAsia" w:cstheme="majorBidi"/>
      <w:b/>
      <w:bCs/>
      <w:color w:val="1F4D78"/>
      <w:sz w:val="24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pPr>
      <w:spacing w:before="0" w:after="200" w:line="264" w:lineRule="auto"/>
    </w:pPr>
    <w:rPr>
      <w:rFonts w:asciiTheme="majorHAnsi" w:hAnsiTheme="majorHAnsi" w:eastAsiaTheme="majorEastAsia" w:cstheme="majorBidi"/>
      <w:i/>
      <w:iCs/>
      <w:color w:val="595959"/>
      <w:spacing w:val="15"/>
      <w:sz w:val="26"/>
      <w:szCs w:val="24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before="0" w:after="160" w:line="264" w:lineRule="auto"/>
      <w:contextualSpacing/>
    </w:pPr>
    <w:rPr>
      <w:rFonts w:asciiTheme="majorHAnsi" w:hAnsiTheme="majorHAnsi" w:eastAsiaTheme="majorEastAsia" w:cstheme="majorBidi"/>
      <w:b/>
      <w:color w:val="000000"/>
      <w:spacing w:val="5"/>
      <w:kern w:val="28"/>
      <w:sz w:val="44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2489</Words>
  <Characters>2534</Characters>
  <Lines>1</Lines>
  <Paragraphs>1</Paragraphs>
  <TotalTime>7</TotalTime>
  <ScaleCrop>false</ScaleCrop>
  <LinksUpToDate>false</LinksUpToDate>
  <CharactersWithSpaces>2553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朱朱</cp:lastModifiedBy>
  <dcterms:modified xsi:type="dcterms:W3CDTF">2026-05-25T07:56:21Z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E62CFB23FEEF71554BCB066A69B8353E_42</vt:lpwstr>
  </property>
  <property fmtid="{D5CDD505-2E9C-101B-9397-08002B2CF9AE}" pid="4" name="KSOTemplateDocerSaveRecord">
    <vt:lpwstr>eyJoZGlkIjoiZTg0ZTgyMjRhNDdhNzJhN2M4ODE3MTQxNjdmZTc3YjEiLCJ1c2VySWQiOiI0OTczNzg1NDIifQ==</vt:lpwstr>
  </property>
</Properties>
</file>