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101EA7">
      <w:pPr>
        <w:ind w:firstLine="0" w:firstLineChars="0"/>
        <w:jc w:val="center"/>
        <w:rPr>
          <w:rFonts w:hint="eastAsia" w:eastAsia="宋体" w:cs="宋体"/>
          <w:b/>
          <w:bCs/>
          <w:sz w:val="32"/>
          <w:szCs w:val="32"/>
          <w:lang w:eastAsia="zh-CN"/>
        </w:rPr>
      </w:pPr>
      <w:r>
        <w:rPr>
          <w:rFonts w:hint="eastAsia" w:cs="宋体"/>
          <w:b/>
          <w:bCs/>
          <w:sz w:val="32"/>
          <w:szCs w:val="32"/>
          <w:lang w:eastAsia="zh-CN"/>
        </w:rPr>
        <w:t xml:space="preserve"> 浙江省肿瘤医院1、2号楼连廊提升改造工程 </w:t>
      </w:r>
    </w:p>
    <w:p w14:paraId="04799EF7">
      <w:pPr>
        <w:ind w:firstLine="0" w:firstLineChars="0"/>
        <w:jc w:val="center"/>
        <w:rPr>
          <w:rFonts w:cs="宋体"/>
          <w:b/>
          <w:bCs/>
          <w:sz w:val="32"/>
          <w:szCs w:val="32"/>
        </w:rPr>
      </w:pPr>
      <w:r>
        <w:rPr>
          <w:rFonts w:hint="eastAsia" w:cs="宋体"/>
          <w:b/>
          <w:bCs/>
          <w:sz w:val="32"/>
          <w:szCs w:val="32"/>
        </w:rPr>
        <w:t>招标</w:t>
      </w:r>
      <w:r>
        <w:rPr>
          <w:rFonts w:hint="eastAsia" w:cs="宋体"/>
          <w:b/>
          <w:bCs/>
          <w:sz w:val="32"/>
          <w:szCs w:val="32"/>
          <w:lang w:val="en-US" w:eastAsia="zh-CN"/>
        </w:rPr>
        <w:t>清单</w:t>
      </w:r>
      <w:r>
        <w:rPr>
          <w:rFonts w:hint="eastAsia" w:cs="宋体"/>
          <w:b/>
          <w:bCs/>
          <w:sz w:val="32"/>
          <w:szCs w:val="32"/>
        </w:rPr>
        <w:t>编制说明</w:t>
      </w:r>
    </w:p>
    <w:p w14:paraId="54B19D3F">
      <w:pPr>
        <w:numPr>
          <w:ilvl w:val="0"/>
          <w:numId w:val="1"/>
        </w:numPr>
        <w:ind w:firstLineChars="0"/>
        <w:rPr>
          <w:rFonts w:cs="宋体"/>
          <w:b/>
          <w:bCs/>
        </w:rPr>
      </w:pPr>
      <w:r>
        <w:rPr>
          <w:rFonts w:hint="eastAsia" w:cs="宋体"/>
          <w:b/>
          <w:bCs/>
        </w:rPr>
        <w:t>项目基本情况</w:t>
      </w:r>
    </w:p>
    <w:p w14:paraId="2930EFD8">
      <w:pPr>
        <w:pStyle w:val="7"/>
        <w:widowControl/>
        <w:spacing w:beforeAutospacing="0" w:afterAutospacing="0"/>
        <w:ind w:firstLine="480"/>
        <w:rPr>
          <w:rFonts w:cs="宋体"/>
        </w:rPr>
      </w:pPr>
      <w:r>
        <w:rPr>
          <w:rFonts w:hint="eastAsia" w:cs="宋体"/>
          <w:bCs/>
        </w:rPr>
        <w:t>本工程为</w:t>
      </w:r>
      <w:r>
        <w:rPr>
          <w:rFonts w:hint="eastAsia" w:cs="宋体"/>
          <w:bCs/>
          <w:lang w:eastAsia="zh-CN"/>
        </w:rPr>
        <w:t xml:space="preserve"> 浙江省肿瘤医院1、2号楼连廊提升改造工程 </w:t>
      </w:r>
      <w:r>
        <w:rPr>
          <w:rFonts w:hint="eastAsia" w:cs="宋体"/>
          <w:bCs/>
        </w:rPr>
        <w:t>，该工程地点位于浙江省杭州</w:t>
      </w:r>
      <w:r>
        <w:rPr>
          <w:rFonts w:hint="eastAsia" w:cs="宋体"/>
          <w:bCs/>
          <w:lang w:val="en-US" w:eastAsia="zh-CN"/>
        </w:rPr>
        <w:t>市，</w:t>
      </w:r>
      <w:r>
        <w:rPr>
          <w:rFonts w:hint="eastAsia" w:cs="宋体"/>
          <w:color w:val="000000"/>
          <w:lang w:bidi="ar"/>
        </w:rPr>
        <w:t>总建筑面积</w:t>
      </w:r>
      <w:r>
        <w:rPr>
          <w:rFonts w:hint="eastAsia" w:cs="宋体"/>
          <w:color w:val="000000"/>
          <w:lang w:val="en-US" w:eastAsia="zh-CN" w:bidi="ar"/>
        </w:rPr>
        <w:t>1109</w:t>
      </w:r>
      <w:r>
        <w:rPr>
          <w:rFonts w:hint="eastAsia" w:cs="宋体"/>
          <w:color w:val="000000"/>
          <w:lang w:bidi="ar"/>
        </w:rPr>
        <w:t>平方米</w:t>
      </w:r>
      <w:r>
        <w:rPr>
          <w:rFonts w:cs="宋体"/>
        </w:rPr>
        <w:t>。</w:t>
      </w:r>
      <w:r>
        <w:rPr>
          <w:rFonts w:hint="eastAsia" w:cs="宋体"/>
        </w:rPr>
        <w:t xml:space="preserve">   </w:t>
      </w:r>
    </w:p>
    <w:p w14:paraId="3F653690">
      <w:pPr>
        <w:pStyle w:val="7"/>
        <w:widowControl/>
        <w:spacing w:beforeAutospacing="0" w:afterAutospacing="0"/>
        <w:ind w:firstLine="480"/>
        <w:rPr>
          <w:rFonts w:cs="宋体"/>
          <w:u w:val="single"/>
        </w:rPr>
      </w:pPr>
      <w:r>
        <w:rPr>
          <w:rFonts w:hint="eastAsia" w:cs="宋体"/>
          <w:bCs/>
        </w:rPr>
        <w:t>本工程</w:t>
      </w:r>
      <w:r>
        <w:rPr>
          <w:rFonts w:hint="eastAsia" w:cs="宋体"/>
        </w:rPr>
        <w:t>改造范围：</w:t>
      </w:r>
      <w:r>
        <w:rPr>
          <w:rFonts w:hint="eastAsia" w:cs="宋体"/>
          <w:u w:val="single"/>
        </w:rPr>
        <w:t>包括但不限于</w:t>
      </w:r>
      <w:r>
        <w:rPr>
          <w:rFonts w:hint="eastAsia" w:cs="宋体"/>
          <w:u w:val="single"/>
          <w:lang w:val="en-US" w:eastAsia="zh-CN"/>
        </w:rPr>
        <w:t>原有建筑物地面、设备、已完工程的保护，涉及影响施工的管线迁改，室内装修，门窗、幕墙、钢结构等工程的施工</w:t>
      </w:r>
      <w:r>
        <w:rPr>
          <w:rFonts w:hint="eastAsia" w:cs="宋体"/>
          <w:u w:val="single"/>
        </w:rPr>
        <w:t>。</w:t>
      </w:r>
    </w:p>
    <w:p w14:paraId="4EA7C895">
      <w:pPr>
        <w:numPr>
          <w:ilvl w:val="0"/>
          <w:numId w:val="1"/>
        </w:numPr>
        <w:ind w:firstLineChars="0"/>
        <w:rPr>
          <w:rFonts w:cs="宋体"/>
          <w:b/>
          <w:bCs/>
        </w:rPr>
      </w:pPr>
      <w:r>
        <w:rPr>
          <w:rFonts w:hint="eastAsia" w:cs="宋体"/>
          <w:b/>
          <w:bCs/>
        </w:rPr>
        <w:t>编制范围</w:t>
      </w:r>
    </w:p>
    <w:p w14:paraId="0B8ABA22">
      <w:pPr>
        <w:ind w:firstLine="480"/>
      </w:pPr>
      <w:r>
        <w:rPr>
          <w:rFonts w:hint="eastAsia" w:cs="宋体"/>
        </w:rPr>
        <w:t>本招标控制价主要包括的内容为:建筑安装工程费（</w:t>
      </w:r>
      <w:r>
        <w:rPr>
          <w:rFonts w:hint="eastAsia" w:cs="宋体"/>
          <w:lang w:val="en-US" w:eastAsia="zh-CN"/>
        </w:rPr>
        <w:t>详见工程量清单</w:t>
      </w:r>
      <w:r>
        <w:rPr>
          <w:rFonts w:hint="eastAsia" w:cs="宋体"/>
        </w:rPr>
        <w:t>）。</w:t>
      </w:r>
    </w:p>
    <w:p w14:paraId="5A6F68CA">
      <w:pPr>
        <w:numPr>
          <w:ilvl w:val="0"/>
          <w:numId w:val="1"/>
        </w:numPr>
        <w:ind w:firstLineChars="0"/>
        <w:rPr>
          <w:rFonts w:cs="宋体"/>
          <w:b/>
          <w:bCs/>
        </w:rPr>
      </w:pPr>
      <w:r>
        <w:rPr>
          <w:rFonts w:hint="eastAsia" w:cs="宋体"/>
          <w:b/>
          <w:bCs/>
        </w:rPr>
        <w:t>编制依据</w:t>
      </w:r>
    </w:p>
    <w:p w14:paraId="07FD91D0">
      <w:pPr>
        <w:numPr>
          <w:ilvl w:val="0"/>
          <w:numId w:val="2"/>
        </w:numPr>
        <w:ind w:firstLine="480"/>
        <w:rPr>
          <w:rFonts w:hint="eastAsia" w:ascii="宋体" w:hAnsi="宋体" w:eastAsia="宋体" w:cs="Times New Roman"/>
          <w:lang w:val="en-US" w:eastAsia="zh-CN"/>
        </w:rPr>
      </w:pPr>
      <w:r>
        <w:rPr>
          <w:rFonts w:hint="eastAsia" w:cs="Times New Roman"/>
          <w:lang w:val="en-US" w:eastAsia="zh-CN"/>
        </w:rPr>
        <w:t>《建设工程工程量清单计价规范》（GB50500-2013）、《房屋建筑与装饰工程工程量计算规范》（GB50854－2013）、《通用安装工程工程量计算规范》（GB50856-2013）、《市政工程工程量计算规范》（GB50857-2013）、《园林绿化工程工程量计算规范》（GB50858-2013）、《关于印发建设工程工程量计算规范（2013）浙江省补充规定的通知》（浙建站计﹝2013﹞63号）、《关于印发建设工程工程量清单计算规范（2013）</w:t>
      </w:r>
      <w:r>
        <w:rPr>
          <w:rFonts w:hint="eastAsia" w:ascii="宋体" w:hAnsi="宋体" w:eastAsia="宋体" w:cs="Times New Roman"/>
          <w:lang w:val="en-US" w:eastAsia="zh-CN"/>
        </w:rPr>
        <w:t>浙江省补充规定（二）的通知》（浙建站计﹝2014﹞31号）。</w:t>
      </w:r>
    </w:p>
    <w:p w14:paraId="51C3CA20">
      <w:pPr>
        <w:numPr>
          <w:ilvl w:val="0"/>
          <w:numId w:val="2"/>
        </w:numPr>
        <w:ind w:firstLine="480"/>
        <w:rPr>
          <w:rFonts w:hint="eastAsia" w:ascii="宋体" w:hAnsi="宋体" w:eastAsia="宋体" w:cs="Times New Roman"/>
          <w:lang w:val="en-US" w:eastAsia="zh-CN"/>
        </w:rPr>
      </w:pPr>
      <w:r>
        <w:rPr>
          <w:rFonts w:hint="eastAsia" w:ascii="宋体" w:hAnsi="宋体" w:eastAsia="宋体" w:cs="Times New Roman"/>
          <w:lang w:val="en-US" w:eastAsia="zh-CN"/>
        </w:rPr>
        <w:t>浙江省建设工程计价规则》（2018版）及相关文件。</w:t>
      </w:r>
    </w:p>
    <w:p w14:paraId="736EA88D">
      <w:pPr>
        <w:numPr>
          <w:ilvl w:val="0"/>
          <w:numId w:val="2"/>
        </w:numPr>
        <w:ind w:firstLine="480"/>
        <w:rPr>
          <w:rFonts w:hint="eastAsia" w:ascii="宋体" w:hAnsi="宋体" w:eastAsia="宋体" w:cs="Times New Roman"/>
          <w:lang w:val="en-US" w:eastAsia="zh-CN"/>
        </w:rPr>
      </w:pPr>
      <w:r>
        <w:rPr>
          <w:rFonts w:hint="eastAsia" w:ascii="宋体" w:hAnsi="宋体" w:eastAsia="宋体" w:cs="Times New Roman"/>
          <w:lang w:val="en-US" w:eastAsia="zh-CN"/>
        </w:rPr>
        <w:t>省市相关文件</w:t>
      </w:r>
    </w:p>
    <w:p w14:paraId="156C7FC6">
      <w:pPr>
        <w:numPr>
          <w:ilvl w:val="0"/>
          <w:numId w:val="0"/>
        </w:numPr>
        <w:ind w:firstLine="480" w:firstLineChars="200"/>
        <w:rPr>
          <w:rFonts w:hint="eastAsia" w:ascii="宋体" w:hAnsi="宋体" w:eastAsia="宋体" w:cs="Times New Roman"/>
          <w:lang w:val="en-US" w:eastAsia="zh-CN"/>
        </w:rPr>
      </w:pPr>
      <w:r>
        <w:rPr>
          <w:rFonts w:hint="eastAsia" w:ascii="宋体" w:hAnsi="宋体" w:eastAsia="宋体" w:cs="Times New Roman"/>
          <w:lang w:val="en-US" w:eastAsia="zh-CN"/>
        </w:rPr>
        <w:t>《关于颁发浙江省建设工程计价依据（2018版）的通知》（浙建建〔2018〕61号）。</w:t>
      </w:r>
    </w:p>
    <w:p w14:paraId="6EBFBFD5">
      <w:pPr>
        <w:numPr>
          <w:ilvl w:val="0"/>
          <w:numId w:val="0"/>
        </w:numPr>
        <w:ind w:firstLine="480" w:firstLineChars="200"/>
        <w:rPr>
          <w:rFonts w:hint="eastAsia" w:ascii="宋体" w:hAnsi="宋体" w:eastAsia="宋体" w:cs="Times New Roman"/>
          <w:lang w:val="en-US" w:eastAsia="zh-CN"/>
        </w:rPr>
      </w:pPr>
      <w:r>
        <w:rPr>
          <w:rFonts w:hint="eastAsia" w:ascii="宋体" w:hAnsi="宋体" w:eastAsia="宋体" w:cs="Times New Roman"/>
          <w:lang w:val="en-US" w:eastAsia="zh-CN"/>
        </w:rPr>
        <w:t>《关于增值税调整后我省建设工程计价依据增值税税率及有关计价调整的通知》（浙建建发〔2019〕92号）。</w:t>
      </w:r>
    </w:p>
    <w:p w14:paraId="6847FA8C">
      <w:pPr>
        <w:numPr>
          <w:ilvl w:val="0"/>
          <w:numId w:val="0"/>
        </w:numPr>
        <w:ind w:firstLine="480" w:firstLineChars="200"/>
        <w:rPr>
          <w:rFonts w:hint="eastAsia" w:ascii="宋体" w:hAnsi="宋体" w:eastAsia="宋体" w:cs="Times New Roman"/>
          <w:lang w:val="en-US" w:eastAsia="zh-CN"/>
        </w:rPr>
      </w:pPr>
      <w:r>
        <w:rPr>
          <w:rFonts w:hint="eastAsia" w:ascii="宋体" w:hAnsi="宋体" w:eastAsia="宋体" w:cs="Times New Roman"/>
          <w:lang w:val="en-US" w:eastAsia="zh-CN"/>
        </w:rPr>
        <w:t>《关于明确杭州市建筑施工领域安全生产责任保险费用计取的通知》（杭建招标造价中心〔2021〕84号）。</w:t>
      </w:r>
    </w:p>
    <w:p w14:paraId="70B407AD">
      <w:pPr>
        <w:numPr>
          <w:ilvl w:val="0"/>
          <w:numId w:val="0"/>
        </w:numPr>
        <w:ind w:firstLine="480" w:firstLineChars="200"/>
        <w:rPr>
          <w:rFonts w:hint="eastAsia" w:ascii="宋体" w:hAnsi="宋体" w:eastAsia="宋体" w:cs="Times New Roman"/>
          <w:lang w:val="en-US" w:eastAsia="zh-CN"/>
        </w:rPr>
      </w:pPr>
      <w:r>
        <w:rPr>
          <w:rFonts w:hint="eastAsia" w:ascii="宋体" w:hAnsi="宋体" w:eastAsia="宋体" w:cs="Times New Roman"/>
          <w:lang w:val="en-US" w:eastAsia="zh-CN"/>
        </w:rPr>
        <w:t>《省建设厅关于调整建筑工程安全文明施工费的通知》（浙建建发〔2022〕37号文）。</w:t>
      </w:r>
    </w:p>
    <w:p w14:paraId="02E26CEF">
      <w:pPr>
        <w:numPr>
          <w:ilvl w:val="0"/>
          <w:numId w:val="0"/>
        </w:numPr>
        <w:ind w:firstLine="480" w:firstLineChars="200"/>
        <w:rPr>
          <w:rFonts w:hint="eastAsia" w:ascii="宋体" w:hAnsi="宋体" w:eastAsia="宋体" w:cs="Times New Roman"/>
          <w:lang w:val="en-US" w:eastAsia="zh-CN"/>
        </w:rPr>
      </w:pPr>
      <w:r>
        <w:rPr>
          <w:rFonts w:hint="eastAsia" w:ascii="宋体" w:hAnsi="宋体" w:eastAsia="宋体" w:cs="Times New Roman"/>
          <w:lang w:val="en-US" w:eastAsia="zh-CN"/>
        </w:rPr>
        <w:t>《关于进一步推进我省安全生产责任保险规范化工作的通知》（浙应急法规〔2020〕9号）。</w:t>
      </w:r>
    </w:p>
    <w:p w14:paraId="37EA260C">
      <w:pPr>
        <w:numPr>
          <w:ilvl w:val="0"/>
          <w:numId w:val="2"/>
        </w:numPr>
        <w:ind w:firstLine="480"/>
        <w:rPr>
          <w:rFonts w:hint="eastAsia" w:ascii="宋体" w:hAnsi="宋体" w:eastAsia="宋体" w:cs="Times New Roman"/>
          <w:lang w:val="en-US" w:eastAsia="zh-CN"/>
        </w:rPr>
      </w:pPr>
      <w:r>
        <w:rPr>
          <w:rFonts w:hint="eastAsia" w:ascii="宋体" w:hAnsi="宋体" w:eastAsia="宋体" w:cs="Times New Roman"/>
          <w:lang w:val="en-US" w:eastAsia="zh-CN"/>
        </w:rPr>
        <w:t>招标人提供的本工程招标图纸（2025年7月提供的图纸）、设计单位对图纸疑问的回复意见及设计单位的相关修改意见、招标人对工程清单编制相关意见等。</w:t>
      </w:r>
    </w:p>
    <w:p w14:paraId="2881FA45">
      <w:pPr>
        <w:adjustRightInd w:val="0"/>
        <w:snapToGrid w:val="0"/>
        <w:ind w:firstLine="480"/>
        <w:rPr>
          <w:rFonts w:cs="宋体"/>
          <w:bCs/>
        </w:rPr>
      </w:pPr>
      <w:r>
        <w:rPr>
          <w:rFonts w:hint="eastAsia" w:cs="宋体"/>
        </w:rPr>
        <w:t>5、《杭州造价信息》正刊、《浙江造价信息》正刊</w:t>
      </w:r>
      <w:r>
        <w:rPr>
          <w:rFonts w:hint="eastAsia" w:cs="宋体"/>
          <w:bCs/>
        </w:rPr>
        <w:t>。</w:t>
      </w:r>
    </w:p>
    <w:p w14:paraId="75B041F9">
      <w:pPr>
        <w:adjustRightInd w:val="0"/>
        <w:snapToGrid w:val="0"/>
        <w:ind w:firstLine="480"/>
        <w:rPr>
          <w:rFonts w:hint="eastAsia" w:cs="宋体"/>
        </w:rPr>
      </w:pPr>
      <w:r>
        <w:rPr>
          <w:rFonts w:hint="eastAsia" w:cs="宋体"/>
          <w:lang w:val="en-US" w:eastAsia="zh-CN"/>
        </w:rPr>
        <w:t>6</w:t>
      </w:r>
      <w:r>
        <w:rPr>
          <w:rFonts w:hint="eastAsia" w:cs="宋体"/>
        </w:rPr>
        <w:t>、其他有关文件及规范资料。</w:t>
      </w:r>
    </w:p>
    <w:p w14:paraId="339FA0E2">
      <w:pPr>
        <w:numPr>
          <w:ilvl w:val="0"/>
          <w:numId w:val="0"/>
        </w:numPr>
        <w:spacing w:line="360" w:lineRule="auto"/>
        <w:ind w:firstLine="482" w:firstLineChars="200"/>
        <w:jc w:val="left"/>
        <w:rPr>
          <w:rFonts w:hint="eastAsia" w:cs="Times New Roman"/>
          <w:lang w:val="en-US" w:eastAsia="zh-CN"/>
        </w:rPr>
      </w:pPr>
      <w:r>
        <w:rPr>
          <w:rFonts w:hint="eastAsia" w:cs="Times New Roman"/>
          <w:b/>
          <w:bCs/>
          <w:lang w:val="en-US" w:eastAsia="zh-CN"/>
        </w:rPr>
        <w:t>工程质量、工期、材料、施工等要求</w:t>
      </w:r>
    </w:p>
    <w:p w14:paraId="65204469">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 xml:space="preserve">1、工程质量：根据招标文件要求。  </w:t>
      </w:r>
    </w:p>
    <w:p w14:paraId="1B9B9502">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2、工期：根据招标文件要求。</w:t>
      </w:r>
    </w:p>
    <w:p w14:paraId="0A893BEA">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3、施工要求：详见施工图及技术规范。</w:t>
      </w:r>
    </w:p>
    <w:p w14:paraId="63F2CDBE">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安全文明施工措施、标化工地、规费、税金、企业管理费、暂列金额等要求</w:t>
      </w:r>
    </w:p>
    <w:p w14:paraId="2B1DB8F0">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 xml:space="preserve">1、安全文明施工基本费 </w:t>
      </w:r>
    </w:p>
    <w:p w14:paraId="32DD7640">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安全文明施工费由文明施工费、环境保护费、临时设施费、安全施工费组成。根据“《浙江省建设工程计价规则（2018版）》”及“《省建设厅关于调整建筑工程安全文明施工费的通知》（浙建建发〔2022〕37号）”的相关规定，须以“分部分项工程量清单和技术措施项目清单”计价中的定额人工费+定额机械费之和为计算基础。安全文明施工措施费用必须充分保证，报价不得低于省建设行政主管部门颁发的工程预算定额和相关取费计价文件规定的弹性费率下限的计算值，具体如下：</w:t>
      </w:r>
    </w:p>
    <w:p w14:paraId="7FD37484">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建筑装饰工程按其取费基数额度（合同标段分部分项工程费与施工技术措施项目费所含“人工费+机械费”）大小采用分档累进以递减方式计算费用。其中，取费基数额度500万元以内的执行标准费率，即费率不得低于9.856%；500万元以上至2000万元以内部分按标准费率乘以系数0.9，即费率不得低于8.87%；2000万元以上至5000万元以内部分按标准费率乘以系数0.8，即费率不得低于7.884%；5000万元以上部分按标准费率乘以系数0.7，即费率不得低于6.899%。市政土建工程不得低于8.81%。园林绿化及景观工程不得低于6.64%。通用安装工程不得低于7.35%。</w:t>
      </w:r>
    </w:p>
    <w:p w14:paraId="569AA19A">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安全文明施工费中已包括施工现场消防要求及扬尘处理等发生的费用。</w:t>
      </w:r>
    </w:p>
    <w:p w14:paraId="123BAF41">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2022年4月1日起，根据《省建设厅关于调整建筑工程安全文明施工费的通知》（浙建建发〔2022〕37号）的要求，安全文明施工费中增加智慧工地和疫情常态化防控费，投标人报价时应根据相关文件的要求进行报价，结算时不另行调整。</w:t>
      </w:r>
    </w:p>
    <w:p w14:paraId="615D5CA9">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2、规费</w:t>
      </w:r>
    </w:p>
    <w:p w14:paraId="153AA31D">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规费包含养老保险费、失业保险费、医疗保险费、生育保险费、工伤保险费）、住房公积金。根据《浙江省建设工程计价规则》（2018版）规定，规费以分部分项工程费和技术措施项目费计价中的“人工费+机械费”为计算基数，根据《关于颁发浙江省建设工程计价依据（2018版）的通知》（浙建建〔2018〕61号），在规费政策平稳过渡期内不得低于标准费率的30%，即：建筑装饰工程不得低于7.73%，市政土建工程不得低于5.63%，园林绿化及景观工程不得低于9.29%，通用安装工程不得低于9.19%的费率报价。</w:t>
      </w:r>
    </w:p>
    <w:p w14:paraId="1B0DED11">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3、税金</w:t>
      </w:r>
    </w:p>
    <w:p w14:paraId="63625D7E">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 xml:space="preserve">根据《关于增值税调整后我省建设工程计价依据增值税税率及有关计价调整的通知》（浙建建发〔2019〕92号）规定，税金以税前“分部分项工程费+措施项目费+其他项目费+规费”为计算基数，请投标人按9%税率报价。    </w:t>
      </w:r>
    </w:p>
    <w:p w14:paraId="6F71F7AC">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4、企业管理费</w:t>
      </w:r>
    </w:p>
    <w:p w14:paraId="649E2E14">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按照《浙江省建设工程计价规则》（2018版），企业管理费包含管理人员工资、办公费、差旅交通费、固定资产使用费、工具用具使用费、劳动保险费、检验试验费、夜间施工增加费、已完工程及设备保护费、工程定位复测费、工会经费、职工教育经费、财产保险费、财务费、税费及其他。</w:t>
      </w:r>
    </w:p>
    <w:p w14:paraId="78F6F3AA">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根据《关于印发&lt;杭州市建设工程工程量清单计价实施细则&gt;（2018年修订）的通知》（杭建市发〔2018〕578号）文件的要求，企业管理费中还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否则其费用视为包含在相关项目综合单价中。</w:t>
      </w:r>
    </w:p>
    <w:p w14:paraId="7E7FFA20">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根据《关于明确杭州市建筑施工领域安全生产责任保险费用计取的通知》（杭建招标造价中心〔2021〕84号）文的要求，投标人投标报价时，应结合工程实际和企业信用状况将安责险列入企业管理费中进行自主报价，结算时不再另行计算。</w:t>
      </w:r>
    </w:p>
    <w:p w14:paraId="461E89C1">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有关招标内容说明</w:t>
      </w:r>
    </w:p>
    <w:p w14:paraId="24E352E5">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 xml:space="preserve"> 详见招标文件</w:t>
      </w:r>
    </w:p>
    <w:p w14:paraId="3B41FE90">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 xml:space="preserve">工程量清单编制说明及其他需要说明的问题    </w:t>
      </w:r>
    </w:p>
    <w:p w14:paraId="62CC58AE">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1、本工程量清单，其项目特征仅是对清单相应工作的概要描述，应与招标文件中的投标人须知、通用合同条款、专用合同条款、技术标准和要求及图纸等一起阅读和理解，最终以甲方解释为准。</w:t>
      </w:r>
    </w:p>
    <w:p w14:paraId="482355FE">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14:paraId="484234B6">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3、投标人的投标报价应是完成招标范围及工期的全部，不得以任何理由予以重复。工程量清单中的每个子目须填入单价或合价，每一项目应当有且仅有唯一报价，任何有选择的报价将不予接受。投标人对列有数量的项目，如未填报单价或者合价，则其费用视为已经含在其他列有单价或合价的项目之中，在工程实施期间不再另行支付。工程实施过程，综合单价不因施工方案变动而调整。</w:t>
      </w:r>
    </w:p>
    <w:p w14:paraId="228DB4D0">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4、工程量清单中标价的单价或金额，均应包括为实施和完成合同工程所需的人工费、施工机械使用费、材料费、检测、质检、缺陷修复、保险、其他（运杂费、安装费、采保费、政府费用，以及合同明示或暗示的风险、责任和义务等）、管理费、利润等一切费用，并考虑风险因素。投标人用于本合同工程的各类装备的提供、运输、拆卸、拼装等支付的费用，已包括在工程量清单的单价与合价之中。</w:t>
      </w:r>
    </w:p>
    <w:p w14:paraId="4C20A8FD">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5、投标人在编制报价前，综合考虑图纸及技术规范中所涉及的材料规格、质量以及施工工序工艺等方面的所有要求和标准，并将所有的费用包括在有关的项目中。</w:t>
      </w:r>
    </w:p>
    <w:p w14:paraId="7488EA64">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6、除另有说明外，工程量不包括任何重叠量、损耗量。任何须有不同程度重叠搭接要求的材料，报价中须包含此等重叠、搭接、损耗的费用。</w:t>
      </w:r>
    </w:p>
    <w:p w14:paraId="780471B1">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7、投标人应先到工地踏勘以充分了解工地位置、情况、道路、储存空间、装卸限制及任何其它足以影响报价的情况，任何因忽视或误解工地情况而导致的索赔或工期延长申请将不获批准。施工围墙区域内场地布置由投标人自行考虑，发包人无法提供其他临时用地（包括临时堆场、临时宿舍搭建和停车场地等），若投标人认为围墙区域内场地不能满足自身需求，需要另行考虑的，此费用考虑在投标报价中，结算不再另行增加。</w:t>
      </w:r>
    </w:p>
    <w:p w14:paraId="12A8FD4A">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8、计价方法统一以《建设工程工程量清单计价规范》（GB50500—2013）规定的项目编码、项目名称、项目特征、计量单位、工程量计算规则为依据，以招标人给出的工程量清单内容，参照《浙江省建设工程计价依据（2018版）》及解释，结合施工图纸、技术资料、相关施工规范、编制的施工方案或施工组织设计、投标人自身的综合实力、项目具体条件、企业定额和市场价格信息，自主竞争投标报价。其中工程量清单项目特征描述不清楚或不完整的，但又是完成该分项工程必须的工作内容，投标人应结合施工图及施工规范、现场实际情况综合考虑进行报价。</w:t>
      </w:r>
    </w:p>
    <w:p w14:paraId="6927E5C2">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9、投标人应根据设计要求、地质情况、现场条件、施工方案、协助配合、实施风险等因素，对工程量清单中以“项”计列的项目进行综合考虑，并包含在报价之中，在合同履行期间原则上不予调整。对于依据施工图纸有实物工程量的项目，在工程实施过程中，当发生非投标人自身原因的变更并经招标人审核成立时，变更项目综合单价按合同条款中约定的变更估价原则确定。</w:t>
      </w:r>
    </w:p>
    <w:p w14:paraId="326F8E5B">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10、投标人的工程量清单报价应根据招标人编制的工程量清单的项目特征进行报价，投标人的工程量清单报价内容包括但不限于《建设工程工程量清单计价规范》(GB50500 -2013)、《房屋建筑与装饰工程工程量计算规范》(GB50854-2013)、《通用安装工程工程量计算规范》(GB50856-2013)、《市政工程工程量计算规范》(GB50857-2013)、《园林绿化工程工程量计算规范》（GB50858-2013）等计价规范所描述的工作内容。</w:t>
      </w:r>
    </w:p>
    <w:p w14:paraId="1B406E68">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11、开工前投标人对现场场地进行清理（包括但不限于建筑垃圾、硬化地坪、附着物、树木的清理及垃圾外运）、平整，对现场不符合规范的围墙进场拆除及建筑垃圾外运，费用均包含在投标总价中。</w:t>
      </w:r>
    </w:p>
    <w:p w14:paraId="2BA88FC5">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12、钻孔灌注桩按设计有效桩长+加灌长度（不包括桩尖）计量，其钢护筒、空钻、回填空钻、桩端进入持力层、钻渣及泥浆处理（包含泥浆固化及其设备等）等费用包含在相应项目的综合单价内，不单独列项计量。场地标高请投标人根据地质报告结合现场情况综合考虑，结算时不因场地标高、桩顶标高变化而增加或者减少费用。泥浆固化程度满足杭州市要求。成孔方式：投标人结合现场情况综合考虑，综合单价不予调整。</w:t>
      </w:r>
    </w:p>
    <w:p w14:paraId="421D0F23">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13、除满足普通混凝土的各项检测指标要求外，防水混凝土还必须满足设计文件对原材料中氯离子含量、混凝土的碱含量、含气量、电通量、氯离子扩散系数等混凝土耐久性指标要求（具体详见招标文件技术文件标准和要求中防水混凝土相关要求），因此增加的相关费用（含检测）包含在防水混凝土综合单价中，不另行计量支付。</w:t>
      </w:r>
    </w:p>
    <w:p w14:paraId="24739655">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14、除另有说明外，本工程所有需拆除的项目（如拆除钢筋混凝土、钢支撑等）残值均归投标人所有，材料回收处置均由投标人自行实施，投标人应在综合单价中综合考虑回收价值。同时，报价中须包含任何需要废料外运、废料永久弃置等费用。</w:t>
      </w:r>
    </w:p>
    <w:p w14:paraId="3858FCC9">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15、本工程砂浆均采用预拌砂浆，混凝土统一采用商品混凝土。</w:t>
      </w:r>
    </w:p>
    <w:p w14:paraId="4378CA1B">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16、投标报价应包含施工过程的自检、互检、交接检，以及请建设工程有关部门莅临指导的各项费用。</w:t>
      </w:r>
    </w:p>
    <w:p w14:paraId="7665AE98">
      <w:pPr>
        <w:numPr>
          <w:ilvl w:val="0"/>
          <w:numId w:val="0"/>
        </w:numPr>
        <w:spacing w:line="360" w:lineRule="auto"/>
        <w:ind w:firstLine="480" w:firstLineChars="200"/>
        <w:jc w:val="left"/>
        <w:rPr>
          <w:rFonts w:hint="eastAsia" w:cs="Times New Roman"/>
          <w:lang w:val="zh-CN" w:eastAsia="zh-CN"/>
        </w:rPr>
      </w:pPr>
      <w:r>
        <w:rPr>
          <w:rFonts w:hint="eastAsia" w:cs="Times New Roman"/>
          <w:lang w:val="en-US" w:eastAsia="zh-CN"/>
        </w:rPr>
        <w:t>17、自然地坪以下</w:t>
      </w:r>
      <w:r>
        <w:rPr>
          <w:rFonts w:hint="eastAsia" w:cs="Times New Roman"/>
          <w:lang w:val="zh-CN" w:eastAsia="zh-CN"/>
        </w:rPr>
        <w:t>地下障碍物处理</w:t>
      </w:r>
      <w:r>
        <w:rPr>
          <w:rFonts w:hint="eastAsia" w:cs="Times New Roman"/>
          <w:lang w:val="en-US" w:eastAsia="zh-CN"/>
        </w:rPr>
        <w:t>费用</w:t>
      </w:r>
      <w:r>
        <w:rPr>
          <w:rFonts w:hint="eastAsia" w:cs="Times New Roman"/>
          <w:lang w:val="zh-CN" w:eastAsia="zh-CN"/>
        </w:rPr>
        <w:t>由投标</w:t>
      </w:r>
      <w:r>
        <w:rPr>
          <w:rFonts w:hint="eastAsia" w:cs="Times New Roman"/>
          <w:lang w:val="en-US" w:eastAsia="zh-CN"/>
        </w:rPr>
        <w:t>人</w:t>
      </w:r>
      <w:r>
        <w:rPr>
          <w:rFonts w:hint="eastAsia" w:cs="Times New Roman"/>
          <w:lang w:val="zh-CN" w:eastAsia="zh-CN"/>
        </w:rPr>
        <w:t>在报价中综合考虑。</w:t>
      </w:r>
    </w:p>
    <w:p w14:paraId="76B944DC">
      <w:pPr>
        <w:numPr>
          <w:ilvl w:val="0"/>
          <w:numId w:val="0"/>
        </w:numPr>
        <w:spacing w:line="360" w:lineRule="auto"/>
        <w:ind w:firstLine="480" w:firstLineChars="200"/>
        <w:jc w:val="left"/>
        <w:rPr>
          <w:rFonts w:hint="eastAsia" w:cs="Times New Roman"/>
          <w:lang w:val="zh-CN" w:eastAsia="zh-CN"/>
        </w:rPr>
      </w:pPr>
      <w:r>
        <w:rPr>
          <w:rFonts w:hint="eastAsia" w:cs="Times New Roman"/>
          <w:lang w:val="en-US" w:eastAsia="zh-CN"/>
        </w:rPr>
        <w:t>18、</w:t>
      </w:r>
      <w:r>
        <w:rPr>
          <w:rFonts w:hint="eastAsia" w:cs="Times New Roman"/>
          <w:lang w:val="zh-CN" w:eastAsia="zh-CN"/>
        </w:rPr>
        <w:t>工程施工时，投标人对周边建筑物、城市道路、树木、构筑物，电力设施、地下管线及各类成品等自行采取保护措施，并做好安全围护，由此产生的费用在报价中考虑。</w:t>
      </w:r>
    </w:p>
    <w:p w14:paraId="40E34D2C">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19、施工现场与城市道路之间的连接通道涉及绿化迁移、地下管线保护、道路硬化等所有相关事项由投标人负责，费用在安全文明措施费或者综合单价中考虑，结算不再增加。</w:t>
      </w:r>
    </w:p>
    <w:p w14:paraId="51706330">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20、混凝土浇筑方式、吊装方式费用请投标人在投标报价中综合考虑，中标后无论实际采用何种形式，均不调整综合单价。</w:t>
      </w:r>
    </w:p>
    <w:p w14:paraId="068DDBD7">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21、钢筋制作方式、钢筋笼吊装方式费用请投标人在投标报价中综合考虑，中标后无论实际采用何种形式，均不调整综合单价。</w:t>
      </w:r>
    </w:p>
    <w:p w14:paraId="17BEABE1">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22、本工程量清单措施项目是按通常项目列出，投标人根据招标文件、工程量清单、施工图纸、现场情况及自行编制的施工方案或施工组织设计，如需要其他措施费用的请在投标报价中考虑，结算不再增加其他措施费用。</w:t>
      </w:r>
    </w:p>
    <w:p w14:paraId="132F804A">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23、施工场地内由施工产生的所有土方应运到渣土消纳地点或发包人指定位置，不得在场地内随意堆放。由此发生的一切费用应在投标总价中考虑。</w:t>
      </w:r>
    </w:p>
    <w:p w14:paraId="3AE89C7F">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临时设施的搭建、临时道路的布设、机械人力分配、施工进度等均需在投标施工组织设计文件中予以明确，中标后进行优化调整并由发包人认可。若有临时设施的搬迁，承包人应在投标报价中充分考虑此项费用，结算时发包人将不就此进行任何费用的补贴。</w:t>
      </w:r>
    </w:p>
    <w:p w14:paraId="7D5E528F">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25、标化工地增加费金额详见招标清单，该费用在其他项目清单中按暂列金额单独列项，投标人按招标人提供的暂列金额报价，最终结算时，以结算造价人工费+机械费之和为取费基数乘以以上费率调整。</w:t>
      </w:r>
    </w:p>
    <w:p w14:paraId="1639BA9E">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26、投标人须根据工期要求合理安排进度，医用空气加压氧楼需要提前完工使用，在报价中考虑赶工费用，结算时不作调整。</w:t>
      </w:r>
    </w:p>
    <w:p w14:paraId="25018607">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27、投标报价应包含配合及辅助完成医院大型设备的安装，包括但不限于场地内运输吊装，墙体的拆除修复、装修装饰收口、封堵等费用。</w:t>
      </w:r>
    </w:p>
    <w:p w14:paraId="13B23B52">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28、验收涉及变配电、质监、节能（空气、水质等）、幕墙、规划（规划、房产、土地复核）、绿化、交警、消防、无障碍、环保等项目的配合验收费用（包括提供竣工图纸、资料等）由投标人在报价中考虑。</w:t>
      </w:r>
    </w:p>
    <w:p w14:paraId="1E622A36">
      <w:pPr>
        <w:numPr>
          <w:ilvl w:val="0"/>
          <w:numId w:val="0"/>
        </w:numPr>
        <w:spacing w:line="360" w:lineRule="auto"/>
        <w:ind w:firstLine="480" w:firstLineChars="200"/>
        <w:jc w:val="left"/>
        <w:rPr>
          <w:rFonts w:hint="default" w:cs="Times New Roman"/>
          <w:lang w:val="en-US" w:eastAsia="zh-CN"/>
        </w:rPr>
      </w:pPr>
      <w:r>
        <w:rPr>
          <w:rFonts w:hint="eastAsia" w:cs="Times New Roman"/>
          <w:lang w:val="en-US" w:eastAsia="zh-CN"/>
        </w:rPr>
        <w:t>29、门、窗、电梯洞口等洞口需要防火封堵、水泥砂浆封堵，电梯洞口需要铁皮加岩棉封堵，防火封堵、水泥砂浆封堵、铁皮加岩棉封堵所需费用由投标人在报价中考虑。</w:t>
      </w:r>
    </w:p>
    <w:p w14:paraId="7F4D315A">
      <w:pPr>
        <w:pStyle w:val="8"/>
      </w:pPr>
    </w:p>
    <w:p w14:paraId="78C11F10">
      <w:pPr>
        <w:numPr>
          <w:ilvl w:val="0"/>
          <w:numId w:val="0"/>
        </w:numPr>
        <w:ind w:firstLine="723" w:firstLineChars="300"/>
        <w:rPr>
          <w:rFonts w:cs="宋体"/>
        </w:rPr>
      </w:pPr>
      <w:r>
        <w:rPr>
          <w:rFonts w:hint="eastAsia" w:cs="宋体"/>
          <w:b/>
          <w:bCs/>
          <w:lang w:val="en-US" w:eastAsia="zh-CN"/>
        </w:rPr>
        <w:t>专业相关编制说明</w:t>
      </w:r>
    </w:p>
    <w:p w14:paraId="3B379D6E">
      <w:pPr>
        <w:numPr>
          <w:ilvl w:val="0"/>
          <w:numId w:val="3"/>
        </w:numPr>
        <w:ind w:firstLine="480"/>
        <w:rPr>
          <w:rFonts w:cs="宋体"/>
        </w:rPr>
      </w:pPr>
      <w:r>
        <w:rPr>
          <w:rFonts w:hint="eastAsia"/>
          <w:lang w:val="en-US" w:eastAsia="zh-CN"/>
        </w:rPr>
        <w:t>土方按照全部在原来的室外地坪-4.4挖下去考虑，开挖方式自行考虑</w:t>
      </w:r>
      <w:r>
        <w:rPr>
          <w:rFonts w:hint="eastAsia" w:cs="宋体"/>
        </w:rPr>
        <w:t>；</w:t>
      </w:r>
    </w:p>
    <w:p w14:paraId="12B5F2D4">
      <w:pPr>
        <w:pStyle w:val="8"/>
        <w:numPr>
          <w:ilvl w:val="0"/>
          <w:numId w:val="3"/>
        </w:numPr>
        <w:ind w:left="0" w:leftChars="0" w:firstLine="480" w:firstLineChars="200"/>
        <w:rPr>
          <w:rFonts w:hint="eastAsia" w:cs="宋体"/>
          <w:lang w:val="en-US" w:eastAsia="zh-CN"/>
        </w:rPr>
      </w:pPr>
      <w:r>
        <w:rPr>
          <w:rFonts w:hint="eastAsia" w:cs="宋体"/>
          <w:lang w:val="en-US" w:eastAsia="zh-CN"/>
        </w:rPr>
        <w:t>与原有结构连接，原有建筑物需要拆除，开孔及防火封堵需要有投标单位综合考虑；</w:t>
      </w:r>
    </w:p>
    <w:p w14:paraId="2B912BC5">
      <w:pPr>
        <w:pStyle w:val="8"/>
        <w:numPr>
          <w:ilvl w:val="0"/>
          <w:numId w:val="3"/>
        </w:numPr>
        <w:ind w:left="0" w:leftChars="0" w:firstLine="480" w:firstLineChars="200"/>
        <w:rPr>
          <w:rFonts w:cs="宋体"/>
        </w:rPr>
      </w:pPr>
      <w:r>
        <w:rPr>
          <w:rFonts w:hint="eastAsia" w:cs="宋体"/>
          <w:lang w:val="en-US" w:eastAsia="zh-CN"/>
        </w:rPr>
        <w:t>冰文隔墙甲方意见放入装修，此部分包含次材质隔墙范围内的门窗均未包含在本次预算范围内，图纸中原有窗拆除并砌筑墙体部分砌筑考虑在本次预算范围内；</w:t>
      </w:r>
    </w:p>
    <w:p w14:paraId="13216FC3">
      <w:pPr>
        <w:pStyle w:val="8"/>
        <w:numPr>
          <w:ilvl w:val="0"/>
          <w:numId w:val="3"/>
        </w:numPr>
        <w:ind w:left="0" w:leftChars="0" w:firstLine="480" w:firstLineChars="200"/>
        <w:rPr>
          <w:rFonts w:cs="宋体"/>
        </w:rPr>
      </w:pPr>
      <w:r>
        <w:rPr>
          <w:rFonts w:hint="eastAsia" w:cs="宋体"/>
          <w:lang w:val="en-US" w:eastAsia="zh-CN"/>
        </w:rPr>
        <w:t>卫生间装修仅考虑防水及基层，面层未考虑；</w:t>
      </w:r>
    </w:p>
    <w:p w14:paraId="5EE02320">
      <w:pPr>
        <w:pStyle w:val="8"/>
        <w:numPr>
          <w:ilvl w:val="0"/>
          <w:numId w:val="3"/>
        </w:numPr>
        <w:ind w:left="0" w:leftChars="0" w:firstLine="480" w:firstLineChars="200"/>
        <w:rPr>
          <w:rFonts w:cs="宋体"/>
        </w:rPr>
      </w:pPr>
      <w:r>
        <w:rPr>
          <w:rFonts w:hint="eastAsia" w:cs="宋体"/>
        </w:rPr>
        <w:t>门厅、电梯厅、楼梯前室地面均未包含在本次预算范围内</w:t>
      </w:r>
      <w:r>
        <w:rPr>
          <w:rFonts w:hint="eastAsia" w:cs="宋体"/>
          <w:lang w:eastAsia="zh-CN"/>
        </w:rPr>
        <w:t>；</w:t>
      </w:r>
    </w:p>
    <w:p w14:paraId="054287E4">
      <w:pPr>
        <w:pStyle w:val="8"/>
        <w:numPr>
          <w:ilvl w:val="0"/>
          <w:numId w:val="3"/>
        </w:numPr>
        <w:ind w:left="0" w:leftChars="0" w:firstLine="480" w:firstLineChars="200"/>
        <w:rPr>
          <w:rFonts w:cs="宋体"/>
        </w:rPr>
      </w:pPr>
      <w:r>
        <w:rPr>
          <w:rFonts w:hint="eastAsia" w:cs="宋体"/>
          <w:lang w:val="en-US" w:eastAsia="zh-CN"/>
        </w:rPr>
        <w:t>卫生间、茶水间、门厅电梯、非洁净区墙面均未包含在本次预算范围内；</w:t>
      </w:r>
    </w:p>
    <w:p w14:paraId="67AC1356">
      <w:pPr>
        <w:pStyle w:val="8"/>
        <w:numPr>
          <w:ilvl w:val="0"/>
          <w:numId w:val="3"/>
        </w:numPr>
        <w:ind w:left="0" w:leftChars="0" w:firstLine="480" w:firstLineChars="200"/>
        <w:rPr>
          <w:rFonts w:cs="宋体"/>
        </w:rPr>
      </w:pPr>
      <w:r>
        <w:rPr>
          <w:rFonts w:hint="eastAsia" w:cs="宋体"/>
        </w:rPr>
        <w:t>吊顶除了楼梯间、设备平台涂料顶棚外，</w:t>
      </w:r>
      <w:r>
        <w:rPr>
          <w:rFonts w:hint="eastAsia" w:cs="宋体"/>
          <w:lang w:val="en-US" w:eastAsia="zh-CN"/>
        </w:rPr>
        <w:t>其他</w:t>
      </w:r>
      <w:r>
        <w:rPr>
          <w:rFonts w:hint="eastAsia" w:cs="宋体"/>
        </w:rPr>
        <w:t>区域均未包含在本次预算范围内</w:t>
      </w:r>
      <w:r>
        <w:rPr>
          <w:rFonts w:hint="eastAsia" w:cs="宋体"/>
          <w:lang w:eastAsia="zh-CN"/>
        </w:rPr>
        <w:t>；</w:t>
      </w:r>
    </w:p>
    <w:p w14:paraId="1DE6156F">
      <w:pPr>
        <w:pStyle w:val="8"/>
        <w:numPr>
          <w:ilvl w:val="0"/>
          <w:numId w:val="3"/>
        </w:numPr>
        <w:ind w:left="0" w:leftChars="0" w:firstLine="480" w:firstLineChars="200"/>
        <w:rPr>
          <w:rFonts w:cs="宋体"/>
        </w:rPr>
      </w:pPr>
      <w:r>
        <w:rPr>
          <w:rFonts w:hint="eastAsia" w:cs="宋体"/>
          <w:lang w:val="en-US" w:eastAsia="zh-CN"/>
        </w:rPr>
        <w:t>踢脚线仅考虑楼梯间区域，其他区域踢脚线均未包含在本次预算范围内；</w:t>
      </w:r>
    </w:p>
    <w:p w14:paraId="1B7AFBB1">
      <w:pPr>
        <w:pStyle w:val="8"/>
        <w:numPr>
          <w:ilvl w:val="0"/>
          <w:numId w:val="3"/>
        </w:numPr>
        <w:ind w:left="0" w:leftChars="0" w:firstLine="480" w:firstLineChars="200"/>
        <w:rPr>
          <w:rFonts w:cs="宋体"/>
        </w:rPr>
      </w:pPr>
      <w:r>
        <w:rPr>
          <w:rFonts w:hint="eastAsia" w:cs="宋体"/>
          <w:lang w:val="en-US" w:eastAsia="zh-CN"/>
        </w:rPr>
        <w:t>楼面5,PVC地板由于范围详见装修图，所以未包含在本次预算范围内；</w:t>
      </w:r>
    </w:p>
    <w:p w14:paraId="6CB38CEE">
      <w:pPr>
        <w:pStyle w:val="8"/>
        <w:numPr>
          <w:ilvl w:val="0"/>
          <w:numId w:val="3"/>
        </w:numPr>
        <w:ind w:left="0" w:leftChars="0" w:firstLine="480" w:firstLineChars="200"/>
        <w:rPr>
          <w:rFonts w:cs="宋体"/>
        </w:rPr>
      </w:pPr>
      <w:r>
        <w:rPr>
          <w:rFonts w:hint="eastAsia" w:cs="宋体"/>
          <w:lang w:val="en-US" w:eastAsia="zh-CN"/>
        </w:rPr>
        <w:t>墙面仅计算建筑说明范围的基层及面层，建筑说明未说明部分新建墙体装饰未包含在本次预算范围内，图纸中有范围详见装修说明的部分均未包含在本次预算范围内；</w:t>
      </w:r>
    </w:p>
    <w:p w14:paraId="6D31640B">
      <w:pPr>
        <w:pStyle w:val="8"/>
        <w:numPr>
          <w:ilvl w:val="0"/>
          <w:numId w:val="3"/>
        </w:numPr>
        <w:ind w:left="0" w:leftChars="0" w:firstLine="480" w:firstLineChars="200"/>
        <w:rPr>
          <w:rFonts w:cs="宋体"/>
        </w:rPr>
      </w:pPr>
      <w:r>
        <w:rPr>
          <w:rFonts w:hint="eastAsia" w:cs="宋体"/>
          <w:lang w:val="en-US" w:eastAsia="zh-CN"/>
        </w:rPr>
        <w:t>桩长按照设计要求8m计入；</w:t>
      </w:r>
      <w:bookmarkStart w:id="1" w:name="_GoBack"/>
      <w:bookmarkEnd w:id="1"/>
    </w:p>
    <w:p w14:paraId="3785D941">
      <w:pPr>
        <w:pStyle w:val="8"/>
        <w:numPr>
          <w:ilvl w:val="0"/>
          <w:numId w:val="3"/>
        </w:numPr>
        <w:ind w:left="0" w:leftChars="0" w:firstLine="480" w:firstLineChars="200"/>
        <w:rPr>
          <w:rFonts w:cs="宋体"/>
        </w:rPr>
      </w:pPr>
      <w:r>
        <w:rPr>
          <w:rFonts w:hint="eastAsia" w:cs="宋体"/>
          <w:lang w:val="en-US" w:eastAsia="zh-CN"/>
        </w:rPr>
        <w:t>暂列金额按照200000考虑，投标时不作调整；</w:t>
      </w:r>
    </w:p>
    <w:p w14:paraId="5E52DE0C">
      <w:pPr>
        <w:pStyle w:val="8"/>
        <w:numPr>
          <w:ilvl w:val="0"/>
          <w:numId w:val="3"/>
        </w:numPr>
        <w:ind w:left="0" w:leftChars="0" w:firstLine="480" w:firstLineChars="200"/>
        <w:rPr>
          <w:rFonts w:hint="eastAsia" w:ascii="宋体" w:hAnsi="宋体" w:eastAsia="宋体" w:cs="宋体"/>
          <w:lang w:val="en-US" w:eastAsia="zh-CN"/>
        </w:rPr>
      </w:pPr>
      <w:r>
        <w:rPr>
          <w:rFonts w:hint="eastAsia" w:ascii="宋体" w:hAnsi="宋体" w:eastAsia="宋体" w:cs="宋体"/>
          <w:lang w:val="en-US" w:eastAsia="zh-CN"/>
        </w:rPr>
        <w:t>清单及控制价内未明确，但批复文件、招标文件、初步设计及图纸中已包含事项均在本次投标报价范围内；</w:t>
      </w:r>
    </w:p>
    <w:p w14:paraId="769DA6AA">
      <w:pPr>
        <w:numPr>
          <w:ilvl w:val="0"/>
          <w:numId w:val="0"/>
        </w:numPr>
        <w:spacing w:line="360" w:lineRule="auto"/>
        <w:ind w:firstLine="480" w:firstLineChars="200"/>
        <w:jc w:val="left"/>
        <w:rPr>
          <w:rFonts w:hint="eastAsia" w:cs="Times New Roman"/>
          <w:lang w:val="en-US" w:eastAsia="zh-CN"/>
        </w:rPr>
      </w:pPr>
      <w:r>
        <w:rPr>
          <w:rFonts w:hint="eastAsia" w:cs="Times New Roman"/>
          <w:lang w:val="en-US" w:eastAsia="zh-CN"/>
        </w:rPr>
        <w:t>九、主要材料（设备）品牌要求选择一览表</w:t>
      </w:r>
    </w:p>
    <w:p w14:paraId="45B62059">
      <w:pPr>
        <w:numPr>
          <w:ilvl w:val="0"/>
          <w:numId w:val="0"/>
        </w:numPr>
        <w:spacing w:line="360" w:lineRule="auto"/>
        <w:ind w:firstLine="480" w:firstLineChars="200"/>
        <w:jc w:val="left"/>
        <w:rPr>
          <w:rFonts w:hint="eastAsia" w:cs="Times New Roman"/>
          <w:lang w:val="en-US" w:eastAsia="zh-CN"/>
        </w:rPr>
      </w:pPr>
      <w:bookmarkStart w:id="0" w:name="_Hlk124932804"/>
      <w:r>
        <w:rPr>
          <w:rFonts w:hint="eastAsia" w:cs="Times New Roman"/>
          <w:lang w:val="en-US" w:eastAsia="zh-CN"/>
        </w:rPr>
        <w:t>详见招标文件。</w:t>
      </w:r>
    </w:p>
    <w:p w14:paraId="3CE982E0">
      <w:pPr>
        <w:pStyle w:val="8"/>
        <w:numPr>
          <w:ilvl w:val="0"/>
          <w:numId w:val="0"/>
        </w:numPr>
        <w:ind w:leftChars="200"/>
        <w:rPr>
          <w:rFonts w:hint="eastAsia" w:ascii="宋体" w:hAnsi="宋体" w:eastAsia="宋体" w:cs="宋体"/>
          <w:lang w:val="en-US" w:eastAsia="zh-CN"/>
        </w:rPr>
      </w:pPr>
      <w:r>
        <w:rPr>
          <w:rFonts w:hint="eastAsia" w:cs="Times New Roman"/>
          <w:lang w:val="en-US" w:eastAsia="zh-CN"/>
        </w:rPr>
        <w:t>注：投标人在投标报价时应选用推荐品牌或相当于推荐品牌的产品，并明确注明所选材料的一个品牌。若选用了推荐品牌外的产品，应同时提供相当于推荐品牌产品第三方权威证明材料（若未提供或提供的材料不能证明其相当于推荐品牌产品，其投标将被否决）。若投标人在投标文件中选定多个品牌或未选定品牌，则在施工时发包人有权从推荐生产厂或品牌中选择其中一种品牌，由施工单位购买施工。</w:t>
      </w:r>
      <w:bookmarkEnd w:id="0"/>
    </w:p>
    <w:p w14:paraId="5BA18728">
      <w:pPr>
        <w:pStyle w:val="8"/>
        <w:numPr>
          <w:ilvl w:val="0"/>
          <w:numId w:val="0"/>
        </w:numPr>
        <w:ind w:leftChars="200"/>
        <w:rPr>
          <w:rFonts w:hint="eastAsia" w:ascii="宋体" w:hAnsi="宋体" w:eastAsia="宋体" w:cs="宋体"/>
          <w:lang w:val="en-US"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200" w:right="1466" w:bottom="1238" w:left="156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442EB">
    <w:pPr>
      <w:pStyle w:val="4"/>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8AC350">
                          <w:pPr>
                            <w:pStyle w:val="4"/>
                            <w:ind w:firstLine="36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78AC350">
                    <w:pPr>
                      <w:pStyle w:val="4"/>
                      <w:ind w:firstLine="36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8A9D3">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8A065">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75A2E">
    <w:pPr>
      <w:pStyle w:val="5"/>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4A930">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28573">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CD152"/>
    <w:multiLevelType w:val="singleLevel"/>
    <w:tmpl w:val="8E8CD152"/>
    <w:lvl w:ilvl="0" w:tentative="0">
      <w:start w:val="1"/>
      <w:numFmt w:val="decimal"/>
      <w:suff w:val="nothing"/>
      <w:lvlText w:val="%1、"/>
      <w:lvlJc w:val="left"/>
    </w:lvl>
  </w:abstractNum>
  <w:abstractNum w:abstractNumId="1">
    <w:nsid w:val="F8E5A318"/>
    <w:multiLevelType w:val="singleLevel"/>
    <w:tmpl w:val="F8E5A318"/>
    <w:lvl w:ilvl="0" w:tentative="0">
      <w:start w:val="1"/>
      <w:numFmt w:val="decimal"/>
      <w:suff w:val="nothing"/>
      <w:lvlText w:val="%1、"/>
      <w:lvlJc w:val="left"/>
    </w:lvl>
  </w:abstractNum>
  <w:abstractNum w:abstractNumId="2">
    <w:nsid w:val="2FF26428"/>
    <w:multiLevelType w:val="singleLevel"/>
    <w:tmpl w:val="2FF26428"/>
    <w:lvl w:ilvl="0" w:tentative="0">
      <w:start w:val="1"/>
      <w:numFmt w:val="chineseCounting"/>
      <w:suff w:val="nothing"/>
      <w:lvlText w:val="%1、"/>
      <w:lvlJc w:val="left"/>
      <w:pPr>
        <w:ind w:left="-82"/>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MzQ4YTBhNTU5MDg5ZWFmNDQwYWZhMDg2MGMxNGYifQ=="/>
  </w:docVars>
  <w:rsids>
    <w:rsidRoot w:val="4E7144C7"/>
    <w:rsid w:val="00687EB1"/>
    <w:rsid w:val="008E7FA1"/>
    <w:rsid w:val="00A76DAE"/>
    <w:rsid w:val="00D20B4D"/>
    <w:rsid w:val="00FE26FA"/>
    <w:rsid w:val="01C5180D"/>
    <w:rsid w:val="01EE19B6"/>
    <w:rsid w:val="0261682B"/>
    <w:rsid w:val="03A8722C"/>
    <w:rsid w:val="04C978E5"/>
    <w:rsid w:val="04CD54A2"/>
    <w:rsid w:val="05AF2C70"/>
    <w:rsid w:val="07674ADC"/>
    <w:rsid w:val="07866B42"/>
    <w:rsid w:val="083727C0"/>
    <w:rsid w:val="08B350E5"/>
    <w:rsid w:val="08C904C0"/>
    <w:rsid w:val="0A25381E"/>
    <w:rsid w:val="0A4758C7"/>
    <w:rsid w:val="0B696551"/>
    <w:rsid w:val="0BF56540"/>
    <w:rsid w:val="0C525237"/>
    <w:rsid w:val="0D2E77AC"/>
    <w:rsid w:val="0DE20B65"/>
    <w:rsid w:val="0E48745E"/>
    <w:rsid w:val="0F2826E6"/>
    <w:rsid w:val="0F4E66A7"/>
    <w:rsid w:val="0FB35FED"/>
    <w:rsid w:val="102B125B"/>
    <w:rsid w:val="11B55FE6"/>
    <w:rsid w:val="11DA29FD"/>
    <w:rsid w:val="12331667"/>
    <w:rsid w:val="12C624DB"/>
    <w:rsid w:val="140108B7"/>
    <w:rsid w:val="1476233D"/>
    <w:rsid w:val="14847F58"/>
    <w:rsid w:val="15AE34DE"/>
    <w:rsid w:val="15C643BD"/>
    <w:rsid w:val="15DF17BC"/>
    <w:rsid w:val="160D0CB2"/>
    <w:rsid w:val="18FA0260"/>
    <w:rsid w:val="19F10041"/>
    <w:rsid w:val="1B972C67"/>
    <w:rsid w:val="1BFF2D22"/>
    <w:rsid w:val="1CE752C2"/>
    <w:rsid w:val="1D9D0C59"/>
    <w:rsid w:val="1E0068A1"/>
    <w:rsid w:val="1F170346"/>
    <w:rsid w:val="1FC102B2"/>
    <w:rsid w:val="20FC6F0C"/>
    <w:rsid w:val="22E67478"/>
    <w:rsid w:val="236D2FDD"/>
    <w:rsid w:val="238E6718"/>
    <w:rsid w:val="24083A1E"/>
    <w:rsid w:val="24AE45F8"/>
    <w:rsid w:val="263050A9"/>
    <w:rsid w:val="26347A30"/>
    <w:rsid w:val="263D16C0"/>
    <w:rsid w:val="269A7141"/>
    <w:rsid w:val="26FF3594"/>
    <w:rsid w:val="278C1FFF"/>
    <w:rsid w:val="27FC27CF"/>
    <w:rsid w:val="2A1166B8"/>
    <w:rsid w:val="2A28427F"/>
    <w:rsid w:val="2A2F60AB"/>
    <w:rsid w:val="2A30329D"/>
    <w:rsid w:val="2A5306A1"/>
    <w:rsid w:val="2B0354FD"/>
    <w:rsid w:val="2B7F4BB3"/>
    <w:rsid w:val="2BBB64FD"/>
    <w:rsid w:val="2C1B72C0"/>
    <w:rsid w:val="2CE70943"/>
    <w:rsid w:val="2E1011AF"/>
    <w:rsid w:val="2E232956"/>
    <w:rsid w:val="2EB94C60"/>
    <w:rsid w:val="2F1E0F22"/>
    <w:rsid w:val="2FB8269C"/>
    <w:rsid w:val="317C04DD"/>
    <w:rsid w:val="31803E7D"/>
    <w:rsid w:val="31E83421"/>
    <w:rsid w:val="3247381B"/>
    <w:rsid w:val="330F07D0"/>
    <w:rsid w:val="33140E2E"/>
    <w:rsid w:val="333164E8"/>
    <w:rsid w:val="339E50AA"/>
    <w:rsid w:val="33EE06E5"/>
    <w:rsid w:val="34936269"/>
    <w:rsid w:val="34F03EB1"/>
    <w:rsid w:val="350A5FCC"/>
    <w:rsid w:val="35154320"/>
    <w:rsid w:val="35830A29"/>
    <w:rsid w:val="35B4773C"/>
    <w:rsid w:val="360C2337"/>
    <w:rsid w:val="36204C48"/>
    <w:rsid w:val="364C54F8"/>
    <w:rsid w:val="367819C0"/>
    <w:rsid w:val="388256CC"/>
    <w:rsid w:val="392957CA"/>
    <w:rsid w:val="39D50DFD"/>
    <w:rsid w:val="3AD27E00"/>
    <w:rsid w:val="3C607499"/>
    <w:rsid w:val="3CCC60D2"/>
    <w:rsid w:val="3D3D6D72"/>
    <w:rsid w:val="3DBD6E92"/>
    <w:rsid w:val="3F8B2D98"/>
    <w:rsid w:val="4155156D"/>
    <w:rsid w:val="4165555F"/>
    <w:rsid w:val="43A22025"/>
    <w:rsid w:val="43F122BD"/>
    <w:rsid w:val="4464552C"/>
    <w:rsid w:val="44A1408B"/>
    <w:rsid w:val="44DE1EC5"/>
    <w:rsid w:val="44F468B0"/>
    <w:rsid w:val="458137D7"/>
    <w:rsid w:val="45C54E48"/>
    <w:rsid w:val="468D6445"/>
    <w:rsid w:val="46EF5641"/>
    <w:rsid w:val="47FB487A"/>
    <w:rsid w:val="484A67E7"/>
    <w:rsid w:val="486508D7"/>
    <w:rsid w:val="48AF67A1"/>
    <w:rsid w:val="48D95FCD"/>
    <w:rsid w:val="48DB7C50"/>
    <w:rsid w:val="49533CD6"/>
    <w:rsid w:val="495C28B3"/>
    <w:rsid w:val="49817EE3"/>
    <w:rsid w:val="4ACA7DC0"/>
    <w:rsid w:val="4B4F0C42"/>
    <w:rsid w:val="4B79263D"/>
    <w:rsid w:val="4C303EF8"/>
    <w:rsid w:val="4C4C0576"/>
    <w:rsid w:val="4CE92A73"/>
    <w:rsid w:val="4D4D00E6"/>
    <w:rsid w:val="4D9F7661"/>
    <w:rsid w:val="4DCB7593"/>
    <w:rsid w:val="4E3A51C8"/>
    <w:rsid w:val="4E4B7C50"/>
    <w:rsid w:val="4E7144C7"/>
    <w:rsid w:val="4ED676B8"/>
    <w:rsid w:val="4EED7320"/>
    <w:rsid w:val="50DE6E6A"/>
    <w:rsid w:val="51FF0D06"/>
    <w:rsid w:val="52640BA2"/>
    <w:rsid w:val="540A58B9"/>
    <w:rsid w:val="54775CDD"/>
    <w:rsid w:val="54AB7028"/>
    <w:rsid w:val="55993812"/>
    <w:rsid w:val="569A4D19"/>
    <w:rsid w:val="5713171F"/>
    <w:rsid w:val="582E1C82"/>
    <w:rsid w:val="583E465D"/>
    <w:rsid w:val="58532ADE"/>
    <w:rsid w:val="593A11AC"/>
    <w:rsid w:val="594700E3"/>
    <w:rsid w:val="5A1708CA"/>
    <w:rsid w:val="5A456A1C"/>
    <w:rsid w:val="5A7F4896"/>
    <w:rsid w:val="5BD7302A"/>
    <w:rsid w:val="5D03708F"/>
    <w:rsid w:val="5DE21BAF"/>
    <w:rsid w:val="5E967475"/>
    <w:rsid w:val="5F0F330E"/>
    <w:rsid w:val="600A7436"/>
    <w:rsid w:val="600C46B1"/>
    <w:rsid w:val="6114510C"/>
    <w:rsid w:val="6155425E"/>
    <w:rsid w:val="617C52C4"/>
    <w:rsid w:val="6197158B"/>
    <w:rsid w:val="61C74F1A"/>
    <w:rsid w:val="6225760C"/>
    <w:rsid w:val="622D4A42"/>
    <w:rsid w:val="62C11DD3"/>
    <w:rsid w:val="630C207A"/>
    <w:rsid w:val="639F30FF"/>
    <w:rsid w:val="63D859EF"/>
    <w:rsid w:val="64D758D2"/>
    <w:rsid w:val="64F81930"/>
    <w:rsid w:val="65181CEF"/>
    <w:rsid w:val="65A615C1"/>
    <w:rsid w:val="65B64142"/>
    <w:rsid w:val="65E949C9"/>
    <w:rsid w:val="65FE68BD"/>
    <w:rsid w:val="66E5438A"/>
    <w:rsid w:val="66EC3434"/>
    <w:rsid w:val="67495F96"/>
    <w:rsid w:val="68B03FED"/>
    <w:rsid w:val="68B1654A"/>
    <w:rsid w:val="68F82147"/>
    <w:rsid w:val="6AD8089B"/>
    <w:rsid w:val="6C182A6B"/>
    <w:rsid w:val="6C78592B"/>
    <w:rsid w:val="6CE36F20"/>
    <w:rsid w:val="6D576E7A"/>
    <w:rsid w:val="6DB26845"/>
    <w:rsid w:val="6DC92ECC"/>
    <w:rsid w:val="6E6E2CE4"/>
    <w:rsid w:val="6E7756A8"/>
    <w:rsid w:val="6E817EA6"/>
    <w:rsid w:val="6F4D589E"/>
    <w:rsid w:val="6F69368D"/>
    <w:rsid w:val="70792CEA"/>
    <w:rsid w:val="70A82677"/>
    <w:rsid w:val="70FD31D6"/>
    <w:rsid w:val="717F3719"/>
    <w:rsid w:val="71810C1C"/>
    <w:rsid w:val="73D43285"/>
    <w:rsid w:val="74114C05"/>
    <w:rsid w:val="763D1646"/>
    <w:rsid w:val="765522B6"/>
    <w:rsid w:val="76D82F38"/>
    <w:rsid w:val="77776A9C"/>
    <w:rsid w:val="77EC47F5"/>
    <w:rsid w:val="78262C9E"/>
    <w:rsid w:val="78970037"/>
    <w:rsid w:val="79EB5B7E"/>
    <w:rsid w:val="7A76645A"/>
    <w:rsid w:val="7AAF67FA"/>
    <w:rsid w:val="7B2F4D6B"/>
    <w:rsid w:val="7B7976D3"/>
    <w:rsid w:val="7BA563D4"/>
    <w:rsid w:val="7BF274D9"/>
    <w:rsid w:val="7C3E46CE"/>
    <w:rsid w:val="7D1821BE"/>
    <w:rsid w:val="7D1F634C"/>
    <w:rsid w:val="7DEB3AAD"/>
    <w:rsid w:val="7E731854"/>
    <w:rsid w:val="7EB676B9"/>
    <w:rsid w:val="7F4C3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562" w:firstLineChars="200"/>
      <w:jc w:val="both"/>
    </w:pPr>
    <w:rPr>
      <w:rFonts w:ascii="宋体" w:hAnsi="宋体" w:eastAsia="宋体" w:cs="Times New Roman"/>
      <w:kern w:val="2"/>
      <w:sz w:val="24"/>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ind w:left="520"/>
    </w:pPr>
  </w:style>
  <w:style w:type="paragraph" w:styleId="3">
    <w:name w:val="Plain Text"/>
    <w:basedOn w:val="1"/>
    <w:qFormat/>
    <w:uiPriority w:val="0"/>
    <w:rPr>
      <w:rFonts w:ascii="宋体" w:hAnsi="Courier New" w:cs="Courier New"/>
      <w:szCs w:val="21"/>
    </w:rPr>
  </w:style>
  <w:style w:type="paragraph" w:styleId="4">
    <w:name w:val="footer"/>
    <w:basedOn w:val="1"/>
    <w:autoRedefine/>
    <w:qFormat/>
    <w:uiPriority w:val="0"/>
    <w:pPr>
      <w:tabs>
        <w:tab w:val="center" w:pos="4153"/>
        <w:tab w:val="right" w:pos="8306"/>
      </w:tabs>
      <w:snapToGrid w:val="0"/>
      <w:spacing w:line="240" w:lineRule="auto"/>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toc 1"/>
    <w:basedOn w:val="1"/>
    <w:next w:val="1"/>
    <w:autoRedefine/>
    <w:unhideWhenUsed/>
    <w:qFormat/>
    <w:uiPriority w:val="39"/>
    <w:pPr>
      <w:widowControl/>
      <w:spacing w:after="100" w:line="259" w:lineRule="auto"/>
    </w:pPr>
    <w:rPr>
      <w:rFonts w:ascii="等线" w:hAnsi="等线" w:eastAsia="等线"/>
      <w:sz w:val="22"/>
      <w:szCs w:val="22"/>
    </w:rPr>
  </w:style>
  <w:style w:type="paragraph" w:styleId="7">
    <w:name w:val="Normal (Web)"/>
    <w:basedOn w:val="1"/>
    <w:autoRedefine/>
    <w:qFormat/>
    <w:uiPriority w:val="0"/>
    <w:pPr>
      <w:spacing w:beforeAutospacing="1" w:afterAutospacing="1"/>
      <w:jc w:val="left"/>
    </w:pPr>
    <w:rPr>
      <w:kern w:val="0"/>
    </w:rPr>
  </w:style>
  <w:style w:type="paragraph" w:styleId="8">
    <w:name w:val="Body Text First Indent"/>
    <w:basedOn w:val="2"/>
    <w:unhideWhenUsed/>
    <w:qFormat/>
    <w:uiPriority w:val="99"/>
    <w:pPr>
      <w:ind w:firstLine="420" w:firstLineChars="100"/>
    </w:pPr>
  </w:style>
  <w:style w:type="paragraph" w:customStyle="1" w:styleId="11">
    <w:name w:val="目录 11"/>
    <w:basedOn w:val="1"/>
    <w:next w:val="1"/>
    <w:autoRedefine/>
    <w:unhideWhenUsed/>
    <w:qFormat/>
    <w:uiPriority w:val="0"/>
    <w:pPr>
      <w:widowControl/>
      <w:spacing w:after="100" w:line="259" w:lineRule="auto"/>
    </w:pPr>
    <w:rPr>
      <w:rFonts w:ascii="等线" w:hAnsi="等线" w:eastAsia="等线"/>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5892</Words>
  <Characters>6216</Characters>
  <Lines>19</Lines>
  <Paragraphs>5</Paragraphs>
  <TotalTime>1</TotalTime>
  <ScaleCrop>false</ScaleCrop>
  <LinksUpToDate>false</LinksUpToDate>
  <CharactersWithSpaces>6236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2023-03-20T15:01:00Z</dcterms:created>
  <dc:creator>印象梧桐</dc:creator>
  <cp:lastModifiedBy>刘艳萍</cp:lastModifiedBy>
  <dcterms:modified xsi:type="dcterms:W3CDTF">2025-08-25T13:25:08Z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1F82D1205E4041B6B0BB41B817AEBAFA_11</vt:lpwstr>
  </property>
  <property fmtid="{D5CDD505-2E9C-101B-9397-08002B2CF9AE}" pid="4" name="KSOTemplateDocerSaveRecord">
    <vt:lpwstr>eyJoZGlkIjoiM2Q2MzQ4YTBhNTU5MDg5ZWFmNDQwYWZhMDg2MGMxNGYiLCJ1c2VySWQiOiIyNzEzNzg5ODUifQ==</vt:lpwstr>
  </property>
</Properties>
</file>