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1EE60">
      <w:pPr>
        <w:pStyle w:val="2"/>
        <w:jc w:val="center"/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 w:eastAsiaTheme="minorEastAsia"/>
          <w:sz w:val="44"/>
          <w:szCs w:val="44"/>
          <w:lang w:val="en-US" w:eastAsia="zh-CN"/>
        </w:rPr>
        <w:t>产品要求</w:t>
      </w:r>
    </w:p>
    <w:p w14:paraId="6572DE7A">
      <w:pPr>
        <w:pStyle w:val="2"/>
        <w:rPr>
          <w:rFonts w:hint="eastAsia" w:eastAsiaTheme="minorEastAsia"/>
        </w:rPr>
      </w:pPr>
      <w:r>
        <w:rPr>
          <w:rFonts w:hint="eastAsia" w:eastAsiaTheme="minorEastAsia"/>
        </w:rPr>
        <w:t>特定蛋白五项主要包含在：新病人免疫及免疫球蛋白五项套餐内</w:t>
      </w:r>
    </w:p>
    <w:tbl>
      <w:tblPr>
        <w:tblStyle w:val="7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7"/>
        <w:gridCol w:w="1916"/>
        <w:gridCol w:w="2644"/>
        <w:gridCol w:w="2253"/>
      </w:tblGrid>
      <w:tr w14:paraId="2ED6A5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477" w:type="dxa"/>
            <w:tcBorders>
              <w:top w:val="single" w:color="7B8187" w:sz="6" w:space="0"/>
              <w:left w:val="single" w:color="7B8187" w:sz="6" w:space="0"/>
              <w:bottom w:val="single" w:color="7B8187" w:sz="6" w:space="0"/>
              <w:right w:val="single" w:color="7B8187" w:sz="6" w:space="0"/>
            </w:tcBorders>
            <w:shd w:val="clear" w:color="auto" w:fill="FFFFFF"/>
            <w:vAlign w:val="center"/>
          </w:tcPr>
          <w:p w14:paraId="1DF7005D">
            <w:pPr>
              <w:pStyle w:val="6"/>
              <w:spacing w:beforeAutospacing="0" w:afterAutospacing="0" w:line="18" w:lineRule="atLeas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标项号</w:t>
            </w:r>
          </w:p>
        </w:tc>
        <w:tc>
          <w:tcPr>
            <w:tcW w:w="1916" w:type="dxa"/>
            <w:tcBorders>
              <w:top w:val="single" w:color="7B8187" w:sz="6" w:space="0"/>
              <w:left w:val="single" w:color="7B8187" w:sz="6" w:space="0"/>
              <w:bottom w:val="single" w:color="7B8187" w:sz="6" w:space="0"/>
              <w:right w:val="single" w:color="7B8187" w:sz="6" w:space="0"/>
            </w:tcBorders>
            <w:shd w:val="clear" w:color="auto" w:fill="FFFFFF"/>
            <w:vAlign w:val="center"/>
          </w:tcPr>
          <w:p w14:paraId="70F05675">
            <w:pPr>
              <w:pStyle w:val="6"/>
              <w:spacing w:beforeAutospacing="0" w:afterAutospacing="0" w:line="18" w:lineRule="atLeas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检测项目</w:t>
            </w:r>
          </w:p>
        </w:tc>
        <w:tc>
          <w:tcPr>
            <w:tcW w:w="2644" w:type="dxa"/>
            <w:tcBorders>
              <w:top w:val="single" w:color="7B8187" w:sz="6" w:space="0"/>
              <w:left w:val="single" w:color="7B8187" w:sz="6" w:space="0"/>
              <w:bottom w:val="single" w:color="7B8187" w:sz="6" w:space="0"/>
              <w:right w:val="single" w:color="7B8187" w:sz="6" w:space="0"/>
            </w:tcBorders>
            <w:shd w:val="clear" w:color="auto" w:fill="FFFFFF"/>
            <w:vAlign w:val="center"/>
          </w:tcPr>
          <w:p w14:paraId="719A54D3">
            <w:pPr>
              <w:pStyle w:val="6"/>
              <w:spacing w:beforeAutospacing="0" w:afterAutospacing="0" w:line="18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产品名称</w:t>
            </w:r>
          </w:p>
        </w:tc>
        <w:tc>
          <w:tcPr>
            <w:tcW w:w="2253" w:type="dxa"/>
            <w:tcBorders>
              <w:top w:val="single" w:color="7B8187" w:sz="6" w:space="0"/>
              <w:left w:val="single" w:color="7B8187" w:sz="6" w:space="0"/>
              <w:bottom w:val="single" w:color="7B8187" w:sz="6" w:space="0"/>
              <w:right w:val="single" w:color="7B8187" w:sz="6" w:space="0"/>
            </w:tcBorders>
            <w:shd w:val="clear" w:color="auto" w:fill="FFFFFF"/>
            <w:vAlign w:val="center"/>
          </w:tcPr>
          <w:p w14:paraId="48DF7A2D">
            <w:pPr>
              <w:pStyle w:val="6"/>
              <w:spacing w:beforeAutospacing="0" w:afterAutospacing="0" w:line="18" w:lineRule="atLeas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预估单台每年平均测试数</w:t>
            </w:r>
          </w:p>
        </w:tc>
      </w:tr>
      <w:tr w14:paraId="26CA89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477" w:type="dxa"/>
            <w:tcBorders>
              <w:top w:val="single" w:color="7B8187" w:sz="6" w:space="0"/>
              <w:left w:val="single" w:color="7B8187" w:sz="6" w:space="0"/>
              <w:bottom w:val="single" w:color="7B8187" w:sz="6" w:space="0"/>
              <w:right w:val="single" w:color="7B8187" w:sz="6" w:space="0"/>
            </w:tcBorders>
            <w:shd w:val="clear" w:color="auto" w:fill="FFFFFF"/>
            <w:vAlign w:val="center"/>
          </w:tcPr>
          <w:p w14:paraId="379602A3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0827-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6" w:type="dxa"/>
            <w:tcBorders>
              <w:top w:val="single" w:color="7B8187" w:sz="6" w:space="0"/>
              <w:left w:val="single" w:color="7B8187" w:sz="6" w:space="0"/>
              <w:bottom w:val="single" w:color="7B8187" w:sz="6" w:space="0"/>
              <w:right w:val="single" w:color="7B8187" w:sz="6" w:space="0"/>
            </w:tcBorders>
            <w:shd w:val="clear" w:color="auto" w:fill="FFFFFF"/>
            <w:vAlign w:val="center"/>
          </w:tcPr>
          <w:p w14:paraId="7F3F88DD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补体C3</w:t>
            </w:r>
          </w:p>
        </w:tc>
        <w:tc>
          <w:tcPr>
            <w:tcW w:w="2644" w:type="dxa"/>
            <w:tcBorders>
              <w:top w:val="single" w:color="7B8187" w:sz="6" w:space="0"/>
              <w:left w:val="single" w:color="7B8187" w:sz="6" w:space="0"/>
              <w:bottom w:val="single" w:color="7B8187" w:sz="6" w:space="0"/>
              <w:right w:val="single" w:color="7B8187" w:sz="6" w:space="0"/>
            </w:tcBorders>
            <w:shd w:val="clear" w:color="auto" w:fill="FFFFFF"/>
            <w:vAlign w:val="center"/>
          </w:tcPr>
          <w:p w14:paraId="23BFB40D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补体C3测定试剂盒</w:t>
            </w:r>
          </w:p>
        </w:tc>
        <w:tc>
          <w:tcPr>
            <w:tcW w:w="2253" w:type="dxa"/>
            <w:vMerge w:val="restart"/>
            <w:tcBorders>
              <w:top w:val="single" w:color="7B8187" w:sz="6" w:space="0"/>
              <w:left w:val="single" w:color="7B8187" w:sz="6" w:space="0"/>
              <w:right w:val="single" w:color="7B8187" w:sz="6" w:space="0"/>
            </w:tcBorders>
            <w:shd w:val="clear" w:color="auto" w:fill="FFFFFF"/>
            <w:vAlign w:val="center"/>
          </w:tcPr>
          <w:p w14:paraId="585666D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26000</w:t>
            </w:r>
          </w:p>
        </w:tc>
      </w:tr>
      <w:tr w14:paraId="634271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477" w:type="dxa"/>
            <w:tcBorders>
              <w:top w:val="single" w:color="7B8187" w:sz="6" w:space="0"/>
              <w:left w:val="single" w:color="7B8187" w:sz="6" w:space="0"/>
              <w:bottom w:val="single" w:color="7B8187" w:sz="6" w:space="0"/>
              <w:right w:val="single" w:color="7B8187" w:sz="6" w:space="0"/>
            </w:tcBorders>
            <w:shd w:val="clear" w:color="auto" w:fill="FFFFFF"/>
            <w:vAlign w:val="center"/>
          </w:tcPr>
          <w:p w14:paraId="65267C90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0827-2</w:t>
            </w:r>
          </w:p>
        </w:tc>
        <w:tc>
          <w:tcPr>
            <w:tcW w:w="1916" w:type="dxa"/>
            <w:tcBorders>
              <w:top w:val="single" w:color="7B8187" w:sz="6" w:space="0"/>
              <w:left w:val="single" w:color="7B8187" w:sz="6" w:space="0"/>
              <w:bottom w:val="single" w:color="7B8187" w:sz="6" w:space="0"/>
              <w:right w:val="single" w:color="7B8187" w:sz="6" w:space="0"/>
            </w:tcBorders>
            <w:shd w:val="clear" w:color="auto" w:fill="FFFFFF"/>
            <w:vAlign w:val="center"/>
          </w:tcPr>
          <w:p w14:paraId="46C6856D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补体C4</w:t>
            </w:r>
          </w:p>
        </w:tc>
        <w:tc>
          <w:tcPr>
            <w:tcW w:w="2644" w:type="dxa"/>
            <w:tcBorders>
              <w:top w:val="single" w:color="7B8187" w:sz="6" w:space="0"/>
              <w:left w:val="single" w:color="7B8187" w:sz="6" w:space="0"/>
              <w:bottom w:val="single" w:color="7B8187" w:sz="6" w:space="0"/>
              <w:right w:val="single" w:color="7B8187" w:sz="6" w:space="0"/>
            </w:tcBorders>
            <w:shd w:val="clear" w:color="auto" w:fill="FFFFFF"/>
            <w:vAlign w:val="center"/>
          </w:tcPr>
          <w:p w14:paraId="2D77FD2B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补体C4测定试剂盒</w:t>
            </w:r>
          </w:p>
        </w:tc>
        <w:tc>
          <w:tcPr>
            <w:tcW w:w="2253" w:type="dxa"/>
            <w:vMerge w:val="continue"/>
            <w:tcBorders>
              <w:left w:val="single" w:color="7B8187" w:sz="6" w:space="0"/>
              <w:right w:val="single" w:color="7B8187" w:sz="6" w:space="0"/>
            </w:tcBorders>
            <w:shd w:val="clear" w:color="auto" w:fill="FFFFFF"/>
            <w:vAlign w:val="center"/>
          </w:tcPr>
          <w:p w14:paraId="3AB5EE63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34EE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477" w:type="dxa"/>
            <w:tcBorders>
              <w:top w:val="single" w:color="7B8187" w:sz="6" w:space="0"/>
              <w:left w:val="single" w:color="7B8187" w:sz="6" w:space="0"/>
              <w:bottom w:val="single" w:color="7B8187" w:sz="6" w:space="0"/>
              <w:right w:val="single" w:color="7B8187" w:sz="6" w:space="0"/>
            </w:tcBorders>
            <w:shd w:val="clear" w:color="auto" w:fill="FFFFFF"/>
            <w:vAlign w:val="center"/>
          </w:tcPr>
          <w:p w14:paraId="3DE33642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0827-3</w:t>
            </w:r>
          </w:p>
        </w:tc>
        <w:tc>
          <w:tcPr>
            <w:tcW w:w="1916" w:type="dxa"/>
            <w:tcBorders>
              <w:top w:val="single" w:color="7B8187" w:sz="6" w:space="0"/>
              <w:left w:val="single" w:color="7B8187" w:sz="6" w:space="0"/>
              <w:bottom w:val="single" w:color="7B8187" w:sz="6" w:space="0"/>
              <w:right w:val="single" w:color="7B8187" w:sz="6" w:space="0"/>
            </w:tcBorders>
            <w:shd w:val="clear" w:color="auto" w:fill="FFFFFF"/>
            <w:vAlign w:val="center"/>
          </w:tcPr>
          <w:p w14:paraId="721D7456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免疫球蛋白G</w:t>
            </w:r>
          </w:p>
        </w:tc>
        <w:tc>
          <w:tcPr>
            <w:tcW w:w="2644" w:type="dxa"/>
            <w:tcBorders>
              <w:top w:val="single" w:color="7B8187" w:sz="6" w:space="0"/>
              <w:left w:val="single" w:color="7B8187" w:sz="6" w:space="0"/>
              <w:bottom w:val="single" w:color="7B8187" w:sz="6" w:space="0"/>
              <w:right w:val="single" w:color="7B8187" w:sz="6" w:space="0"/>
            </w:tcBorders>
            <w:shd w:val="clear" w:color="auto" w:fill="FFFFFF"/>
            <w:vAlign w:val="center"/>
          </w:tcPr>
          <w:p w14:paraId="2221A719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免疫球蛋白G测定试剂盒</w:t>
            </w:r>
          </w:p>
        </w:tc>
        <w:tc>
          <w:tcPr>
            <w:tcW w:w="2253" w:type="dxa"/>
            <w:vMerge w:val="continue"/>
            <w:tcBorders>
              <w:left w:val="single" w:color="7B8187" w:sz="6" w:space="0"/>
              <w:right w:val="single" w:color="7B8187" w:sz="6" w:space="0"/>
            </w:tcBorders>
            <w:shd w:val="clear" w:color="auto" w:fill="FFFFFF"/>
            <w:vAlign w:val="center"/>
          </w:tcPr>
          <w:p w14:paraId="5B401ED5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AED1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477" w:type="dxa"/>
            <w:tcBorders>
              <w:top w:val="single" w:color="7B8187" w:sz="6" w:space="0"/>
              <w:left w:val="single" w:color="7B8187" w:sz="6" w:space="0"/>
              <w:bottom w:val="single" w:color="7B8187" w:sz="6" w:space="0"/>
              <w:right w:val="single" w:color="7B8187" w:sz="6" w:space="0"/>
            </w:tcBorders>
            <w:shd w:val="clear" w:color="auto" w:fill="FFFFFF"/>
            <w:vAlign w:val="center"/>
          </w:tcPr>
          <w:p w14:paraId="4783DFFE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0827-4</w:t>
            </w:r>
          </w:p>
        </w:tc>
        <w:tc>
          <w:tcPr>
            <w:tcW w:w="1916" w:type="dxa"/>
            <w:tcBorders>
              <w:top w:val="single" w:color="7B8187" w:sz="6" w:space="0"/>
              <w:left w:val="single" w:color="7B8187" w:sz="6" w:space="0"/>
              <w:bottom w:val="single" w:color="7B8187" w:sz="6" w:space="0"/>
              <w:right w:val="single" w:color="7B8187" w:sz="6" w:space="0"/>
            </w:tcBorders>
            <w:shd w:val="clear" w:color="auto" w:fill="FFFFFF"/>
            <w:vAlign w:val="center"/>
          </w:tcPr>
          <w:p w14:paraId="3BF2B735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免疫球蛋白M</w:t>
            </w:r>
          </w:p>
        </w:tc>
        <w:tc>
          <w:tcPr>
            <w:tcW w:w="2644" w:type="dxa"/>
            <w:tcBorders>
              <w:top w:val="single" w:color="7B8187" w:sz="6" w:space="0"/>
              <w:left w:val="single" w:color="7B8187" w:sz="6" w:space="0"/>
              <w:bottom w:val="single" w:color="7B8187" w:sz="6" w:space="0"/>
              <w:right w:val="single" w:color="7B8187" w:sz="6" w:space="0"/>
            </w:tcBorders>
            <w:shd w:val="clear" w:color="auto" w:fill="FFFFFF"/>
            <w:vAlign w:val="center"/>
          </w:tcPr>
          <w:p w14:paraId="01601EAF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免疫球蛋白M测定试剂盒</w:t>
            </w:r>
          </w:p>
        </w:tc>
        <w:tc>
          <w:tcPr>
            <w:tcW w:w="2253" w:type="dxa"/>
            <w:vMerge w:val="continue"/>
            <w:tcBorders>
              <w:left w:val="single" w:color="7B8187" w:sz="6" w:space="0"/>
              <w:right w:val="single" w:color="7B8187" w:sz="6" w:space="0"/>
            </w:tcBorders>
            <w:shd w:val="clear" w:color="auto" w:fill="FFFFFF"/>
            <w:vAlign w:val="center"/>
          </w:tcPr>
          <w:p w14:paraId="54CE7D06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F34A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477" w:type="dxa"/>
            <w:tcBorders>
              <w:top w:val="single" w:color="7B8187" w:sz="6" w:space="0"/>
              <w:left w:val="single" w:color="7B8187" w:sz="6" w:space="0"/>
              <w:bottom w:val="single" w:color="7B8187" w:sz="6" w:space="0"/>
              <w:right w:val="single" w:color="7B8187" w:sz="6" w:space="0"/>
            </w:tcBorders>
            <w:shd w:val="clear" w:color="auto" w:fill="FFFFFF"/>
            <w:vAlign w:val="center"/>
          </w:tcPr>
          <w:p w14:paraId="4D2C04E5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0827-5</w:t>
            </w:r>
          </w:p>
        </w:tc>
        <w:tc>
          <w:tcPr>
            <w:tcW w:w="1916" w:type="dxa"/>
            <w:tcBorders>
              <w:top w:val="single" w:color="7B8187" w:sz="6" w:space="0"/>
              <w:left w:val="single" w:color="7B8187" w:sz="6" w:space="0"/>
              <w:bottom w:val="single" w:color="7B8187" w:sz="6" w:space="0"/>
              <w:right w:val="single" w:color="7B8187" w:sz="6" w:space="0"/>
            </w:tcBorders>
            <w:shd w:val="clear" w:color="auto" w:fill="FFFFFF"/>
            <w:vAlign w:val="center"/>
          </w:tcPr>
          <w:p w14:paraId="7A703261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免疫球蛋白A</w:t>
            </w:r>
          </w:p>
        </w:tc>
        <w:tc>
          <w:tcPr>
            <w:tcW w:w="2644" w:type="dxa"/>
            <w:tcBorders>
              <w:top w:val="single" w:color="7B8187" w:sz="6" w:space="0"/>
              <w:left w:val="single" w:color="7B8187" w:sz="6" w:space="0"/>
              <w:bottom w:val="single" w:color="7B8187" w:sz="6" w:space="0"/>
              <w:right w:val="single" w:color="7B8187" w:sz="6" w:space="0"/>
            </w:tcBorders>
            <w:shd w:val="clear" w:color="auto" w:fill="FFFFFF"/>
            <w:vAlign w:val="center"/>
          </w:tcPr>
          <w:p w14:paraId="3AF3F87C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免疫球蛋白A测定试剂盒</w:t>
            </w:r>
          </w:p>
        </w:tc>
        <w:tc>
          <w:tcPr>
            <w:tcW w:w="2253" w:type="dxa"/>
            <w:vMerge w:val="continue"/>
            <w:tcBorders>
              <w:left w:val="single" w:color="7B8187" w:sz="6" w:space="0"/>
              <w:bottom w:val="single" w:color="7B8187" w:sz="6" w:space="0"/>
              <w:right w:val="single" w:color="7B8187" w:sz="6" w:space="0"/>
            </w:tcBorders>
            <w:shd w:val="clear" w:color="auto" w:fill="FFFFFF"/>
            <w:vAlign w:val="center"/>
          </w:tcPr>
          <w:p w14:paraId="256FB73E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F284C77">
      <w:pPr>
        <w:rPr>
          <w:rFonts w:hint="eastAsia" w:ascii="宋体" w:hAnsi="宋体" w:eastAsia="宋体"/>
          <w:b/>
          <w:color w:val="FF0000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b/>
          <w:color w:val="FF0000"/>
          <w:szCs w:val="21"/>
          <w:highlight w:val="none"/>
          <w:lang w:val="en-US" w:eastAsia="zh-CN"/>
        </w:rPr>
        <w:t>注：</w:t>
      </w:r>
      <w:bookmarkStart w:id="0" w:name="_GoBack"/>
      <w:bookmarkEnd w:id="0"/>
      <w:r>
        <w:rPr>
          <w:rFonts w:hint="eastAsia" w:ascii="宋体" w:hAnsi="宋体" w:eastAsia="宋体"/>
          <w:b/>
          <w:color w:val="FF0000"/>
          <w:szCs w:val="21"/>
          <w:highlight w:val="none"/>
          <w:lang w:val="en-US" w:eastAsia="zh-CN"/>
        </w:rPr>
        <w:t>测试数为预估值，不做采购承诺，买方根据实际需求分批采购。</w:t>
      </w:r>
    </w:p>
    <w:p w14:paraId="41EDE8E6">
      <w:pPr>
        <w:pStyle w:val="2"/>
        <w:rPr>
          <w:rFonts w:hint="default"/>
          <w:lang w:val="en-US" w:eastAsia="zh-CN"/>
        </w:rPr>
      </w:pPr>
    </w:p>
    <w:p w14:paraId="06C3982C">
      <w:pPr>
        <w:pStyle w:val="2"/>
        <w:rPr>
          <w:rFonts w:hint="default" w:ascii="宋体" w:hAnsi="宋体" w:eastAsia="宋体"/>
          <w:b/>
          <w:color w:val="000000"/>
          <w:szCs w:val="21"/>
          <w:lang w:val="en-US" w:eastAsia="zh-CN"/>
        </w:rPr>
      </w:pPr>
      <w:r>
        <w:rPr>
          <w:rFonts w:hint="eastAsia" w:ascii="宋体" w:hAnsi="宋体" w:eastAsia="宋体"/>
          <w:b/>
          <w:color w:val="000000"/>
          <w:szCs w:val="21"/>
          <w:lang w:val="en-US" w:eastAsia="zh-CN"/>
        </w:rPr>
        <w:t>试剂配套设备：</w:t>
      </w:r>
    </w:p>
    <w:tbl>
      <w:tblPr>
        <w:tblStyle w:val="7"/>
        <w:tblW w:w="97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920"/>
        <w:gridCol w:w="705"/>
        <w:gridCol w:w="765"/>
        <w:gridCol w:w="1503"/>
        <w:gridCol w:w="3667"/>
      </w:tblGrid>
      <w:tr w14:paraId="637B9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73B4D4ED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标项号</w:t>
            </w:r>
          </w:p>
          <w:p w14:paraId="672E36F6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（设备）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7522B6F5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产品名称（设备）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3E9D6EF6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4A007F1C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3DD6C09A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设备要求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50D8FF38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lang w:val="en-US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设备报价方案（含设备单价、保修、安装、培训等）</w:t>
            </w:r>
          </w:p>
          <w:p w14:paraId="37531182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 w14:paraId="09435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079B">
            <w:pPr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Cs w:val="21"/>
                <w:lang w:val="en-US" w:eastAsia="zh-CN"/>
              </w:rPr>
              <w:t>20250827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1BE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全自动蛋白分析仪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1FF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04B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0EB7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详见下表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544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</w:tbl>
    <w:p w14:paraId="75A50319">
      <w:pPr>
        <w:rPr>
          <w:rFonts w:ascii="宋体" w:hAnsi="宋体" w:eastAsia="宋体"/>
          <w:b/>
          <w:color w:val="000000"/>
          <w:szCs w:val="21"/>
        </w:rPr>
      </w:pPr>
      <w:r>
        <w:rPr>
          <w:rFonts w:hint="eastAsia"/>
          <w:b/>
          <w:bCs/>
          <w:color w:val="FF0000"/>
        </w:rPr>
        <w:t>注：该设备由医院购入作固定资产管理。</w:t>
      </w:r>
    </w:p>
    <w:p w14:paraId="77F37140">
      <w:pPr>
        <w:pStyle w:val="2"/>
        <w:rPr>
          <w:rFonts w:ascii="宋体" w:hAnsi="宋体" w:eastAsia="宋体"/>
          <w:b/>
          <w:color w:val="000000"/>
          <w:szCs w:val="21"/>
        </w:rPr>
      </w:pPr>
    </w:p>
    <w:p w14:paraId="4BAB1258">
      <w:pPr>
        <w:rPr>
          <w:rFonts w:ascii="宋体" w:hAnsi="宋体" w:eastAsia="宋体"/>
          <w:b/>
          <w:color w:val="000000"/>
          <w:szCs w:val="21"/>
          <w:highlight w:val="none"/>
        </w:rPr>
      </w:pPr>
      <w:r>
        <w:rPr>
          <w:rFonts w:hint="eastAsia" w:ascii="宋体" w:hAnsi="宋体" w:eastAsia="宋体"/>
          <w:b/>
          <w:color w:val="000000"/>
          <w:szCs w:val="21"/>
          <w:highlight w:val="none"/>
        </w:rPr>
        <w:t>△表示重要参数，▲表示废标参数</w:t>
      </w:r>
    </w:p>
    <w:p w14:paraId="6C100AD6">
      <w:pPr>
        <w:rPr>
          <w:rFonts w:ascii="宋体" w:hAnsi="宋体" w:eastAsia="宋体"/>
          <w:b/>
          <w:color w:val="000000"/>
          <w:szCs w:val="21"/>
        </w:rPr>
      </w:pPr>
      <w:r>
        <w:rPr>
          <w:rFonts w:hint="eastAsia" w:ascii="宋体" w:hAnsi="宋体" w:eastAsia="宋体"/>
          <w:b/>
          <w:color w:val="000000"/>
          <w:szCs w:val="21"/>
        </w:rPr>
        <w:t>一、技术参数要求</w:t>
      </w:r>
    </w:p>
    <w:tbl>
      <w:tblPr>
        <w:tblStyle w:val="7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874"/>
      </w:tblGrid>
      <w:tr w14:paraId="400E4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vAlign w:val="center"/>
          </w:tcPr>
          <w:p w14:paraId="4E09F38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5988CC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招标要求</w:t>
            </w:r>
          </w:p>
        </w:tc>
      </w:tr>
      <w:tr w14:paraId="14477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noWrap/>
            <w:vAlign w:val="center"/>
          </w:tcPr>
          <w:p w14:paraId="1455E52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529C574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总体要求</w:t>
            </w:r>
          </w:p>
        </w:tc>
      </w:tr>
      <w:tr w14:paraId="631D8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noWrap/>
            <w:vAlign w:val="center"/>
          </w:tcPr>
          <w:p w14:paraId="46AB28E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306B5283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全自动蛋白分析仪可检测特定蛋白（如IgA、IgG、IgM、C3、C4</w:t>
            </w:r>
            <w:r>
              <w:rPr>
                <w:rFonts w:ascii="宋体" w:hAnsi="宋体" w:eastAsia="宋体" w:cs="宋体"/>
                <w:kern w:val="0"/>
                <w:szCs w:val="21"/>
              </w:rPr>
              <w:t>等）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，</w:t>
            </w:r>
            <w:r>
              <w:rPr>
                <w:rFonts w:ascii="宋体" w:hAnsi="宋体" w:eastAsia="宋体" w:cs="宋体"/>
                <w:kern w:val="0"/>
                <w:szCs w:val="21"/>
              </w:rPr>
              <w:t>支持全血、血清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，体液</w:t>
            </w:r>
            <w:r>
              <w:rPr>
                <w:rFonts w:ascii="宋体" w:hAnsi="宋体" w:eastAsia="宋体" w:cs="宋体"/>
                <w:kern w:val="0"/>
                <w:szCs w:val="21"/>
              </w:rPr>
              <w:t>等多种样本类型，快速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筛查和诊断免疫缺陷病</w:t>
            </w:r>
            <w:r>
              <w:rPr>
                <w:rFonts w:ascii="宋体" w:hAnsi="宋体" w:eastAsia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自身免疫病，血液病等，</w:t>
            </w:r>
            <w:r>
              <w:rPr>
                <w:rFonts w:ascii="宋体" w:hAnsi="宋体" w:eastAsia="宋体" w:cs="宋体"/>
                <w:kern w:val="0"/>
                <w:szCs w:val="21"/>
              </w:rPr>
              <w:t>为临床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诊疗</w:t>
            </w:r>
            <w:r>
              <w:rPr>
                <w:rFonts w:ascii="宋体" w:hAnsi="宋体" w:eastAsia="宋体" w:cs="宋体"/>
                <w:kern w:val="0"/>
                <w:szCs w:val="21"/>
              </w:rPr>
              <w:t>提供重要依据</w:t>
            </w:r>
          </w:p>
        </w:tc>
      </w:tr>
      <w:tr w14:paraId="7B52F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noWrap/>
            <w:vAlign w:val="center"/>
          </w:tcPr>
          <w:p w14:paraId="17BCEA0A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5F983984"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主要技术参数要求</w:t>
            </w:r>
          </w:p>
        </w:tc>
      </w:tr>
      <w:tr w14:paraId="4284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noWrap/>
            <w:vAlign w:val="center"/>
          </w:tcPr>
          <w:p w14:paraId="07C4E92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/>
                <w:b/>
                <w:color w:val="000000"/>
                <w:szCs w:val="21"/>
                <w:highlight w:val="none"/>
              </w:rPr>
              <w:t>▲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056ABA72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整体仪器需求：各品牌最新单机型号，且必须提供相同型号仪器，保证技术先进性；</w:t>
            </w:r>
          </w:p>
        </w:tc>
      </w:tr>
      <w:tr w14:paraId="32B7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noWrap/>
            <w:vAlign w:val="center"/>
          </w:tcPr>
          <w:p w14:paraId="7FD06E7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3AC75EB1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仪器检测速度≥500T/小时</w:t>
            </w:r>
          </w:p>
        </w:tc>
      </w:tr>
      <w:tr w14:paraId="07578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noWrap/>
            <w:vAlign w:val="center"/>
          </w:tcPr>
          <w:p w14:paraId="7B20576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2415861E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仪器检测原理：包含散射方法学，仪器注册证结构与组成中应包含光散射光度计</w:t>
            </w:r>
          </w:p>
        </w:tc>
      </w:tr>
      <w:tr w14:paraId="23106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noWrap/>
            <w:vAlign w:val="center"/>
          </w:tcPr>
          <w:p w14:paraId="50287F9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/>
                <w:b/>
                <w:color w:val="000000"/>
                <w:szCs w:val="21"/>
                <w:highlight w:val="none"/>
              </w:rPr>
              <w:t>△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5E7176E2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1.检测项目满足常规检测包括：血液免疫五项（IgA、IgG、IgM、C3、C4）、拓展项目包括：血液总轻链、IgG1、IgG 2、IgG 3、IgG 4、游离轻链、尿液特蛋定蛋白（MA、IgG、TRF、α1）等；试剂需同一品牌，允许个别特殊项目不同品牌，试剂说明书适用机型明确包含所投机型。</w:t>
            </w:r>
          </w:p>
        </w:tc>
      </w:tr>
      <w:tr w14:paraId="24521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noWrap/>
            <w:vAlign w:val="center"/>
          </w:tcPr>
          <w:p w14:paraId="318657E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1553EE2D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血液免疫球蛋白A未稀释线性≥7g/L；</w:t>
            </w:r>
          </w:p>
        </w:tc>
      </w:tr>
      <w:tr w14:paraId="374F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noWrap/>
            <w:vAlign w:val="center"/>
          </w:tcPr>
          <w:p w14:paraId="429FB78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874" w:type="dxa"/>
            <w:shd w:val="clear" w:color="auto" w:fill="auto"/>
            <w:noWrap/>
            <w:vAlign w:val="center"/>
          </w:tcPr>
          <w:p w14:paraId="16615286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血液免疫球蛋白G未稀释线性≥40g/L  </w:t>
            </w:r>
          </w:p>
        </w:tc>
      </w:tr>
      <w:tr w14:paraId="62DF9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noWrap/>
            <w:vAlign w:val="center"/>
          </w:tcPr>
          <w:p w14:paraId="35ADBAF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874" w:type="dxa"/>
            <w:shd w:val="clear" w:color="auto" w:fill="auto"/>
            <w:noWrap/>
            <w:vAlign w:val="center"/>
          </w:tcPr>
          <w:p w14:paraId="0E30D7BC">
            <w:pPr>
              <w:widowControl/>
              <w:jc w:val="left"/>
              <w:rPr>
                <w:rFonts w:ascii="宋体" w:hAnsi="宋体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液</w:t>
            </w:r>
            <w:r>
              <w:rPr>
                <w:rFonts w:hint="eastAsia" w:ascii="宋体" w:hAnsi="宋体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免疫球蛋白M未稀释线性≥5g/L</w:t>
            </w:r>
          </w:p>
        </w:tc>
      </w:tr>
      <w:tr w14:paraId="5024C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noWrap/>
            <w:vAlign w:val="center"/>
          </w:tcPr>
          <w:p w14:paraId="128C520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874" w:type="dxa"/>
            <w:shd w:val="clear" w:color="auto" w:fill="auto"/>
            <w:noWrap/>
            <w:vAlign w:val="center"/>
          </w:tcPr>
          <w:p w14:paraId="5C61A540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C3，C4项目的低值检测下限要满足C3≤120mg/L，C4≤60mg/L</w:t>
            </w:r>
          </w:p>
        </w:tc>
      </w:tr>
      <w:tr w14:paraId="6F9AD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noWrap/>
            <w:vAlign w:val="center"/>
          </w:tcPr>
          <w:p w14:paraId="62A229F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9</w:t>
            </w:r>
            <w:r>
              <w:rPr>
                <w:rFonts w:hint="eastAsia" w:ascii="宋体" w:hAnsi="宋体" w:eastAsia="宋体"/>
                <w:b/>
                <w:color w:val="000000"/>
                <w:szCs w:val="21"/>
                <w:highlight w:val="none"/>
              </w:rPr>
              <w:t>△</w:t>
            </w:r>
          </w:p>
        </w:tc>
        <w:tc>
          <w:tcPr>
            <w:tcW w:w="7874" w:type="dxa"/>
            <w:shd w:val="clear" w:color="auto" w:fill="auto"/>
            <w:noWrap/>
            <w:vAlign w:val="center"/>
          </w:tcPr>
          <w:p w14:paraId="0DA3BCBF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检测方法：具备散射模块，线性外高值有稀释功能，为避免HOOK效应，如试剂说明书有标注的抗原过剩范围，应满足IgG ≥70 g/L，IgA ≥  40g/L，IgM ≥70 g/L；如说明书未标注，仪器必须具备抗原过剩检测功能。</w:t>
            </w:r>
          </w:p>
        </w:tc>
      </w:tr>
      <w:tr w14:paraId="3A1C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noWrap/>
            <w:vAlign w:val="center"/>
          </w:tcPr>
          <w:p w14:paraId="38ECEF4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10</w:t>
            </w:r>
            <w:r>
              <w:rPr>
                <w:rFonts w:hint="eastAsia" w:ascii="宋体" w:hAnsi="宋体" w:eastAsia="宋体"/>
                <w:b/>
                <w:color w:val="000000"/>
                <w:szCs w:val="21"/>
                <w:highlight w:val="none"/>
              </w:rPr>
              <w:t>▲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4DDF1A99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试剂报价包含所有定标液、质控品和必要辅助试剂/耗材；</w:t>
            </w:r>
          </w:p>
        </w:tc>
      </w:tr>
      <w:tr w14:paraId="0EBF9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noWrap/>
            <w:vAlign w:val="center"/>
          </w:tcPr>
          <w:p w14:paraId="0AB236F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874" w:type="dxa"/>
            <w:shd w:val="clear" w:color="auto" w:fill="auto"/>
            <w:noWrap/>
            <w:vAlign w:val="center"/>
          </w:tcPr>
          <w:p w14:paraId="7A562412">
            <w:pPr>
              <w:widowControl/>
              <w:jc w:val="left"/>
              <w:rPr>
                <w:rFonts w:ascii="宋体" w:hAnsi="宋体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软件可实现仪器双向传输，性能稳定</w:t>
            </w:r>
          </w:p>
        </w:tc>
      </w:tr>
      <w:tr w14:paraId="06CA5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noWrap/>
            <w:vAlign w:val="center"/>
          </w:tcPr>
          <w:p w14:paraId="2E64F8D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726F4761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品牌影响力：省内三甲医院实际使用家数≥5家，提供最近连续三个月的发票，每家医院发票必须包含血免疫五项。</w:t>
            </w:r>
          </w:p>
        </w:tc>
      </w:tr>
      <w:tr w14:paraId="064D8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noWrap/>
            <w:vAlign w:val="center"/>
          </w:tcPr>
          <w:p w14:paraId="669D332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/>
                <w:b/>
                <w:color w:val="000000"/>
                <w:szCs w:val="21"/>
                <w:highlight w:val="none"/>
              </w:rPr>
              <w:t>△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417EEA45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试剂配送能力：试剂供应有保障，常规项目每年更换试剂批号≤4个</w:t>
            </w:r>
          </w:p>
        </w:tc>
      </w:tr>
      <w:tr w14:paraId="2411F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noWrap/>
            <w:vAlign w:val="center"/>
          </w:tcPr>
          <w:p w14:paraId="4A68EFE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874" w:type="dxa"/>
            <w:shd w:val="clear" w:color="auto" w:fill="auto"/>
            <w:noWrap/>
            <w:vAlign w:val="center"/>
          </w:tcPr>
          <w:p w14:paraId="3C40767B">
            <w:pPr>
              <w:widowControl/>
              <w:jc w:val="left"/>
              <w:rPr>
                <w:rFonts w:ascii="宋体" w:hAnsi="宋体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仪器故障，维修工程师能在1.5小时内到达科室</w:t>
            </w:r>
          </w:p>
        </w:tc>
      </w:tr>
      <w:tr w14:paraId="3C991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noWrap/>
          </w:tcPr>
          <w:p w14:paraId="4F278C02"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二</w:t>
            </w:r>
          </w:p>
        </w:tc>
        <w:tc>
          <w:tcPr>
            <w:tcW w:w="7874" w:type="dxa"/>
            <w:shd w:val="clear" w:color="000000" w:fill="FFFFFF"/>
          </w:tcPr>
          <w:p w14:paraId="78D5BDC2"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配置要求（</w:t>
            </w:r>
            <w:r>
              <w:rPr>
                <w:rFonts w:hint="eastAsia" w:ascii="宋体" w:hAnsi="宋体" w:eastAsia="宋体"/>
                <w:szCs w:val="21"/>
              </w:rPr>
              <w:t>投标响应时请另附原厂配置清单</w:t>
            </w:r>
            <w:r>
              <w:rPr>
                <w:rFonts w:hint="eastAsia" w:ascii="宋体" w:hAnsi="宋体" w:eastAsia="宋体"/>
                <w:b/>
                <w:szCs w:val="21"/>
              </w:rPr>
              <w:t>）</w:t>
            </w:r>
          </w:p>
        </w:tc>
      </w:tr>
      <w:tr w14:paraId="30002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  <w:noWrap/>
            <w:vAlign w:val="center"/>
          </w:tcPr>
          <w:p w14:paraId="0B929199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74" w:type="dxa"/>
            <w:shd w:val="clear" w:color="000000" w:fill="FFFFFF"/>
            <w:vAlign w:val="center"/>
          </w:tcPr>
          <w:p w14:paraId="3231F2BA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全自动蛋白分析仪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1套</w:t>
            </w:r>
          </w:p>
        </w:tc>
      </w:tr>
    </w:tbl>
    <w:p w14:paraId="3AC222E9"/>
    <w:p w14:paraId="142B6CC2">
      <w:pPr>
        <w:pStyle w:val="2"/>
      </w:pPr>
      <w:r>
        <w:rPr>
          <w:rFonts w:hint="eastAsia"/>
          <w:b/>
          <w:bCs/>
          <w:color w:val="FF0000"/>
          <w:sz w:val="28"/>
          <w:szCs w:val="28"/>
        </w:rPr>
        <w:t>请逐条响应，说明偏离情况（如要求提供证明材料的参数，需提供并标注材料页码，没有提供作负偏离处理）</w:t>
      </w:r>
    </w:p>
    <w:p w14:paraId="1D948ED2">
      <w:pPr>
        <w:pStyle w:val="2"/>
      </w:pPr>
    </w:p>
    <w:p w14:paraId="78E494C7">
      <w:pPr>
        <w:pStyle w:val="2"/>
        <w:rPr>
          <w:rFonts w:hint="eastAsia" w:eastAsiaTheme="minorEastAsia"/>
        </w:rPr>
      </w:pPr>
    </w:p>
    <w:p w14:paraId="2E627A00">
      <w:pPr>
        <w:pStyle w:val="2"/>
        <w:rPr>
          <w:rFonts w:hint="eastAsia" w:eastAsiaTheme="minorEastAsia"/>
        </w:rPr>
      </w:pPr>
    </w:p>
    <w:p w14:paraId="5C8E22D4">
      <w:pPr>
        <w:pStyle w:val="2"/>
        <w:rPr>
          <w:rFonts w:hint="eastAsia"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36DCE"/>
    <w:rsid w:val="00132126"/>
    <w:rsid w:val="0040454F"/>
    <w:rsid w:val="004F07D2"/>
    <w:rsid w:val="005E07CE"/>
    <w:rsid w:val="00716662"/>
    <w:rsid w:val="00AD4730"/>
    <w:rsid w:val="00FA5733"/>
    <w:rsid w:val="0385163A"/>
    <w:rsid w:val="29177A20"/>
    <w:rsid w:val="2BED7179"/>
    <w:rsid w:val="2F6228FD"/>
    <w:rsid w:val="31136DCE"/>
    <w:rsid w:val="41767400"/>
    <w:rsid w:val="477F4658"/>
    <w:rsid w:val="4DA43078"/>
    <w:rsid w:val="4E0373E6"/>
    <w:rsid w:val="5F9551F4"/>
    <w:rsid w:val="62FF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jc w:val="left"/>
      <w:outlineLvl w:val="0"/>
    </w:pPr>
    <w:rPr>
      <w:rFonts w:ascii="Times New Roman" w:hAnsi="Times New Roman" w:eastAsia="Times New Roman" w:cs="Times New Roman"/>
      <w:kern w:val="0"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/>
      <w:spacing w:after="120"/>
    </w:pPr>
    <w:rPr>
      <w:rFonts w:ascii="Arial" w:hAnsi="Arial" w:eastAsia="Arial" w:cs="Arial"/>
      <w:kern w:val="0"/>
      <w:sz w:val="22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942</Words>
  <Characters>1089</Characters>
  <Lines>8</Lines>
  <Paragraphs>2</Paragraphs>
  <TotalTime>3</TotalTime>
  <ScaleCrop>false</ScaleCrop>
  <LinksUpToDate>false</LinksUpToDate>
  <CharactersWithSpaces>1101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2025-08-13T08:39:00Z</dcterms:created>
  <dc:creator>Ace</dc:creator>
  <cp:lastModifiedBy>Ace</cp:lastModifiedBy>
  <cp:lastPrinted>2025-08-14T06:42:00Z</cp:lastPrinted>
  <dcterms:modified xsi:type="dcterms:W3CDTF">2025-08-15T05:44:57Z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D9F7F9999C1343F3B2C97A9EEA75CDB2_11</vt:lpwstr>
  </property>
  <property fmtid="{D5CDD505-2E9C-101B-9397-08002B2CF9AE}" pid="4" name="KSOTemplateDocerSaveRecord">
    <vt:lpwstr>eyJoZGlkIjoiNGQyOTRkNmI3M2IyYzZkMDlkNjg2YzUyMDJiODkyNWQiLCJ1c2VySWQiOiIzMDY0OTc1MTQifQ==</vt:lpwstr>
  </property>
</Properties>
</file>