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56DCC">
      <w:pPr>
        <w:widowControl/>
        <w:numPr>
          <w:ilvl w:val="-1"/>
          <w:numId w:val="0"/>
        </w:numPr>
        <w:spacing w:line="240" w:lineRule="auto"/>
        <w:ind w:firstLine="0"/>
        <w:jc w:val="center"/>
        <w:rPr>
          <w:rFonts w:hint="default" w:ascii="仿宋" w:hAnsi="仿宋" w:eastAsia="仿宋" w:cs="仿宋"/>
          <w:b/>
          <w:bCs/>
          <w:color w:val="000000" w:themeColor="text1"/>
          <w:kern w:val="0"/>
          <w:sz w:val="28"/>
          <w:szCs w:val="28"/>
          <w:shd w:val="clear" w:color="auto" w:fill="FFFFFF"/>
          <w:lang w:val="en-US" w:eastAsia="zh-CN"/>
        </w:rPr>
      </w:pPr>
      <w:r>
        <w:rPr>
          <w:rFonts w:hint="eastAsia" w:ascii="仿宋" w:hAnsi="仿宋" w:eastAsia="仿宋" w:cs="仿宋"/>
          <w:b/>
          <w:bCs/>
          <w:color w:val="000000" w:themeColor="text1"/>
          <w:kern w:val="0"/>
          <w:sz w:val="28"/>
          <w:szCs w:val="28"/>
          <w:shd w:val="clear" w:color="auto" w:fill="FFFFFF"/>
        </w:rPr>
        <w:t>智慧放疗系统升级建设项目</w:t>
      </w:r>
      <w:r>
        <w:rPr>
          <w:rFonts w:hint="eastAsia" w:ascii="仿宋" w:hAnsi="仿宋" w:eastAsia="仿宋" w:cs="仿宋"/>
          <w:b/>
          <w:bCs/>
          <w:color w:val="000000" w:themeColor="text1"/>
          <w:kern w:val="0"/>
          <w:sz w:val="28"/>
          <w:szCs w:val="28"/>
          <w:shd w:val="clear" w:color="auto" w:fill="FFFFFF"/>
          <w:lang w:val="en-US" w:eastAsia="zh-CN"/>
        </w:rPr>
        <w:t>采购需求</w:t>
      </w:r>
    </w:p>
    <w:p w14:paraId="27D19CE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eastAsia="黑体"/>
          <w:color w:val="000000" w:themeColor="text1"/>
          <w:sz w:val="32"/>
          <w:szCs w:val="32"/>
        </w:rPr>
      </w:pPr>
      <w:r>
        <w:rPr>
          <w:rFonts w:hint="eastAsia" w:eastAsia="黑体"/>
          <w:color w:val="000000" w:themeColor="text1"/>
          <w:sz w:val="32"/>
          <w:szCs w:val="32"/>
          <w:lang w:val="en-US" w:eastAsia="zh-CN"/>
        </w:rPr>
        <w:t>一、</w:t>
      </w:r>
      <w:r>
        <w:rPr>
          <w:rFonts w:hint="eastAsia" w:eastAsia="黑体"/>
          <w:color w:val="000000" w:themeColor="text1"/>
          <w:sz w:val="32"/>
          <w:szCs w:val="32"/>
        </w:rPr>
        <w:t>项目背景</w:t>
      </w:r>
    </w:p>
    <w:p w14:paraId="1090D835">
      <w:pPr>
        <w:spacing w:line="560" w:lineRule="exact"/>
        <w:ind w:firstLine="560" w:firstLineChars="200"/>
        <w:rPr>
          <w:rFonts w:hint="eastAsia" w:ascii="仿宋" w:hAnsi="仿宋" w:eastAsia="仿宋" w:cs="仿宋"/>
          <w:color w:val="000000" w:themeColor="text1"/>
          <w:sz w:val="28"/>
          <w:szCs w:val="28"/>
          <w:lang w:val="en-US" w:eastAsia="zh-CN"/>
        </w:rPr>
      </w:pPr>
      <w:r>
        <w:rPr>
          <w:rFonts w:hint="eastAsia" w:ascii="仿宋" w:hAnsi="仿宋" w:eastAsia="仿宋" w:cs="仿宋"/>
          <w:color w:val="000000" w:themeColor="text1"/>
          <w:sz w:val="28"/>
          <w:szCs w:val="28"/>
          <w:lang w:val="en-US" w:eastAsia="zh-CN"/>
        </w:rPr>
        <w:t>鉴于我院丰富的历史放疗数据蕴含巨大价值，需通过统一存储、结构化处理与规范化管理，整合临床放疗数据，构建放疗大数据科研中心，为放疗临床实践与科研探索提供有力支撑，同时智慧放疗信息系统功能仍需要持续建设。需要对现有智慧放疗信息系统升级改造，构建放疗大数据科研数据中心。</w:t>
      </w:r>
    </w:p>
    <w:p w14:paraId="3E3FC12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eastAsia="黑体"/>
          <w:color w:val="000000" w:themeColor="text1"/>
          <w:sz w:val="32"/>
          <w:szCs w:val="32"/>
          <w:lang w:val="en-US" w:eastAsia="zh-CN"/>
        </w:rPr>
      </w:pPr>
      <w:r>
        <w:rPr>
          <w:rFonts w:hint="eastAsia" w:eastAsia="黑体"/>
          <w:color w:val="000000" w:themeColor="text1"/>
          <w:sz w:val="32"/>
          <w:szCs w:val="32"/>
          <w:lang w:val="en-US" w:eastAsia="zh-CN"/>
        </w:rPr>
        <w:t>二、现状</w:t>
      </w:r>
    </w:p>
    <w:p w14:paraId="286734B5">
      <w:pPr>
        <w:numPr>
          <w:ilvl w:val="0"/>
          <w:numId w:val="1"/>
        </w:numPr>
        <w:spacing w:line="560" w:lineRule="exact"/>
        <w:ind w:left="425" w:leftChars="0" w:hanging="425" w:firstLineChars="0"/>
        <w:rPr>
          <w:rFonts w:hint="eastAsia" w:ascii="仿宋" w:hAnsi="仿宋" w:eastAsia="仿宋" w:cs="仿宋"/>
          <w:color w:val="000000" w:themeColor="text1"/>
          <w:sz w:val="28"/>
          <w:szCs w:val="28"/>
          <w:lang w:val="en-US" w:eastAsia="zh-CN"/>
        </w:rPr>
      </w:pPr>
      <w:r>
        <w:rPr>
          <w:rFonts w:hint="eastAsia" w:ascii="仿宋" w:hAnsi="仿宋" w:eastAsia="仿宋" w:cs="仿宋"/>
          <w:b/>
          <w:bCs/>
          <w:color w:val="000000" w:themeColor="text1"/>
          <w:sz w:val="28"/>
          <w:szCs w:val="28"/>
          <w:lang w:val="en-US" w:eastAsia="zh-CN"/>
        </w:rPr>
        <w:t>历史放疗数据无法有效利用。</w:t>
      </w:r>
      <w:r>
        <w:rPr>
          <w:rFonts w:hint="eastAsia" w:ascii="仿宋" w:hAnsi="仿宋" w:eastAsia="仿宋" w:cs="仿宋"/>
          <w:color w:val="000000" w:themeColor="text1"/>
          <w:sz w:val="28"/>
          <w:szCs w:val="28"/>
          <w:lang w:val="en-US" w:eastAsia="zh-CN"/>
        </w:rPr>
        <w:t>我院年均放疗量1万余人次，历年来积累了大量的临床数据，但这些珍贵的历史数据分散存储在各个系统和备份中，无法进行统一调取和分析、导致其潜在价值难以挖掘，无法为临床决策与科研创新提供有效支持。</w:t>
      </w:r>
    </w:p>
    <w:p w14:paraId="4C6D642C">
      <w:pPr>
        <w:numPr>
          <w:ilvl w:val="0"/>
          <w:numId w:val="1"/>
        </w:numPr>
        <w:spacing w:line="560" w:lineRule="exact"/>
        <w:ind w:left="425" w:leftChars="0" w:hanging="425" w:firstLineChars="0"/>
        <w:rPr>
          <w:rFonts w:hint="eastAsia" w:ascii="仿宋" w:hAnsi="仿宋" w:eastAsia="仿宋" w:cs="仿宋"/>
          <w:color w:val="000000" w:themeColor="text1"/>
          <w:sz w:val="28"/>
          <w:szCs w:val="28"/>
        </w:rPr>
      </w:pPr>
      <w:r>
        <w:rPr>
          <w:rFonts w:hint="eastAsia" w:ascii="仿宋" w:hAnsi="仿宋" w:eastAsia="仿宋" w:cs="仿宋"/>
          <w:b/>
          <w:bCs/>
          <w:color w:val="000000" w:themeColor="text1"/>
          <w:sz w:val="28"/>
          <w:szCs w:val="28"/>
          <w:lang w:val="en-US" w:eastAsia="zh-CN"/>
        </w:rPr>
        <w:t>现有数据需要进行专业的数据治理。</w:t>
      </w:r>
      <w:r>
        <w:rPr>
          <w:rFonts w:hint="eastAsia" w:ascii="仿宋" w:hAnsi="仿宋" w:eastAsia="仿宋" w:cs="仿宋"/>
          <w:color w:val="000000" w:themeColor="text1"/>
          <w:sz w:val="28"/>
          <w:szCs w:val="28"/>
          <w:lang w:val="en-US" w:eastAsia="zh-CN"/>
        </w:rPr>
        <w:t>2021年智慧放疗系统上线后，虽然实现近4年数据的集中管理，但侧重于临床功能实现，需要进行大量的数据归档、清洗、分析等数据治理工作才能为医院管理和科研提供更大的价值。</w:t>
      </w:r>
    </w:p>
    <w:p w14:paraId="1C421084">
      <w:pPr>
        <w:numPr>
          <w:ilvl w:val="0"/>
          <w:numId w:val="1"/>
        </w:numPr>
        <w:spacing w:line="560" w:lineRule="exact"/>
        <w:ind w:left="425" w:leftChars="0" w:hanging="425" w:firstLineChars="0"/>
        <w:rPr>
          <w:rFonts w:hint="eastAsia" w:ascii="仿宋_GB2312" w:hAnsi="仿宋_GB2312" w:eastAsia="仿宋_GB2312" w:cs="仿宋_GB2312"/>
          <w:color w:val="000000" w:themeColor="text1"/>
          <w:sz w:val="32"/>
          <w:szCs w:val="32"/>
          <w:lang w:val="en-US" w:eastAsia="zh-CN"/>
        </w:rPr>
      </w:pPr>
      <w:r>
        <w:rPr>
          <w:rFonts w:hint="eastAsia" w:ascii="仿宋" w:hAnsi="仿宋" w:eastAsia="仿宋" w:cs="仿宋"/>
          <w:b/>
          <w:bCs/>
          <w:color w:val="000000" w:themeColor="text1"/>
          <w:sz w:val="28"/>
          <w:szCs w:val="28"/>
          <w:lang w:val="en-US" w:eastAsia="zh-CN"/>
        </w:rPr>
        <w:t>现有系统功能需要持续建设。</w:t>
      </w:r>
      <w:r>
        <w:rPr>
          <w:rFonts w:hint="eastAsia" w:ascii="仿宋" w:hAnsi="仿宋" w:eastAsia="仿宋" w:cs="仿宋"/>
          <w:color w:val="000000" w:themeColor="text1"/>
          <w:sz w:val="28"/>
          <w:szCs w:val="28"/>
          <w:lang w:val="en-US" w:eastAsia="zh-CN"/>
        </w:rPr>
        <w:t>根据《国家卫生健康委办公厅关于进一步加强单病种质量管理与控制工作的通知》、《国家卫生健康委办公厅关于进一步推进医疗信息化建设的通知》等文件精神，现有智慧放疗系统需要持续完善、与时俱进，才能满足日益复杂的临床治疗和科研需求。</w:t>
      </w:r>
    </w:p>
    <w:p w14:paraId="24B7588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eastAsia="黑体"/>
          <w:color w:val="000000" w:themeColor="text1"/>
          <w:sz w:val="32"/>
          <w:szCs w:val="32"/>
          <w:lang w:val="en-US" w:eastAsia="zh-CN"/>
        </w:rPr>
      </w:pPr>
      <w:r>
        <w:rPr>
          <w:rFonts w:hint="eastAsia" w:eastAsia="黑体"/>
          <w:color w:val="000000" w:themeColor="text1"/>
          <w:sz w:val="32"/>
          <w:szCs w:val="32"/>
          <w:lang w:val="en-US" w:eastAsia="zh-CN"/>
        </w:rPr>
        <w:t>三、建设内容</w:t>
      </w:r>
    </w:p>
    <w:p w14:paraId="2574006E">
      <w:pPr>
        <w:numPr>
          <w:ilvl w:val="0"/>
          <w:numId w:val="2"/>
        </w:numPr>
        <w:spacing w:line="560" w:lineRule="exact"/>
        <w:ind w:left="425" w:leftChars="0" w:hanging="425" w:firstLineChars="0"/>
        <w:rPr>
          <w:rFonts w:hint="eastAsia" w:ascii="仿宋" w:hAnsi="仿宋" w:eastAsia="仿宋" w:cs="仿宋"/>
          <w:color w:val="000000" w:themeColor="text1"/>
          <w:sz w:val="28"/>
          <w:szCs w:val="28"/>
        </w:rPr>
      </w:pPr>
      <w:r>
        <w:rPr>
          <w:rFonts w:hint="eastAsia" w:ascii="仿宋" w:hAnsi="仿宋" w:eastAsia="仿宋" w:cs="仿宋"/>
          <w:b/>
          <w:bCs/>
          <w:color w:val="000000" w:themeColor="text1"/>
          <w:sz w:val="28"/>
          <w:szCs w:val="28"/>
        </w:rPr>
        <w:t>构建</w:t>
      </w:r>
      <w:r>
        <w:rPr>
          <w:rFonts w:hint="eastAsia" w:ascii="仿宋" w:hAnsi="仿宋" w:eastAsia="仿宋" w:cs="仿宋"/>
          <w:b/>
          <w:bCs/>
          <w:color w:val="000000" w:themeColor="text1"/>
          <w:sz w:val="28"/>
          <w:szCs w:val="28"/>
          <w:lang w:val="en-US" w:eastAsia="zh-CN"/>
        </w:rPr>
        <w:t>放疗科研数据中心</w:t>
      </w:r>
      <w:r>
        <w:rPr>
          <w:rFonts w:hint="eastAsia" w:ascii="仿宋" w:hAnsi="仿宋" w:eastAsia="仿宋" w:cs="仿宋"/>
          <w:b/>
          <w:bCs/>
          <w:color w:val="000000" w:themeColor="text1"/>
          <w:sz w:val="28"/>
          <w:szCs w:val="28"/>
          <w:lang w:eastAsia="zh-CN"/>
        </w:rPr>
        <w:t>。</w:t>
      </w:r>
      <w:r>
        <w:rPr>
          <w:rFonts w:hint="eastAsia" w:ascii="仿宋" w:hAnsi="仿宋" w:eastAsia="仿宋" w:cs="仿宋"/>
          <w:color w:val="000000" w:themeColor="text1"/>
          <w:sz w:val="28"/>
          <w:szCs w:val="28"/>
          <w:lang w:val="en-US" w:eastAsia="zh-CN"/>
        </w:rPr>
        <w:t>基于现有智慧放疗信息系统，打造放疗科研数据中心。通过整合临床与历史数据，开展归档、聚合、清洗、筛选及分析等一系列数据治理工作</w:t>
      </w:r>
      <w:r>
        <w:rPr>
          <w:rFonts w:hint="eastAsia" w:ascii="仿宋" w:hAnsi="仿宋" w:eastAsia="仿宋" w:cs="仿宋"/>
          <w:color w:val="000000" w:themeColor="text1"/>
          <w:sz w:val="28"/>
          <w:szCs w:val="28"/>
        </w:rPr>
        <w:t>，</w:t>
      </w:r>
      <w:r>
        <w:rPr>
          <w:rFonts w:hint="eastAsia" w:ascii="仿宋" w:hAnsi="仿宋" w:eastAsia="仿宋" w:cs="仿宋"/>
          <w:color w:val="000000" w:themeColor="text1"/>
          <w:sz w:val="28"/>
          <w:szCs w:val="28"/>
          <w:lang w:val="en-US" w:eastAsia="zh-CN"/>
        </w:rPr>
        <w:t>对</w:t>
      </w:r>
      <w:r>
        <w:rPr>
          <w:rFonts w:hint="eastAsia" w:ascii="仿宋" w:hAnsi="仿宋" w:eastAsia="仿宋" w:cs="仿宋"/>
          <w:color w:val="000000" w:themeColor="text1"/>
          <w:sz w:val="28"/>
          <w:szCs w:val="28"/>
        </w:rPr>
        <w:t>提升临床研究的效率和质量、促进个性化治疗、提高医疗服务水平以及推动医学领域的创新和发展都具有重要的</w:t>
      </w:r>
      <w:r>
        <w:rPr>
          <w:rFonts w:hint="eastAsia" w:ascii="仿宋" w:hAnsi="仿宋" w:eastAsia="仿宋" w:cs="仿宋"/>
          <w:color w:val="000000" w:themeColor="text1"/>
          <w:sz w:val="28"/>
          <w:szCs w:val="28"/>
          <w:lang w:val="en-US" w:eastAsia="zh-CN"/>
        </w:rPr>
        <w:t>作用，为放疗临床、物理师、放疗技师等专业人员提供全方位的临床与科研服务，为全院科研平台提供放疗数据支持。</w:t>
      </w:r>
    </w:p>
    <w:p w14:paraId="5F85470A">
      <w:pPr>
        <w:pStyle w:val="2"/>
        <w:ind w:left="0" w:leftChars="0" w:firstLine="0" w:firstLineChars="0"/>
        <w:rPr>
          <w:color w:val="000000" w:themeColor="text1"/>
        </w:rPr>
      </w:pPr>
      <w:r>
        <w:rPr>
          <w:color w:val="000000" w:themeColor="text1"/>
        </w:rPr>
        <w:drawing>
          <wp:inline distT="0" distB="0" distL="114300" distR="114300">
            <wp:extent cx="5273040" cy="2753995"/>
            <wp:effectExtent l="0" t="0" r="3810" b="825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6"/>
                    <a:stretch>
                      <a:fillRect/>
                    </a:stretch>
                  </pic:blipFill>
                  <pic:spPr>
                    <a:xfrm>
                      <a:off x="0" y="0"/>
                      <a:ext cx="5273040" cy="2753995"/>
                    </a:xfrm>
                    <a:prstGeom prst="rect">
                      <a:avLst/>
                    </a:prstGeom>
                    <a:noFill/>
                    <a:ln>
                      <a:noFill/>
                    </a:ln>
                  </pic:spPr>
                </pic:pic>
              </a:graphicData>
            </a:graphic>
          </wp:inline>
        </w:drawing>
      </w:r>
    </w:p>
    <w:p w14:paraId="40E8828A">
      <w:pPr>
        <w:pStyle w:val="2"/>
        <w:ind w:left="0" w:leftChars="0" w:firstLine="0" w:firstLineChars="0"/>
        <w:jc w:val="center"/>
        <w:rPr>
          <w:rFonts w:hint="default" w:ascii="仿宋" w:hAnsi="仿宋" w:eastAsia="仿宋" w:cs="仿宋"/>
          <w:b w:val="0"/>
          <w:bCs/>
          <w:color w:val="000000" w:themeColor="text1"/>
          <w:sz w:val="24"/>
          <w:szCs w:val="24"/>
          <w:lang w:val="en-US" w:eastAsia="zh-CN"/>
        </w:rPr>
      </w:pPr>
      <w:r>
        <w:rPr>
          <w:rFonts w:hint="eastAsia" w:ascii="仿宋" w:hAnsi="仿宋" w:eastAsia="仿宋" w:cs="仿宋"/>
          <w:b w:val="0"/>
          <w:bCs/>
          <w:color w:val="000000" w:themeColor="text1"/>
          <w:sz w:val="24"/>
          <w:szCs w:val="24"/>
          <w:lang w:val="en-US" w:eastAsia="zh-CN"/>
        </w:rPr>
        <w:t>放疗病案文件及过程数据</w:t>
      </w:r>
    </w:p>
    <w:p w14:paraId="08D18D70">
      <w:pPr>
        <w:pStyle w:val="2"/>
        <w:numPr>
          <w:ilvl w:val="0"/>
          <w:numId w:val="3"/>
        </w:numPr>
        <w:ind w:left="425" w:leftChars="0" w:hanging="425" w:firstLineChars="0"/>
        <w:rPr>
          <w:rFonts w:hint="eastAsia" w:ascii="仿宋" w:hAnsi="仿宋" w:eastAsia="仿宋" w:cs="仿宋"/>
          <w:color w:val="000000" w:themeColor="text1"/>
          <w:sz w:val="28"/>
          <w:szCs w:val="28"/>
          <w:lang w:val="en-US" w:eastAsia="zh-CN"/>
        </w:rPr>
      </w:pPr>
      <w:r>
        <w:rPr>
          <w:rFonts w:hint="eastAsia" w:ascii="仿宋" w:hAnsi="仿宋" w:eastAsia="仿宋" w:cs="仿宋"/>
          <w:color w:val="000000" w:themeColor="text1"/>
          <w:sz w:val="28"/>
          <w:szCs w:val="28"/>
          <w:lang w:val="en-US" w:eastAsia="zh-CN"/>
        </w:rPr>
        <w:t>放疗数据集成</w:t>
      </w:r>
    </w:p>
    <w:p w14:paraId="6C03DC68">
      <w:pPr>
        <w:spacing w:line="560" w:lineRule="exact"/>
        <w:ind w:firstLine="560" w:firstLineChars="200"/>
        <w:rPr>
          <w:rFonts w:hint="eastAsia" w:ascii="仿宋" w:hAnsi="仿宋" w:eastAsia="仿宋" w:cs="仿宋"/>
          <w:color w:val="000000" w:themeColor="text1"/>
          <w:sz w:val="28"/>
          <w:szCs w:val="28"/>
          <w:lang w:val="en-US" w:eastAsia="zh-CN"/>
        </w:rPr>
      </w:pPr>
      <w:r>
        <w:rPr>
          <w:rFonts w:hint="eastAsia" w:ascii="仿宋" w:hAnsi="仿宋" w:eastAsia="仿宋" w:cs="仿宋"/>
          <w:color w:val="000000" w:themeColor="text1"/>
          <w:sz w:val="28"/>
          <w:szCs w:val="28"/>
          <w:lang w:val="en-US" w:eastAsia="zh-CN"/>
        </w:rPr>
        <w:t>对接放疗临床系统、HIS、EMR、TPS、放射治疗网络、病案、随访、放射科PACS、核医学等系统，整合患者基本信息、诊断信息、定位信息、计划设计申请信息、放疗计划、放疗病案文件、放疗记录、治疗小结、随访等数据。</w:t>
      </w:r>
    </w:p>
    <w:p w14:paraId="60AAD268">
      <w:pPr>
        <w:pStyle w:val="2"/>
        <w:ind w:left="0" w:leftChars="0" w:firstLine="0" w:firstLineChars="0"/>
        <w:rPr>
          <w:color w:val="000000" w:themeColor="text1"/>
        </w:rPr>
      </w:pPr>
      <w:r>
        <w:rPr>
          <w:color w:val="000000" w:themeColor="text1"/>
        </w:rPr>
        <w:drawing>
          <wp:inline distT="0" distB="0" distL="114300" distR="114300">
            <wp:extent cx="5319395" cy="3517265"/>
            <wp:effectExtent l="0" t="0" r="14605"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319395" cy="3517265"/>
                    </a:xfrm>
                    <a:prstGeom prst="rect">
                      <a:avLst/>
                    </a:prstGeom>
                  </pic:spPr>
                </pic:pic>
              </a:graphicData>
            </a:graphic>
          </wp:inline>
        </w:drawing>
      </w:r>
    </w:p>
    <w:p w14:paraId="0CBD5A98">
      <w:pPr>
        <w:pStyle w:val="2"/>
        <w:ind w:left="0" w:leftChars="0" w:firstLine="0" w:firstLineChars="0"/>
        <w:jc w:val="center"/>
        <w:rPr>
          <w:rFonts w:hint="eastAsia" w:ascii="仿宋" w:hAnsi="仿宋" w:eastAsia="仿宋" w:cs="仿宋"/>
          <w:b w:val="0"/>
          <w:bCs/>
          <w:color w:val="000000" w:themeColor="text1"/>
          <w:sz w:val="24"/>
          <w:szCs w:val="24"/>
          <w:lang w:val="en-US" w:eastAsia="zh-CN"/>
        </w:rPr>
      </w:pPr>
      <w:r>
        <w:rPr>
          <w:rFonts w:hint="eastAsia" w:ascii="仿宋" w:hAnsi="仿宋" w:eastAsia="仿宋" w:cs="仿宋"/>
          <w:b w:val="0"/>
          <w:bCs/>
          <w:color w:val="000000" w:themeColor="text1"/>
          <w:sz w:val="24"/>
          <w:szCs w:val="24"/>
          <w:lang w:val="en-US" w:eastAsia="zh-CN"/>
        </w:rPr>
        <w:t>放疗全景数据</w:t>
      </w:r>
    </w:p>
    <w:p w14:paraId="12523483">
      <w:pPr>
        <w:pStyle w:val="2"/>
        <w:ind w:left="0" w:leftChars="0" w:firstLine="0" w:firstLineChars="0"/>
        <w:rPr>
          <w:color w:val="000000" w:themeColor="text1"/>
        </w:rPr>
      </w:pPr>
      <w:r>
        <w:rPr>
          <w:color w:val="000000" w:themeColor="text1"/>
        </w:rPr>
        <w:drawing>
          <wp:inline distT="0" distB="0" distL="114300" distR="114300">
            <wp:extent cx="5269865" cy="2627630"/>
            <wp:effectExtent l="0" t="0" r="698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rcRect t="4587" b="2361"/>
                    <a:stretch>
                      <a:fillRect/>
                    </a:stretch>
                  </pic:blipFill>
                  <pic:spPr>
                    <a:xfrm>
                      <a:off x="0" y="0"/>
                      <a:ext cx="5269865" cy="2627630"/>
                    </a:xfrm>
                    <a:prstGeom prst="rect">
                      <a:avLst/>
                    </a:prstGeom>
                    <a:noFill/>
                    <a:ln>
                      <a:noFill/>
                    </a:ln>
                  </pic:spPr>
                </pic:pic>
              </a:graphicData>
            </a:graphic>
          </wp:inline>
        </w:drawing>
      </w:r>
    </w:p>
    <w:p w14:paraId="3E5ADEDC">
      <w:pPr>
        <w:pStyle w:val="2"/>
        <w:ind w:left="0" w:leftChars="0" w:firstLine="0" w:firstLineChars="0"/>
        <w:jc w:val="center"/>
        <w:rPr>
          <w:rFonts w:hint="eastAsia" w:ascii="仿宋" w:hAnsi="仿宋" w:eastAsia="仿宋" w:cs="仿宋"/>
          <w:b w:val="0"/>
          <w:bCs/>
          <w:color w:val="000000" w:themeColor="text1"/>
          <w:sz w:val="24"/>
          <w:szCs w:val="24"/>
          <w:lang w:val="en-US" w:eastAsia="zh-CN"/>
        </w:rPr>
      </w:pPr>
      <w:r>
        <w:rPr>
          <w:rFonts w:hint="eastAsia" w:ascii="仿宋" w:hAnsi="仿宋" w:eastAsia="仿宋" w:cs="仿宋"/>
          <w:b w:val="0"/>
          <w:bCs/>
          <w:color w:val="000000" w:themeColor="text1"/>
          <w:sz w:val="24"/>
          <w:szCs w:val="24"/>
          <w:lang w:val="en-US" w:eastAsia="zh-CN"/>
        </w:rPr>
        <w:t>数据集成技术</w:t>
      </w:r>
    </w:p>
    <w:p w14:paraId="0E721495">
      <w:pPr>
        <w:pStyle w:val="2"/>
        <w:numPr>
          <w:ilvl w:val="0"/>
          <w:numId w:val="3"/>
        </w:numPr>
        <w:ind w:left="425" w:leftChars="0" w:hanging="425" w:firstLineChars="0"/>
        <w:rPr>
          <w:rFonts w:hint="eastAsia" w:ascii="仿宋" w:hAnsi="仿宋" w:eastAsia="仿宋" w:cs="仿宋"/>
          <w:color w:val="000000" w:themeColor="text1"/>
          <w:sz w:val="28"/>
          <w:szCs w:val="28"/>
          <w:lang w:val="en-US" w:eastAsia="zh-CN"/>
        </w:rPr>
      </w:pPr>
      <w:r>
        <w:rPr>
          <w:rFonts w:hint="eastAsia" w:ascii="仿宋" w:hAnsi="仿宋" w:eastAsia="仿宋" w:cs="仿宋"/>
          <w:color w:val="000000" w:themeColor="text1"/>
          <w:sz w:val="28"/>
          <w:szCs w:val="28"/>
          <w:lang w:val="en-US" w:eastAsia="zh-CN"/>
        </w:rPr>
        <w:t>放疗数据结构化</w:t>
      </w:r>
    </w:p>
    <w:p w14:paraId="2FB4534C">
      <w:pPr>
        <w:spacing w:line="560" w:lineRule="exact"/>
        <w:ind w:firstLine="560" w:firstLineChars="200"/>
        <w:rPr>
          <w:rFonts w:hint="default" w:ascii="仿宋" w:hAnsi="仿宋" w:eastAsia="仿宋" w:cs="仿宋"/>
          <w:color w:val="000000" w:themeColor="text1"/>
          <w:sz w:val="28"/>
          <w:szCs w:val="28"/>
          <w:lang w:val="en-US" w:eastAsia="zh-CN"/>
        </w:rPr>
      </w:pPr>
      <w:r>
        <w:rPr>
          <w:rFonts w:hint="default" w:ascii="仿宋" w:hAnsi="仿宋" w:eastAsia="仿宋" w:cs="仿宋"/>
          <w:color w:val="000000" w:themeColor="text1"/>
          <w:sz w:val="28"/>
          <w:szCs w:val="28"/>
          <w:lang w:val="en-US" w:eastAsia="zh-CN"/>
        </w:rPr>
        <w:t>放疗临床数据结构化是提高数据质量和促进数据共享的关键环节，它涉及到数据采集、存储、处理、分析等多个方面。放疗临床数据包括人口学信息、诊断信息、放疗影像（RT Images、RT Structure、RT Plan、RT Dose）、治疗记录等，需要建立规范化操作规程来确保数据的一致性和准确性。</w:t>
      </w:r>
    </w:p>
    <w:p w14:paraId="4348525C">
      <w:pPr>
        <w:pStyle w:val="2"/>
        <w:ind w:left="0" w:leftChars="0" w:firstLine="0" w:firstLineChars="0"/>
        <w:jc w:val="both"/>
        <w:rPr>
          <w:color w:val="000000" w:themeColor="text1"/>
        </w:rPr>
      </w:pPr>
      <w:r>
        <w:rPr>
          <w:color w:val="000000" w:themeColor="text1"/>
        </w:rPr>
        <w:drawing>
          <wp:inline distT="0" distB="0" distL="114300" distR="114300">
            <wp:extent cx="5268595" cy="2348230"/>
            <wp:effectExtent l="0" t="0" r="8255"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268595" cy="2348230"/>
                    </a:xfrm>
                    <a:prstGeom prst="rect">
                      <a:avLst/>
                    </a:prstGeom>
                    <a:noFill/>
                    <a:ln>
                      <a:noFill/>
                    </a:ln>
                  </pic:spPr>
                </pic:pic>
              </a:graphicData>
            </a:graphic>
          </wp:inline>
        </w:drawing>
      </w:r>
    </w:p>
    <w:p w14:paraId="234C7BE1">
      <w:pPr>
        <w:pStyle w:val="2"/>
        <w:ind w:left="0" w:leftChars="0" w:firstLine="0" w:firstLineChars="0"/>
        <w:jc w:val="center"/>
        <w:rPr>
          <w:rFonts w:hint="default" w:ascii="仿宋" w:hAnsi="仿宋" w:eastAsia="仿宋" w:cs="仿宋"/>
          <w:b w:val="0"/>
          <w:bCs/>
          <w:color w:val="000000" w:themeColor="text1"/>
          <w:sz w:val="24"/>
          <w:szCs w:val="24"/>
          <w:lang w:val="en-US" w:eastAsia="zh-CN"/>
        </w:rPr>
      </w:pPr>
      <w:r>
        <w:rPr>
          <w:rFonts w:hint="eastAsia" w:ascii="仿宋" w:hAnsi="仿宋" w:eastAsia="仿宋" w:cs="仿宋"/>
          <w:b w:val="0"/>
          <w:bCs/>
          <w:color w:val="000000" w:themeColor="text1"/>
          <w:sz w:val="24"/>
          <w:szCs w:val="24"/>
          <w:lang w:val="en-US" w:eastAsia="zh-CN"/>
        </w:rPr>
        <w:t>数据结构化处理</w:t>
      </w:r>
    </w:p>
    <w:p w14:paraId="3DCB8E8D">
      <w:pPr>
        <w:numPr>
          <w:ilvl w:val="0"/>
          <w:numId w:val="2"/>
        </w:numPr>
        <w:spacing w:line="560" w:lineRule="exact"/>
        <w:ind w:left="425" w:leftChars="0" w:hanging="425" w:firstLineChars="0"/>
        <w:rPr>
          <w:rFonts w:hint="eastAsia" w:ascii="仿宋" w:hAnsi="仿宋" w:eastAsia="仿宋" w:cs="仿宋"/>
          <w:b w:val="0"/>
          <w:bCs w:val="0"/>
          <w:color w:val="000000" w:themeColor="text1"/>
          <w:sz w:val="28"/>
          <w:szCs w:val="28"/>
        </w:rPr>
      </w:pPr>
      <w:bookmarkStart w:id="0" w:name="_GoBack"/>
      <w:bookmarkEnd w:id="0"/>
      <w:r>
        <w:rPr>
          <w:rFonts w:hint="eastAsia" w:ascii="仿宋" w:hAnsi="仿宋" w:eastAsia="仿宋" w:cs="仿宋"/>
          <w:b/>
          <w:bCs/>
          <w:color w:val="000000" w:themeColor="text1"/>
          <w:sz w:val="28"/>
          <w:szCs w:val="28"/>
          <w:lang w:val="en-US" w:eastAsia="zh-CN"/>
        </w:rPr>
        <w:t>历史TPS数据统一存储、清洗、归集。</w:t>
      </w:r>
      <w:r>
        <w:rPr>
          <w:rFonts w:hint="eastAsia" w:ascii="仿宋" w:hAnsi="仿宋" w:eastAsia="仿宋" w:cs="仿宋"/>
          <w:color w:val="000000" w:themeColor="text1"/>
          <w:sz w:val="28"/>
          <w:szCs w:val="28"/>
          <w:lang w:val="en-US" w:eastAsia="zh-CN"/>
        </w:rPr>
        <w:t>将我院历史备份的6万余例TPS数据进行数据治理，统一存储并归集至放疗科研数据中心。具体为开发针对Pinnacle TPS备份数据的处理工具，解析Pinnacle TPS备份数据，并转化为CT、RT Structure、RT Plan、RT Dose四大类dcm文件；开发针对其他TPS备份数据的处理工具，可批量导出以上四大类dcm文件。</w:t>
      </w:r>
      <w:r>
        <w:rPr>
          <w:rFonts w:hint="eastAsia" w:ascii="仿宋" w:hAnsi="仿宋" w:eastAsia="仿宋" w:cs="仿宋"/>
          <w:b w:val="0"/>
          <w:bCs w:val="0"/>
          <w:color w:val="000000" w:themeColor="text1"/>
          <w:sz w:val="28"/>
          <w:szCs w:val="28"/>
          <w:lang w:val="en-US" w:eastAsia="zh-CN"/>
        </w:rPr>
        <w:t>补全放疗科研数据中心历史TPS放疗数据，具体为从HIS系统获取放疗患者人口学信息、诊断信息、疾病、肿瘤分期等数据，从治疗网络获取放疗患者治疗记录、治疗时间、治疗次数等数据，形成完整的放疗关键节点数据。</w:t>
      </w:r>
    </w:p>
    <w:p w14:paraId="5120820E">
      <w:pPr>
        <w:pStyle w:val="2"/>
        <w:ind w:left="0" w:leftChars="0" w:firstLine="0" w:firstLineChars="0"/>
        <w:rPr>
          <w:color w:val="000000" w:themeColor="text1"/>
        </w:rPr>
      </w:pPr>
      <w:r>
        <w:rPr>
          <w:color w:val="000000" w:themeColor="text1"/>
        </w:rPr>
        <w:drawing>
          <wp:inline distT="0" distB="0" distL="114300" distR="114300">
            <wp:extent cx="5272405" cy="2364105"/>
            <wp:effectExtent l="0" t="0" r="4445" b="1714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5272405" cy="2364105"/>
                    </a:xfrm>
                    <a:prstGeom prst="rect">
                      <a:avLst/>
                    </a:prstGeom>
                    <a:noFill/>
                    <a:ln>
                      <a:noFill/>
                    </a:ln>
                  </pic:spPr>
                </pic:pic>
              </a:graphicData>
            </a:graphic>
          </wp:inline>
        </w:drawing>
      </w:r>
    </w:p>
    <w:p w14:paraId="66584709">
      <w:pPr>
        <w:pStyle w:val="2"/>
        <w:ind w:left="0" w:leftChars="0" w:firstLine="0" w:firstLineChars="0"/>
        <w:jc w:val="center"/>
        <w:rPr>
          <w:rFonts w:hint="default" w:ascii="仿宋" w:hAnsi="仿宋" w:eastAsia="仿宋" w:cs="仿宋"/>
          <w:b w:val="0"/>
          <w:bCs/>
          <w:color w:val="000000" w:themeColor="text1"/>
          <w:sz w:val="24"/>
          <w:szCs w:val="24"/>
          <w:lang w:val="en-US" w:eastAsia="zh-CN"/>
        </w:rPr>
      </w:pPr>
      <w:r>
        <w:rPr>
          <w:rFonts w:hint="eastAsia" w:ascii="仿宋" w:hAnsi="仿宋" w:eastAsia="仿宋" w:cs="仿宋"/>
          <w:b w:val="0"/>
          <w:bCs/>
          <w:color w:val="000000" w:themeColor="text1"/>
          <w:sz w:val="24"/>
          <w:szCs w:val="24"/>
          <w:lang w:val="en-US" w:eastAsia="zh-CN"/>
        </w:rPr>
        <w:t>历史数据整理</w:t>
      </w:r>
    </w:p>
    <w:p w14:paraId="19994224">
      <w:pPr>
        <w:numPr>
          <w:ilvl w:val="0"/>
          <w:numId w:val="2"/>
        </w:numPr>
        <w:spacing w:line="560" w:lineRule="exact"/>
        <w:ind w:left="425" w:leftChars="0" w:hanging="425" w:firstLineChars="0"/>
        <w:rPr>
          <w:rFonts w:hint="eastAsia" w:ascii="仿宋" w:hAnsi="仿宋" w:eastAsia="仿宋" w:cs="仿宋"/>
          <w:color w:val="000000" w:themeColor="text1"/>
          <w:sz w:val="28"/>
          <w:szCs w:val="28"/>
        </w:rPr>
      </w:pPr>
      <w:r>
        <w:rPr>
          <w:rFonts w:hint="eastAsia" w:ascii="仿宋" w:hAnsi="仿宋" w:eastAsia="仿宋" w:cs="宋体"/>
          <w:b/>
          <w:color w:val="000000" w:themeColor="text1"/>
          <w:spacing w:val="4"/>
          <w:kern w:val="0"/>
          <w:sz w:val="28"/>
          <w:szCs w:val="28"/>
        </w:rPr>
        <w:t>重离子服务平台建设：</w:t>
      </w:r>
      <w:r>
        <w:rPr>
          <w:rFonts w:hint="eastAsia" w:ascii="仿宋" w:hAnsi="仿宋" w:eastAsia="仿宋" w:cs="宋体"/>
          <w:color w:val="000000" w:themeColor="text1"/>
          <w:spacing w:val="4"/>
          <w:kern w:val="0"/>
          <w:sz w:val="28"/>
          <w:szCs w:val="28"/>
        </w:rPr>
        <w:t>结合</w:t>
      </w:r>
      <w:r>
        <w:rPr>
          <w:rFonts w:ascii="仿宋" w:hAnsi="仿宋" w:eastAsia="仿宋" w:cs="宋体"/>
          <w:color w:val="000000" w:themeColor="text1"/>
          <w:spacing w:val="4"/>
          <w:kern w:val="0"/>
          <w:sz w:val="28"/>
          <w:szCs w:val="28"/>
        </w:rPr>
        <w:t>中国自主知识产权的</w:t>
      </w:r>
      <w:r>
        <w:rPr>
          <w:rFonts w:hint="eastAsia" w:ascii="仿宋" w:hAnsi="仿宋" w:eastAsia="仿宋" w:cstheme="majorBidi"/>
          <w:color w:val="000000" w:themeColor="text1"/>
          <w:sz w:val="28"/>
          <w:szCs w:val="28"/>
        </w:rPr>
        <w:t>离子放疗装备，</w:t>
      </w:r>
      <w:r>
        <w:rPr>
          <w:rFonts w:ascii="仿宋" w:hAnsi="仿宋" w:eastAsia="仿宋" w:cs="宋体"/>
          <w:color w:val="000000" w:themeColor="text1"/>
          <w:spacing w:val="4"/>
          <w:kern w:val="0"/>
          <w:sz w:val="28"/>
          <w:szCs w:val="28"/>
        </w:rPr>
        <w:t>完善其</w:t>
      </w:r>
      <w:r>
        <w:rPr>
          <w:rFonts w:hint="eastAsia" w:ascii="仿宋" w:hAnsi="仿宋" w:eastAsia="仿宋" w:cs="宋体"/>
          <w:color w:val="000000" w:themeColor="text1"/>
          <w:spacing w:val="4"/>
          <w:kern w:val="0"/>
          <w:sz w:val="28"/>
          <w:szCs w:val="28"/>
          <w:lang w:val="en-US" w:eastAsia="zh-CN"/>
        </w:rPr>
        <w:t>和直加</w:t>
      </w:r>
      <w:r>
        <w:rPr>
          <w:rFonts w:ascii="仿宋" w:hAnsi="仿宋" w:eastAsia="仿宋" w:cs="宋体"/>
          <w:color w:val="000000" w:themeColor="text1"/>
          <w:spacing w:val="4"/>
          <w:kern w:val="0"/>
          <w:sz w:val="28"/>
          <w:szCs w:val="28"/>
        </w:rPr>
        <w:t>在流程管理、治疗实施等方面的</w:t>
      </w:r>
      <w:r>
        <w:rPr>
          <w:rFonts w:hint="eastAsia" w:ascii="仿宋" w:hAnsi="仿宋" w:eastAsia="仿宋" w:cs="宋体"/>
          <w:color w:val="000000" w:themeColor="text1"/>
          <w:spacing w:val="4"/>
          <w:kern w:val="0"/>
          <w:sz w:val="28"/>
          <w:szCs w:val="28"/>
          <w:lang w:val="en-US" w:eastAsia="zh-CN"/>
        </w:rPr>
        <w:t>差异性流程改造，支持重离子治疗和光子治疗剂量融合临床需要</w:t>
      </w:r>
      <w:r>
        <w:rPr>
          <w:rFonts w:ascii="仿宋" w:hAnsi="仿宋" w:eastAsia="仿宋" w:cs="宋体"/>
          <w:color w:val="000000" w:themeColor="text1"/>
          <w:spacing w:val="4"/>
          <w:kern w:val="0"/>
          <w:sz w:val="28"/>
          <w:szCs w:val="28"/>
        </w:rPr>
        <w:t>，</w:t>
      </w:r>
      <w:r>
        <w:rPr>
          <w:rFonts w:hint="eastAsia" w:ascii="仿宋" w:hAnsi="仿宋" w:eastAsia="仿宋" w:cs="宋体"/>
          <w:color w:val="000000" w:themeColor="text1"/>
          <w:spacing w:val="4"/>
          <w:kern w:val="0"/>
          <w:sz w:val="28"/>
          <w:szCs w:val="28"/>
          <w:lang w:val="en-US" w:eastAsia="zh-CN"/>
        </w:rPr>
        <w:t>建设我院</w:t>
      </w:r>
      <w:r>
        <w:rPr>
          <w:rFonts w:hint="eastAsia" w:ascii="仿宋" w:hAnsi="仿宋" w:eastAsia="仿宋" w:cs="宋体"/>
          <w:color w:val="000000" w:themeColor="text1"/>
          <w:spacing w:val="4"/>
          <w:kern w:val="0"/>
          <w:sz w:val="28"/>
          <w:szCs w:val="28"/>
        </w:rPr>
        <w:t>重离子的科普、</w:t>
      </w:r>
      <w:r>
        <w:rPr>
          <w:rFonts w:hint="eastAsia" w:ascii="仿宋" w:hAnsi="仿宋" w:eastAsia="仿宋" w:cs="宋体"/>
          <w:color w:val="000000" w:themeColor="text1"/>
          <w:spacing w:val="4"/>
          <w:kern w:val="0"/>
          <w:sz w:val="28"/>
          <w:szCs w:val="28"/>
          <w:lang w:val="en-US" w:eastAsia="zh-CN"/>
        </w:rPr>
        <w:t>宣教</w:t>
      </w:r>
      <w:r>
        <w:rPr>
          <w:rFonts w:hint="eastAsia" w:ascii="仿宋" w:hAnsi="仿宋" w:eastAsia="仿宋" w:cs="宋体"/>
          <w:color w:val="000000" w:themeColor="text1"/>
          <w:spacing w:val="4"/>
          <w:kern w:val="0"/>
          <w:sz w:val="28"/>
          <w:szCs w:val="28"/>
        </w:rPr>
        <w:t>、</w:t>
      </w:r>
      <w:r>
        <w:rPr>
          <w:rFonts w:hint="eastAsia" w:ascii="仿宋" w:hAnsi="仿宋" w:eastAsia="仿宋" w:cs="宋体"/>
          <w:color w:val="000000" w:themeColor="text1"/>
          <w:spacing w:val="4"/>
          <w:kern w:val="0"/>
          <w:sz w:val="28"/>
          <w:szCs w:val="28"/>
          <w:lang w:val="en-US" w:eastAsia="zh-CN"/>
        </w:rPr>
        <w:t>患者</w:t>
      </w:r>
      <w:r>
        <w:rPr>
          <w:rFonts w:hint="eastAsia" w:ascii="仿宋" w:hAnsi="仿宋" w:eastAsia="仿宋" w:cs="宋体"/>
          <w:color w:val="000000" w:themeColor="text1"/>
          <w:spacing w:val="4"/>
          <w:kern w:val="0"/>
          <w:sz w:val="28"/>
          <w:szCs w:val="28"/>
        </w:rPr>
        <w:t>服务、引流等全方位服务平台</w:t>
      </w:r>
      <w:r>
        <w:rPr>
          <w:rFonts w:hint="eastAsia" w:ascii="仿宋" w:hAnsi="仿宋" w:eastAsia="仿宋" w:cs="宋体"/>
          <w:color w:val="000000" w:themeColor="text1"/>
          <w:spacing w:val="4"/>
          <w:kern w:val="0"/>
          <w:sz w:val="28"/>
          <w:szCs w:val="28"/>
          <w:lang w:eastAsia="zh-CN"/>
        </w:rPr>
        <w:t>。</w:t>
      </w:r>
    </w:p>
    <w:p w14:paraId="4390D183">
      <w:pPr>
        <w:pStyle w:val="2"/>
        <w:ind w:left="0" w:leftChars="0" w:firstLine="0" w:firstLineChars="0"/>
        <w:jc w:val="center"/>
        <w:rPr>
          <w:rFonts w:hint="eastAsia"/>
          <w:b w:val="0"/>
          <w:bCs/>
          <w:color w:val="000000" w:themeColor="text1"/>
        </w:rPr>
      </w:pPr>
      <w:r>
        <w:rPr>
          <w:color w:val="000000" w:themeColor="text1"/>
        </w:rPr>
        <w:drawing>
          <wp:inline distT="0" distB="0" distL="114300" distR="114300">
            <wp:extent cx="4503420" cy="3749040"/>
            <wp:effectExtent l="0" t="0" r="11430" b="381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1"/>
                    <a:stretch>
                      <a:fillRect/>
                    </a:stretch>
                  </pic:blipFill>
                  <pic:spPr>
                    <a:xfrm>
                      <a:off x="0" y="0"/>
                      <a:ext cx="4503420" cy="3749040"/>
                    </a:xfrm>
                    <a:prstGeom prst="rect">
                      <a:avLst/>
                    </a:prstGeom>
                    <a:noFill/>
                    <a:ln>
                      <a:noFill/>
                    </a:ln>
                  </pic:spPr>
                </pic:pic>
              </a:graphicData>
            </a:graphic>
          </wp:inline>
        </w:drawing>
      </w:r>
    </w:p>
    <w:p w14:paraId="4172857A">
      <w:pPr>
        <w:numPr>
          <w:ilvl w:val="0"/>
          <w:numId w:val="2"/>
        </w:numPr>
        <w:spacing w:line="560" w:lineRule="exact"/>
        <w:ind w:left="425" w:leftChars="0" w:hanging="425" w:firstLineChars="0"/>
        <w:rPr>
          <w:rFonts w:hint="eastAsia"/>
          <w:color w:val="000000" w:themeColor="text1"/>
          <w:lang w:val="en-US" w:eastAsia="zh-CN"/>
        </w:rPr>
      </w:pPr>
      <w:r>
        <w:rPr>
          <w:rFonts w:hint="eastAsia" w:ascii="仿宋" w:hAnsi="仿宋" w:eastAsia="仿宋" w:cs="仿宋"/>
          <w:b/>
          <w:bCs/>
          <w:color w:val="000000" w:themeColor="text1"/>
          <w:sz w:val="28"/>
          <w:szCs w:val="28"/>
        </w:rPr>
        <w:t>临床管理功能完善升级</w:t>
      </w:r>
      <w:r>
        <w:rPr>
          <w:rFonts w:hint="eastAsia" w:ascii="仿宋" w:hAnsi="仿宋" w:eastAsia="仿宋" w:cs="仿宋"/>
          <w:b/>
          <w:bCs/>
          <w:color w:val="000000" w:themeColor="text1"/>
          <w:sz w:val="28"/>
          <w:szCs w:val="28"/>
          <w:lang w:eastAsia="zh-CN"/>
        </w:rPr>
        <w:t>。</w:t>
      </w:r>
      <w:r>
        <w:rPr>
          <w:rFonts w:hint="eastAsia" w:ascii="仿宋" w:hAnsi="仿宋" w:eastAsia="仿宋" w:cs="仿宋"/>
          <w:color w:val="000000" w:themeColor="text1"/>
          <w:sz w:val="28"/>
          <w:szCs w:val="28"/>
        </w:rPr>
        <w:t>随着业务拓展，放疗临床管理功能需持续优化。包括基于 MR 的后装治疗技术、完善热疗流程管理</w:t>
      </w:r>
      <w:r>
        <w:rPr>
          <w:rFonts w:hint="eastAsia" w:ascii="仿宋" w:hAnsi="仿宋" w:eastAsia="仿宋" w:cs="仿宋"/>
          <w:color w:val="000000" w:themeColor="text1"/>
          <w:sz w:val="28"/>
          <w:szCs w:val="28"/>
          <w:lang w:eastAsia="zh-CN"/>
        </w:rPr>
        <w:t>、</w:t>
      </w:r>
      <w:r>
        <w:rPr>
          <w:rFonts w:hint="eastAsia" w:ascii="仿宋" w:hAnsi="仿宋" w:eastAsia="仿宋" w:cs="仿宋"/>
          <w:color w:val="000000" w:themeColor="text1"/>
          <w:sz w:val="28"/>
          <w:szCs w:val="28"/>
          <w:lang w:val="en-US" w:eastAsia="zh-CN"/>
        </w:rPr>
        <w:t>自动生成放疗小结、教学库管理</w:t>
      </w:r>
      <w:r>
        <w:rPr>
          <w:rFonts w:hint="eastAsia" w:ascii="仿宋" w:hAnsi="仿宋" w:eastAsia="仿宋" w:cs="仿宋"/>
          <w:color w:val="000000" w:themeColor="text1"/>
          <w:sz w:val="28"/>
          <w:szCs w:val="28"/>
        </w:rPr>
        <w:t>与 QA 管理等核心临床功能，并确保满足电子病历六级评级要求，以适应日益增长的临床治疗与科研教学需求。</w:t>
      </w:r>
    </w:p>
    <w:p w14:paraId="0C230A06">
      <w:pPr>
        <w:pStyle w:val="2"/>
        <w:rPr>
          <w:rFonts w:hint="eastAsia"/>
          <w:color w:val="000000" w:themeColor="text1"/>
          <w:lang w:val="en-US" w:eastAsia="zh-CN"/>
        </w:rPr>
      </w:pPr>
    </w:p>
    <w:p w14:paraId="36098F5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0" w:line="360" w:lineRule="auto"/>
        <w:ind w:firstLine="560" w:firstLineChars="200"/>
        <w:jc w:val="left"/>
        <w:textAlignment w:val="auto"/>
        <w:rPr>
          <w:rFonts w:hint="eastAsia" w:ascii="仿宋" w:hAnsi="仿宋" w:eastAsia="仿宋" w:cs="仿宋"/>
          <w:b/>
          <w:bCs/>
          <w:color w:val="000000" w:themeColor="text1"/>
          <w:kern w:val="0"/>
          <w:sz w:val="28"/>
          <w:szCs w:val="28"/>
          <w:shd w:val="clear" w:color="auto" w:fill="FFFFFF"/>
          <w:lang w:bidi="ar"/>
        </w:rPr>
      </w:pPr>
      <w:r>
        <w:rPr>
          <w:rFonts w:hint="eastAsia" w:ascii="仿宋" w:hAnsi="仿宋" w:eastAsia="仿宋" w:cs="仿宋"/>
          <w:b w:val="0"/>
          <w:bCs/>
          <w:color w:val="000000" w:themeColor="text1"/>
          <w:sz w:val="28"/>
          <w:szCs w:val="28"/>
          <w:lang w:val="en-US" w:eastAsia="zh-CN"/>
        </w:rPr>
        <w:t>综上，本项目建设将全面提升放疗学科的规范化、数字化、智能化水平，助力我院放疗学科建设从临床型向科研型发展。</w:t>
      </w:r>
    </w:p>
    <w:p w14:paraId="26BBD7AF">
      <w:pPr>
        <w:widowControl/>
        <w:spacing w:line="560" w:lineRule="atLeast"/>
        <w:jc w:val="left"/>
        <w:rPr>
          <w:rFonts w:hint="eastAsia" w:ascii="仿宋" w:hAnsi="仿宋" w:eastAsia="仿宋" w:cs="仿宋"/>
          <w:iCs/>
          <w:color w:val="000000" w:themeColor="text1"/>
          <w:kern w:val="0"/>
          <w:sz w:val="27"/>
          <w:szCs w:val="27"/>
          <w:u w:val="none"/>
          <w:shd w:val="clear" w:color="auto" w:fill="FFFFFF"/>
          <w:lang w:val="en-US" w:eastAsia="zh-CN" w:bidi="ar"/>
        </w:rPr>
      </w:pPr>
    </w:p>
    <w:sectPr>
      <w:pgSz w:w="11906" w:h="16838"/>
      <w:pgMar w:top="1417" w:right="1800" w:bottom="1417"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4E337"/>
    <w:multiLevelType w:val="singleLevel"/>
    <w:tmpl w:val="C524E337"/>
    <w:lvl w:ilvl="0" w:tentative="0">
      <w:start w:val="1"/>
      <w:numFmt w:val="decimal"/>
      <w:lvlText w:val="%1."/>
      <w:lvlJc w:val="left"/>
      <w:pPr>
        <w:ind w:left="425" w:hanging="425"/>
      </w:pPr>
      <w:rPr>
        <w:rFonts w:hint="default"/>
      </w:rPr>
    </w:lvl>
  </w:abstractNum>
  <w:abstractNum w:abstractNumId="1">
    <w:nsid w:val="24F5FD95"/>
    <w:multiLevelType w:val="singleLevel"/>
    <w:tmpl w:val="24F5FD95"/>
    <w:lvl w:ilvl="0" w:tentative="0">
      <w:start w:val="1"/>
      <w:numFmt w:val="decimal"/>
      <w:lvlText w:val="%1)"/>
      <w:lvlJc w:val="left"/>
      <w:pPr>
        <w:ind w:left="425" w:hanging="425"/>
      </w:pPr>
      <w:rPr>
        <w:rFonts w:hint="default"/>
      </w:rPr>
    </w:lvl>
  </w:abstractNum>
  <w:abstractNum w:abstractNumId="2">
    <w:nsid w:val="522DD4A9"/>
    <w:multiLevelType w:val="singleLevel"/>
    <w:tmpl w:val="522DD4A9"/>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g0ZTgyMjRhNDdhNzJhN2M4ODE3MTQxNjdmZTc3YjEifQ=="/>
    <w:docVar w:name="KSO_WPS_MARK_KEY" w:val="5c232b46-63e1-49ba-b714-147982538ceb"/>
  </w:docVars>
  <w:rsids>
    <w:rsidRoot w:val="00172A27"/>
    <w:rsid w:val="000070B0"/>
    <w:rsid w:val="00032CFE"/>
    <w:rsid w:val="000A07F6"/>
    <w:rsid w:val="000A3AE8"/>
    <w:rsid w:val="000B5BDA"/>
    <w:rsid w:val="000C7E23"/>
    <w:rsid w:val="00126537"/>
    <w:rsid w:val="00127ED7"/>
    <w:rsid w:val="0015549A"/>
    <w:rsid w:val="00172A27"/>
    <w:rsid w:val="00180116"/>
    <w:rsid w:val="001B6B61"/>
    <w:rsid w:val="0022608D"/>
    <w:rsid w:val="00241CCD"/>
    <w:rsid w:val="002670A8"/>
    <w:rsid w:val="00267101"/>
    <w:rsid w:val="002855ED"/>
    <w:rsid w:val="0029311D"/>
    <w:rsid w:val="00296D40"/>
    <w:rsid w:val="002A5522"/>
    <w:rsid w:val="002B7BC0"/>
    <w:rsid w:val="002D55EA"/>
    <w:rsid w:val="0030297F"/>
    <w:rsid w:val="003208D2"/>
    <w:rsid w:val="00331E42"/>
    <w:rsid w:val="00384E2C"/>
    <w:rsid w:val="0043340A"/>
    <w:rsid w:val="00446CAE"/>
    <w:rsid w:val="00463F43"/>
    <w:rsid w:val="004645B5"/>
    <w:rsid w:val="004679AE"/>
    <w:rsid w:val="0048160B"/>
    <w:rsid w:val="00482375"/>
    <w:rsid w:val="004E05F7"/>
    <w:rsid w:val="004E0B8F"/>
    <w:rsid w:val="004E6F7A"/>
    <w:rsid w:val="005266FD"/>
    <w:rsid w:val="00527DD1"/>
    <w:rsid w:val="0054185C"/>
    <w:rsid w:val="00557247"/>
    <w:rsid w:val="00557BDD"/>
    <w:rsid w:val="0057129F"/>
    <w:rsid w:val="005E2F30"/>
    <w:rsid w:val="005E4DB1"/>
    <w:rsid w:val="005E6EC3"/>
    <w:rsid w:val="005F14CA"/>
    <w:rsid w:val="006077DE"/>
    <w:rsid w:val="006100E0"/>
    <w:rsid w:val="00617F63"/>
    <w:rsid w:val="00630701"/>
    <w:rsid w:val="006507CF"/>
    <w:rsid w:val="006535BE"/>
    <w:rsid w:val="0065481D"/>
    <w:rsid w:val="00656302"/>
    <w:rsid w:val="00677F78"/>
    <w:rsid w:val="00687988"/>
    <w:rsid w:val="0069487F"/>
    <w:rsid w:val="006A6C74"/>
    <w:rsid w:val="006A7319"/>
    <w:rsid w:val="006B31AA"/>
    <w:rsid w:val="006F7940"/>
    <w:rsid w:val="006F7ECF"/>
    <w:rsid w:val="00720326"/>
    <w:rsid w:val="0072560B"/>
    <w:rsid w:val="007314D3"/>
    <w:rsid w:val="00744FBF"/>
    <w:rsid w:val="00790CE1"/>
    <w:rsid w:val="007E3989"/>
    <w:rsid w:val="007E7305"/>
    <w:rsid w:val="008115F8"/>
    <w:rsid w:val="0081698C"/>
    <w:rsid w:val="00824881"/>
    <w:rsid w:val="00875979"/>
    <w:rsid w:val="008A6E26"/>
    <w:rsid w:val="00903318"/>
    <w:rsid w:val="00911979"/>
    <w:rsid w:val="00936265"/>
    <w:rsid w:val="00943FA1"/>
    <w:rsid w:val="00947BF2"/>
    <w:rsid w:val="00951A48"/>
    <w:rsid w:val="00974D4E"/>
    <w:rsid w:val="009764EE"/>
    <w:rsid w:val="0098119D"/>
    <w:rsid w:val="0099330F"/>
    <w:rsid w:val="009A0A6A"/>
    <w:rsid w:val="009A4D27"/>
    <w:rsid w:val="009E7F1C"/>
    <w:rsid w:val="00A36EA4"/>
    <w:rsid w:val="00A42D9E"/>
    <w:rsid w:val="00A56C49"/>
    <w:rsid w:val="00A7467D"/>
    <w:rsid w:val="00A95A7C"/>
    <w:rsid w:val="00A97431"/>
    <w:rsid w:val="00AB03C8"/>
    <w:rsid w:val="00AB1586"/>
    <w:rsid w:val="00AB60EC"/>
    <w:rsid w:val="00AC6E64"/>
    <w:rsid w:val="00AF1AD0"/>
    <w:rsid w:val="00B83F66"/>
    <w:rsid w:val="00BA15E2"/>
    <w:rsid w:val="00BC003A"/>
    <w:rsid w:val="00BF6251"/>
    <w:rsid w:val="00C04F5B"/>
    <w:rsid w:val="00C76F80"/>
    <w:rsid w:val="00CA088A"/>
    <w:rsid w:val="00CB2EA2"/>
    <w:rsid w:val="00CC72A4"/>
    <w:rsid w:val="00CD15EA"/>
    <w:rsid w:val="00CE7F50"/>
    <w:rsid w:val="00D0551B"/>
    <w:rsid w:val="00D240AC"/>
    <w:rsid w:val="00D31FBB"/>
    <w:rsid w:val="00D42501"/>
    <w:rsid w:val="00D53E95"/>
    <w:rsid w:val="00DC73BA"/>
    <w:rsid w:val="00DE3954"/>
    <w:rsid w:val="00DE7A63"/>
    <w:rsid w:val="00E32A27"/>
    <w:rsid w:val="00E61ED7"/>
    <w:rsid w:val="00E8516A"/>
    <w:rsid w:val="00EA5A52"/>
    <w:rsid w:val="00EB49BD"/>
    <w:rsid w:val="00ED20E8"/>
    <w:rsid w:val="00EE02DE"/>
    <w:rsid w:val="00F10185"/>
    <w:rsid w:val="00F2327A"/>
    <w:rsid w:val="00F277B1"/>
    <w:rsid w:val="00F57E14"/>
    <w:rsid w:val="00FA4141"/>
    <w:rsid w:val="00FA4A83"/>
    <w:rsid w:val="01016C58"/>
    <w:rsid w:val="020E094A"/>
    <w:rsid w:val="02FD6E0F"/>
    <w:rsid w:val="039F48A4"/>
    <w:rsid w:val="03D41080"/>
    <w:rsid w:val="05C46867"/>
    <w:rsid w:val="0717442D"/>
    <w:rsid w:val="07ED0962"/>
    <w:rsid w:val="0A71192A"/>
    <w:rsid w:val="0A8D00C5"/>
    <w:rsid w:val="0B5F3925"/>
    <w:rsid w:val="0D3E301C"/>
    <w:rsid w:val="0FC41BBC"/>
    <w:rsid w:val="0FD536AF"/>
    <w:rsid w:val="0FE970A3"/>
    <w:rsid w:val="0FEE0C3F"/>
    <w:rsid w:val="10200907"/>
    <w:rsid w:val="121C57D3"/>
    <w:rsid w:val="130E2754"/>
    <w:rsid w:val="14AB1989"/>
    <w:rsid w:val="158C5316"/>
    <w:rsid w:val="1818352B"/>
    <w:rsid w:val="19657BC9"/>
    <w:rsid w:val="1A786FF8"/>
    <w:rsid w:val="1D874829"/>
    <w:rsid w:val="1E8371C8"/>
    <w:rsid w:val="1E943BBB"/>
    <w:rsid w:val="1EAF5C72"/>
    <w:rsid w:val="1EF93EC1"/>
    <w:rsid w:val="1F4B1EBC"/>
    <w:rsid w:val="208C720F"/>
    <w:rsid w:val="20F057D7"/>
    <w:rsid w:val="20F26509"/>
    <w:rsid w:val="23D83BE7"/>
    <w:rsid w:val="24607A68"/>
    <w:rsid w:val="24B55FF8"/>
    <w:rsid w:val="25007AE7"/>
    <w:rsid w:val="25C45C42"/>
    <w:rsid w:val="264F3224"/>
    <w:rsid w:val="275E4309"/>
    <w:rsid w:val="281C3097"/>
    <w:rsid w:val="284579E9"/>
    <w:rsid w:val="293877EF"/>
    <w:rsid w:val="297F5F99"/>
    <w:rsid w:val="29BE2BCF"/>
    <w:rsid w:val="2B870602"/>
    <w:rsid w:val="2D93379C"/>
    <w:rsid w:val="306D13FE"/>
    <w:rsid w:val="30BA6D84"/>
    <w:rsid w:val="328B57E4"/>
    <w:rsid w:val="34DD74E5"/>
    <w:rsid w:val="352B4F33"/>
    <w:rsid w:val="38390388"/>
    <w:rsid w:val="38B85B64"/>
    <w:rsid w:val="38EA3628"/>
    <w:rsid w:val="395779CF"/>
    <w:rsid w:val="398E7D88"/>
    <w:rsid w:val="3A0B7440"/>
    <w:rsid w:val="3AA66D7B"/>
    <w:rsid w:val="3AAD7791"/>
    <w:rsid w:val="3B053DE0"/>
    <w:rsid w:val="3B1E6128"/>
    <w:rsid w:val="3C2F232F"/>
    <w:rsid w:val="3C31728D"/>
    <w:rsid w:val="3CF71FC1"/>
    <w:rsid w:val="3DAB7F31"/>
    <w:rsid w:val="3E5F644D"/>
    <w:rsid w:val="3F0D4E6A"/>
    <w:rsid w:val="3FCC3EF6"/>
    <w:rsid w:val="419E20B7"/>
    <w:rsid w:val="41BD2B78"/>
    <w:rsid w:val="41F940E8"/>
    <w:rsid w:val="42027583"/>
    <w:rsid w:val="43F367EB"/>
    <w:rsid w:val="441F5424"/>
    <w:rsid w:val="44E40612"/>
    <w:rsid w:val="45EE7D8D"/>
    <w:rsid w:val="46004DE1"/>
    <w:rsid w:val="46D32994"/>
    <w:rsid w:val="47DD7AD0"/>
    <w:rsid w:val="48CE57B4"/>
    <w:rsid w:val="4AA03036"/>
    <w:rsid w:val="4B0A6CF9"/>
    <w:rsid w:val="4BE906CF"/>
    <w:rsid w:val="4C253292"/>
    <w:rsid w:val="4D8B6D31"/>
    <w:rsid w:val="4E3D37D2"/>
    <w:rsid w:val="4EB6651D"/>
    <w:rsid w:val="535D4F68"/>
    <w:rsid w:val="54F93A6F"/>
    <w:rsid w:val="55D37473"/>
    <w:rsid w:val="55D947F2"/>
    <w:rsid w:val="560E5497"/>
    <w:rsid w:val="563125D5"/>
    <w:rsid w:val="570651DD"/>
    <w:rsid w:val="57346605"/>
    <w:rsid w:val="58937D37"/>
    <w:rsid w:val="59172716"/>
    <w:rsid w:val="59E808B2"/>
    <w:rsid w:val="5A0F59C3"/>
    <w:rsid w:val="5B1C7423"/>
    <w:rsid w:val="5C1D1077"/>
    <w:rsid w:val="5D5E0898"/>
    <w:rsid w:val="5E621661"/>
    <w:rsid w:val="5E663BE2"/>
    <w:rsid w:val="5EB82366"/>
    <w:rsid w:val="5FFC338E"/>
    <w:rsid w:val="61B37B58"/>
    <w:rsid w:val="627346DB"/>
    <w:rsid w:val="628F6465"/>
    <w:rsid w:val="63C628EA"/>
    <w:rsid w:val="64A86918"/>
    <w:rsid w:val="65B53B95"/>
    <w:rsid w:val="65D61F4C"/>
    <w:rsid w:val="65F047FB"/>
    <w:rsid w:val="65F11037"/>
    <w:rsid w:val="674634B1"/>
    <w:rsid w:val="67495550"/>
    <w:rsid w:val="682C160E"/>
    <w:rsid w:val="6989465F"/>
    <w:rsid w:val="6CBE6F77"/>
    <w:rsid w:val="6D334B54"/>
    <w:rsid w:val="6D5D0BE7"/>
    <w:rsid w:val="6E8C475B"/>
    <w:rsid w:val="6FFE8DA3"/>
    <w:rsid w:val="709A197D"/>
    <w:rsid w:val="727B0C2E"/>
    <w:rsid w:val="72D845C1"/>
    <w:rsid w:val="73F751C6"/>
    <w:rsid w:val="74345AF1"/>
    <w:rsid w:val="75343EBF"/>
    <w:rsid w:val="760024B2"/>
    <w:rsid w:val="76585E71"/>
    <w:rsid w:val="76823878"/>
    <w:rsid w:val="77FE4D75"/>
    <w:rsid w:val="78423BD1"/>
    <w:rsid w:val="7B7F7384"/>
    <w:rsid w:val="7CF11927"/>
    <w:rsid w:val="7CF97649"/>
    <w:rsid w:val="7E450CC9"/>
    <w:rsid w:val="7EF127D4"/>
    <w:rsid w:val="7F492854"/>
    <w:rsid w:val="7F8754B3"/>
    <w:rsid w:val="A64F3986"/>
    <w:rsid w:val="ABDAF788"/>
    <w:rsid w:val="D7EF9D36"/>
    <w:rsid w:val="FAF34D1D"/>
    <w:rsid w:val="FEDE17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5">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4">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ind w:firstLine="420" w:firstLineChars="100"/>
      <w:jc w:val="left"/>
    </w:pPr>
    <w:rPr>
      <w:rFonts w:ascii="仿宋_GB2312" w:hAnsi="Times New Roman"/>
      <w:b/>
      <w:kern w:val="0"/>
      <w:sz w:val="32"/>
      <w:szCs w:val="32"/>
    </w:rPr>
  </w:style>
  <w:style w:type="paragraph" w:styleId="3">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6">
    <w:name w:val="Plain Text"/>
    <w:basedOn w:val="1"/>
    <w:qFormat/>
    <w:uiPriority w:val="0"/>
    <w:rPr>
      <w:rFonts w:ascii="宋体" w:hAnsi="Courier New"/>
      <w:szCs w:val="20"/>
    </w:rPr>
  </w:style>
  <w:style w:type="paragraph" w:styleId="7">
    <w:name w:val="Balloon Text"/>
    <w:basedOn w:val="1"/>
    <w:link w:val="2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Table Elegant"/>
    <w:basedOn w:val="11"/>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15">
    <w:name w:val="Hyperlink"/>
    <w:basedOn w:val="14"/>
    <w:unhideWhenUsed/>
    <w:qFormat/>
    <w:uiPriority w:val="99"/>
    <w:rPr>
      <w:color w:val="0563C1"/>
      <w:u w:val="single"/>
    </w:rPr>
  </w:style>
  <w:style w:type="paragraph" w:customStyle="1" w:styleId="16">
    <w:name w:val="List Paragraph1"/>
    <w:basedOn w:val="1"/>
    <w:qFormat/>
    <w:uiPriority w:val="0"/>
    <w:pPr>
      <w:ind w:firstLine="420" w:firstLineChars="200"/>
    </w:pPr>
    <w:rPr>
      <w:rFonts w:ascii="Calibri" w:hAnsi="Calibri"/>
      <w:szCs w:val="22"/>
    </w:rPr>
  </w:style>
  <w:style w:type="paragraph" w:customStyle="1" w:styleId="17">
    <w:name w:val="列表段落1"/>
    <w:basedOn w:val="1"/>
    <w:qFormat/>
    <w:uiPriority w:val="34"/>
    <w:pPr>
      <w:ind w:firstLine="420" w:firstLineChars="200"/>
    </w:pPr>
  </w:style>
  <w:style w:type="character" w:customStyle="1" w:styleId="18">
    <w:name w:val="font21"/>
    <w:basedOn w:val="14"/>
    <w:qFormat/>
    <w:uiPriority w:val="0"/>
    <w:rPr>
      <w:rFonts w:hint="eastAsia" w:ascii="微软雅黑" w:hAnsi="微软雅黑" w:eastAsia="微软雅黑" w:cs="微软雅黑"/>
      <w:color w:val="000000"/>
      <w:sz w:val="36"/>
      <w:szCs w:val="36"/>
      <w:u w:val="none"/>
    </w:rPr>
  </w:style>
  <w:style w:type="character" w:customStyle="1" w:styleId="19">
    <w:name w:val="font81"/>
    <w:basedOn w:val="14"/>
    <w:qFormat/>
    <w:uiPriority w:val="0"/>
    <w:rPr>
      <w:rFonts w:hint="eastAsia" w:ascii="微软雅黑" w:hAnsi="微软雅黑" w:eastAsia="微软雅黑" w:cs="微软雅黑"/>
      <w:color w:val="FF0000"/>
      <w:sz w:val="36"/>
      <w:szCs w:val="36"/>
      <w:u w:val="none"/>
    </w:rPr>
  </w:style>
  <w:style w:type="character" w:customStyle="1" w:styleId="20">
    <w:name w:val="font31"/>
    <w:basedOn w:val="14"/>
    <w:qFormat/>
    <w:uiPriority w:val="0"/>
    <w:rPr>
      <w:rFonts w:hint="eastAsia" w:ascii="微软雅黑" w:hAnsi="微软雅黑" w:eastAsia="微软雅黑" w:cs="微软雅黑"/>
      <w:color w:val="000000"/>
      <w:sz w:val="32"/>
      <w:szCs w:val="32"/>
      <w:u w:val="none"/>
    </w:rPr>
  </w:style>
  <w:style w:type="character" w:customStyle="1" w:styleId="21">
    <w:name w:val="font91"/>
    <w:basedOn w:val="14"/>
    <w:qFormat/>
    <w:uiPriority w:val="0"/>
    <w:rPr>
      <w:rFonts w:hint="eastAsia" w:ascii="微软雅黑" w:hAnsi="微软雅黑" w:eastAsia="微软雅黑" w:cs="微软雅黑"/>
      <w:color w:val="FF0000"/>
      <w:sz w:val="32"/>
      <w:szCs w:val="32"/>
      <w:u w:val="none"/>
    </w:rPr>
  </w:style>
  <w:style w:type="character" w:customStyle="1" w:styleId="22">
    <w:name w:val="font112"/>
    <w:basedOn w:val="14"/>
    <w:qFormat/>
    <w:uiPriority w:val="0"/>
    <w:rPr>
      <w:rFonts w:hint="eastAsia" w:ascii="微软雅黑" w:hAnsi="微软雅黑" w:eastAsia="微软雅黑" w:cs="微软雅黑"/>
      <w:color w:val="FF0000"/>
      <w:sz w:val="36"/>
      <w:szCs w:val="36"/>
      <w:u w:val="none"/>
    </w:rPr>
  </w:style>
  <w:style w:type="character" w:customStyle="1" w:styleId="23">
    <w:name w:val="font121"/>
    <w:basedOn w:val="14"/>
    <w:qFormat/>
    <w:uiPriority w:val="0"/>
    <w:rPr>
      <w:rFonts w:hint="eastAsia" w:ascii="微软雅黑" w:hAnsi="微软雅黑" w:eastAsia="微软雅黑" w:cs="微软雅黑"/>
      <w:color w:val="FF0000"/>
      <w:sz w:val="32"/>
      <w:szCs w:val="32"/>
      <w:u w:val="none"/>
    </w:rPr>
  </w:style>
  <w:style w:type="character" w:customStyle="1" w:styleId="24">
    <w:name w:val="批注框文本 Char"/>
    <w:basedOn w:val="14"/>
    <w:link w:val="7"/>
    <w:qFormat/>
    <w:uiPriority w:val="0"/>
    <w:rPr>
      <w:rFonts w:asciiTheme="minorHAnsi" w:hAnsiTheme="minorHAnsi" w:eastAsiaTheme="minorEastAsia" w:cstheme="minorBidi"/>
      <w:kern w:val="2"/>
      <w:sz w:val="18"/>
      <w:szCs w:val="18"/>
    </w:rPr>
  </w:style>
  <w:style w:type="paragraph" w:customStyle="1" w:styleId="25">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6">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F6E4487-1EE3-45DC-BE0B-FF1B557350DC}">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1532</Words>
  <Characters>1619</Characters>
  <Lines>96</Lines>
  <Paragraphs>27</Paragraphs>
  <TotalTime>0</TotalTime>
  <ScaleCrop>false</ScaleCrop>
  <LinksUpToDate>false</LinksUpToDate>
  <CharactersWithSpaces>1632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2025-05-14T11:02:00Z</dcterms:created>
  <dc:creator>lenovo</dc:creator>
  <cp:lastModifiedBy>差不多先生</cp:lastModifiedBy>
  <cp:lastPrinted>2025-04-22T11:40:00Z</cp:lastPrinted>
  <dcterms:modified xsi:type="dcterms:W3CDTF">2025-07-22T06:12:43Z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F97C61044C31445A999EDD832800DE58_13</vt:lpwstr>
  </property>
  <property fmtid="{D5CDD505-2E9C-101B-9397-08002B2CF9AE}" pid="4" name="KSOTemplateDocerSaveRecord">
    <vt:lpwstr>eyJoZGlkIjoiOTc2ZGM5YjM5NTAxNTVmYWQ0NWRjOWVlNTU4YjZlZjkiLCJ1c2VySWQiOiI2NDI2OTk4MTMifQ==</vt:lpwstr>
  </property>
</Properties>
</file>