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D2E6">
      <w:pPr>
        <w:spacing w:before="119" w:line="213" w:lineRule="auto"/>
        <w:ind w:left="3609" w:leftChars="0" w:hanging="3609" w:hangingChars="1068"/>
        <w:jc w:val="center"/>
        <w:outlineLvl w:val="1"/>
        <w:rPr>
          <w:rFonts w:ascii="等线" w:hAnsi="等线" w:eastAsia="等线" w:cs="等线"/>
          <w:color w:val="auto"/>
          <w:spacing w:val="9"/>
          <w:position w:val="4"/>
          <w:sz w:val="32"/>
          <w:szCs w:val="32"/>
        </w:rPr>
      </w:pPr>
      <w:r>
        <w:rPr>
          <w:rFonts w:ascii="等线" w:hAnsi="等线" w:eastAsia="等线" w:cs="等线"/>
          <w:color w:val="auto"/>
          <w:spacing w:val="9"/>
          <w:position w:val="4"/>
          <w:sz w:val="32"/>
          <w:szCs w:val="32"/>
        </w:rPr>
        <w:t>全自动免疫组化</w:t>
      </w:r>
      <w:r>
        <w:rPr>
          <w:rFonts w:hint="eastAsia" w:ascii="等线" w:hAnsi="等线" w:eastAsia="等线" w:cs="等线"/>
          <w:color w:val="auto"/>
          <w:spacing w:val="9"/>
          <w:position w:val="4"/>
          <w:sz w:val="32"/>
          <w:szCs w:val="32"/>
          <w:lang w:val="en-US" w:eastAsia="zh-CN"/>
        </w:rPr>
        <w:t>仪</w:t>
      </w:r>
      <w:r>
        <w:rPr>
          <w:rFonts w:ascii="等线" w:hAnsi="等线" w:eastAsia="等线" w:cs="等线"/>
          <w:color w:val="auto"/>
          <w:spacing w:val="9"/>
          <w:position w:val="4"/>
          <w:sz w:val="32"/>
          <w:szCs w:val="32"/>
        </w:rPr>
        <w:t>参数</w:t>
      </w:r>
    </w:p>
    <w:p w14:paraId="289C9453">
      <w:pPr>
        <w:spacing w:before="119" w:line="213" w:lineRule="auto"/>
        <w:ind w:left="3609" w:leftChars="0" w:hanging="3609" w:hangingChars="1068"/>
        <w:jc w:val="center"/>
        <w:outlineLvl w:val="1"/>
        <w:rPr>
          <w:rFonts w:hint="default" w:ascii="等线" w:hAnsi="等线" w:eastAsia="等线" w:cs="等线"/>
          <w:color w:val="auto"/>
          <w:spacing w:val="9"/>
          <w:position w:val="4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color w:val="auto"/>
          <w:spacing w:val="9"/>
          <w:position w:val="4"/>
          <w:sz w:val="32"/>
          <w:szCs w:val="32"/>
          <w:lang w:val="en-US" w:eastAsia="zh-CN"/>
        </w:rPr>
        <w:t>数量2台，预算30万元</w:t>
      </w:r>
    </w:p>
    <w:tbl>
      <w:tblPr>
        <w:tblStyle w:val="6"/>
        <w:tblpPr w:leftFromText="180" w:rightFromText="180" w:vertAnchor="text" w:horzAnchor="margin" w:tblpXSpec="center" w:tblpY="186"/>
        <w:tblW w:w="4734" w:type="pct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6916"/>
      </w:tblGrid>
      <w:tr w14:paraId="4BAB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3" w:type="dxa"/>
            <w:vAlign w:val="center"/>
          </w:tcPr>
          <w:p w14:paraId="75CD75C9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功能</w:t>
            </w:r>
          </w:p>
        </w:tc>
        <w:tc>
          <w:tcPr>
            <w:tcW w:w="6916" w:type="dxa"/>
            <w:vAlign w:val="center"/>
          </w:tcPr>
          <w:p w14:paraId="0C7D56C2">
            <w:pPr>
              <w:widowControl w:val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具有全自动免疫组化和原位杂交染色功能，包括烤片、脱蜡、抗原修复、阻断、标记一抗、标记二抗、显色直到复染所有步骤全部由一台设备完成，无需人工干预，支持过夜模式</w:t>
            </w:r>
          </w:p>
        </w:tc>
      </w:tr>
      <w:tr w14:paraId="70AD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3" w:type="dxa"/>
            <w:vAlign w:val="center"/>
          </w:tcPr>
          <w:p w14:paraId="018455C9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通量</w:t>
            </w:r>
          </w:p>
        </w:tc>
        <w:tc>
          <w:tcPr>
            <w:tcW w:w="6916" w:type="dxa"/>
            <w:vAlign w:val="center"/>
          </w:tcPr>
          <w:p w14:paraId="54B52A4B">
            <w:pPr>
              <w:widowControl w:val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要求单次同时孵育玻片</w:t>
            </w:r>
            <w:r>
              <w:rPr>
                <w:rFonts w:hint="eastAsia"/>
                <w:sz w:val="24"/>
                <w:szCs w:val="24"/>
                <w:highlight w:val="green"/>
              </w:rPr>
              <w:t>≥</w:t>
            </w:r>
            <w:r>
              <w:rPr>
                <w:kern w:val="0"/>
                <w:sz w:val="24"/>
                <w:szCs w:val="24"/>
                <w:highlight w:val="green"/>
              </w:rPr>
              <w:t>48张/轮，每架处理通量</w:t>
            </w:r>
            <w:r>
              <w:rPr>
                <w:rFonts w:hint="eastAsia"/>
                <w:sz w:val="24"/>
                <w:szCs w:val="24"/>
                <w:highlight w:val="green"/>
              </w:rPr>
              <w:t>≥</w:t>
            </w:r>
            <w:r>
              <w:rPr>
                <w:kern w:val="0"/>
                <w:sz w:val="24"/>
                <w:szCs w:val="24"/>
                <w:highlight w:val="green"/>
              </w:rPr>
              <w:t>12张</w:t>
            </w:r>
          </w:p>
        </w:tc>
      </w:tr>
      <w:tr w14:paraId="37E5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53" w:type="dxa"/>
            <w:vAlign w:val="center"/>
          </w:tcPr>
          <w:p w14:paraId="1627658F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试剂位</w:t>
            </w:r>
          </w:p>
        </w:tc>
        <w:tc>
          <w:tcPr>
            <w:tcW w:w="6916" w:type="dxa"/>
            <w:vAlign w:val="center"/>
          </w:tcPr>
          <w:p w14:paraId="68D5CCC8">
            <w:pPr>
              <w:widowControl w:val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机载试剂瓶数量</w:t>
            </w:r>
            <w:r>
              <w:rPr>
                <w:rFonts w:hint="eastAsia"/>
                <w:sz w:val="24"/>
                <w:szCs w:val="24"/>
                <w:highlight w:val="green"/>
              </w:rPr>
              <w:t>≥</w:t>
            </w:r>
            <w:r>
              <w:rPr>
                <w:rFonts w:hint="eastAsia"/>
                <w:sz w:val="24"/>
                <w:szCs w:val="24"/>
                <w:highlight w:val="green"/>
                <w:lang w:eastAsia="zh-CN"/>
              </w:rPr>
              <w:t>66</w:t>
            </w:r>
            <w:r>
              <w:rPr>
                <w:kern w:val="0"/>
                <w:sz w:val="24"/>
                <w:szCs w:val="24"/>
                <w:highlight w:val="green"/>
              </w:rPr>
              <w:t>个</w:t>
            </w:r>
            <w:r>
              <w:rPr>
                <w:rFonts w:hint="eastAsia"/>
                <w:kern w:val="0"/>
                <w:sz w:val="24"/>
                <w:szCs w:val="24"/>
                <w:highlight w:val="green"/>
                <w:lang w:eastAsia="zh-CN"/>
              </w:rPr>
              <w:t>，缓冲液试剂桶位</w:t>
            </w:r>
            <w:r>
              <w:rPr>
                <w:rFonts w:hint="default" w:ascii="Calibri" w:hAnsi="Calibri" w:eastAsia="Calibri" w:cs="Calibri"/>
                <w:kern w:val="0"/>
                <w:sz w:val="24"/>
                <w:szCs w:val="24"/>
                <w:highlight w:val="green"/>
                <w:lang w:eastAsia="zh-CN"/>
              </w:rPr>
              <w:t>≥</w:t>
            </w:r>
            <w:r>
              <w:rPr>
                <w:rFonts w:hint="eastAsia" w:ascii="Calibri" w:hAnsi="Calibri" w:eastAsia="Calibri" w:cs="Calibri"/>
                <w:kern w:val="0"/>
                <w:sz w:val="24"/>
                <w:szCs w:val="24"/>
                <w:highlight w:val="green"/>
                <w:lang w:eastAsia="zh-CN"/>
              </w:rPr>
              <w:t>8个，容积</w:t>
            </w:r>
            <w:r>
              <w:rPr>
                <w:rFonts w:hint="default" w:ascii="Calibri" w:hAnsi="Calibri" w:eastAsia="Calibri" w:cs="Calibri"/>
                <w:kern w:val="0"/>
                <w:sz w:val="24"/>
                <w:szCs w:val="24"/>
                <w:highlight w:val="green"/>
                <w:lang w:eastAsia="zh-CN"/>
              </w:rPr>
              <w:t>≥</w:t>
            </w:r>
            <w:r>
              <w:rPr>
                <w:rFonts w:hint="eastAsia" w:ascii="Calibri" w:hAnsi="Calibri" w:eastAsia="Calibri" w:cs="Calibri"/>
                <w:kern w:val="0"/>
                <w:sz w:val="24"/>
                <w:szCs w:val="24"/>
                <w:highlight w:val="green"/>
                <w:lang w:eastAsia="zh-CN"/>
              </w:rPr>
              <w:t>4L</w:t>
            </w:r>
          </w:p>
        </w:tc>
      </w:tr>
      <w:tr w14:paraId="7BF5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153" w:type="dxa"/>
            <w:vAlign w:val="center"/>
          </w:tcPr>
          <w:p w14:paraId="15D9FE5D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样本类型</w:t>
            </w:r>
          </w:p>
        </w:tc>
        <w:tc>
          <w:tcPr>
            <w:tcW w:w="6916" w:type="dxa"/>
            <w:vAlign w:val="center"/>
          </w:tcPr>
          <w:p w14:paraId="053A4229">
            <w:pPr>
              <w:widowControl w:val="0"/>
              <w:rPr>
                <w:rFonts w:hint="default"/>
                <w:kern w:val="0"/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适合多种样本类型：石蜡，冰冻、组织、细胞样本</w:t>
            </w:r>
          </w:p>
        </w:tc>
      </w:tr>
      <w:tr w14:paraId="6BFF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53" w:type="dxa"/>
            <w:vAlign w:val="center"/>
          </w:tcPr>
          <w:p w14:paraId="364C05CE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加热方式</w:t>
            </w:r>
          </w:p>
        </w:tc>
        <w:tc>
          <w:tcPr>
            <w:tcW w:w="6916" w:type="dxa"/>
            <w:vAlign w:val="center"/>
          </w:tcPr>
          <w:p w14:paraId="7333CA59">
            <w:pPr>
              <w:widowControl w:val="0"/>
              <w:ind w:right="-473" w:rightChars="-225"/>
              <w:rPr>
                <w:kern w:val="0"/>
                <w:sz w:val="24"/>
                <w:szCs w:val="24"/>
                <w:highlight w:val="green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每个片位具有独立的加热模块</w:t>
            </w:r>
          </w:p>
        </w:tc>
      </w:tr>
      <w:tr w14:paraId="32CF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53" w:type="dxa"/>
            <w:vAlign w:val="center"/>
          </w:tcPr>
          <w:p w14:paraId="430EA216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条码管理</w:t>
            </w:r>
          </w:p>
        </w:tc>
        <w:tc>
          <w:tcPr>
            <w:tcW w:w="6916" w:type="dxa"/>
            <w:vAlign w:val="center"/>
          </w:tcPr>
          <w:p w14:paraId="2BF87842">
            <w:pPr>
              <w:widowControl w:val="0"/>
              <w:rPr>
                <w:kern w:val="0"/>
                <w:sz w:val="24"/>
                <w:szCs w:val="24"/>
                <w:highlight w:val="green"/>
              </w:rPr>
            </w:pPr>
            <w:r>
              <w:rPr>
                <w:kern w:val="0"/>
                <w:sz w:val="24"/>
                <w:szCs w:val="24"/>
                <w:highlight w:val="green"/>
              </w:rPr>
              <w:t>具备试剂一维码、标本二维码扫描系统，全自动识别样本及试剂</w:t>
            </w:r>
            <w:r>
              <w:rPr>
                <w:rFonts w:hint="eastAsia"/>
                <w:kern w:val="0"/>
                <w:sz w:val="24"/>
                <w:szCs w:val="24"/>
                <w:highlight w:val="green"/>
              </w:rPr>
              <w:t>，玻片标签实现无纸化</w:t>
            </w:r>
          </w:p>
        </w:tc>
      </w:tr>
      <w:tr w14:paraId="6CD4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53" w:type="dxa"/>
            <w:vAlign w:val="center"/>
          </w:tcPr>
          <w:p w14:paraId="4630FAFB">
            <w:pPr>
              <w:widowControl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</w:rPr>
              <w:t>一机多能</w:t>
            </w:r>
          </w:p>
        </w:tc>
        <w:tc>
          <w:tcPr>
            <w:tcW w:w="6916" w:type="dxa"/>
            <w:vAlign w:val="center"/>
          </w:tcPr>
          <w:p w14:paraId="41F970A2">
            <w:pPr>
              <w:widowControl w:val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green"/>
              </w:rPr>
              <w:t>平台提供常规免疫组化染色的同时实现EBER、双染</w:t>
            </w:r>
            <w:r>
              <w:rPr>
                <w:color w:val="auto"/>
                <w:kern w:val="0"/>
                <w:sz w:val="24"/>
                <w:szCs w:val="24"/>
                <w:highlight w:val="green"/>
              </w:rPr>
              <w:t>P16/Ki67</w:t>
            </w:r>
            <w:r>
              <w:rPr>
                <w:rFonts w:hint="eastAsia"/>
                <w:color w:val="auto"/>
                <w:kern w:val="0"/>
                <w:sz w:val="24"/>
                <w:szCs w:val="24"/>
                <w:highlight w:val="green"/>
              </w:rPr>
              <w:t>（细胞和组织）以及多指标顺次双染、HP试剂盒（试剂盒包含一抗，二抗等试剂）和一步法HP试剂盒（采用HRP偶联的HP抗体试剂，无需二抗试剂即可实现检测）</w:t>
            </w:r>
          </w:p>
        </w:tc>
      </w:tr>
      <w:tr w14:paraId="1621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53" w:type="dxa"/>
            <w:vAlign w:val="center"/>
          </w:tcPr>
          <w:p w14:paraId="4E4D991A">
            <w:pPr>
              <w:widowControl w:val="0"/>
              <w:jc w:val="center"/>
              <w:rPr>
                <w:rFonts w:ascii="Calibri" w:hAnsi="Calibri" w:eastAsia="Arial" w:cs="Arial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6916" w:type="dxa"/>
            <w:vAlign w:val="center"/>
          </w:tcPr>
          <w:p w14:paraId="10868C7B">
            <w:pPr>
              <w:widowControl w:val="0"/>
              <w:rPr>
                <w:rFonts w:ascii="Calibri" w:hAnsi="Calibri" w:eastAsia="Arial" w:cs="Arial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23DCC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5279"/>
    <w:rsid w:val="01C957D6"/>
    <w:rsid w:val="0CDB0CA5"/>
    <w:rsid w:val="1CF4122E"/>
    <w:rsid w:val="2DEA5B9A"/>
    <w:rsid w:val="582601D0"/>
    <w:rsid w:val="6F125279"/>
    <w:rsid w:val="776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semiHidden/>
    <w:unhideWhenUsed/>
    <w:qFormat/>
    <w:uiPriority w:val="99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839</Characters>
  <Lines>0</Lines>
  <Paragraphs>0</Paragraphs>
  <TotalTime>1</TotalTime>
  <ScaleCrop>false</ScaleCrop>
  <LinksUpToDate>false</LinksUpToDate>
  <CharactersWithSpaces>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2025-06-10T00:53:00Z</dcterms:created>
  <dc:creator>王若宇</dc:creator>
  <cp:lastModifiedBy>差不多先生</cp:lastModifiedBy>
  <dcterms:modified xsi:type="dcterms:W3CDTF">2025-07-14T06:19:48Z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706F7CA4848B4AF78B70AF4AB71CE0E7_11</vt:lpwstr>
  </property>
  <property fmtid="{D5CDD505-2E9C-101B-9397-08002B2CF9AE}" pid="4" name="KSOTemplateDocerSaveRecord">
    <vt:lpwstr>eyJoZGlkIjoiOTc2ZGM5YjM5NTAxNTVmYWQ0NWRjOWVlNTU4YjZlZjkiLCJ1c2VySWQiOiI2NDI2OTk4MTMifQ==</vt:lpwstr>
  </property>
</Properties>
</file>