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59960">
      <w:pPr>
        <w:jc w:val="center"/>
        <w:rPr>
          <w:rFonts w:hint="eastAsia" w:ascii="仿宋" w:hAnsi="仿宋" w:eastAsia="仿宋" w:cs="仿宋"/>
          <w:b/>
          <w:bCs/>
          <w:kern w:val="2"/>
          <w:sz w:val="40"/>
          <w:szCs w:val="40"/>
          <w:lang w:val="en-US" w:eastAsia="zh-CN" w:bidi="ar-SA"/>
        </w:rPr>
      </w:pPr>
      <w:r>
        <w:rPr>
          <w:rFonts w:hint="eastAsia" w:ascii="仿宋" w:hAnsi="仿宋" w:eastAsia="仿宋" w:cs="仿宋"/>
          <w:b/>
          <w:bCs/>
          <w:kern w:val="2"/>
          <w:sz w:val="40"/>
          <w:szCs w:val="40"/>
          <w:lang w:val="en-US" w:eastAsia="zh-CN" w:bidi="ar-SA"/>
        </w:rPr>
        <w:t>备份和恢复系统</w:t>
      </w:r>
      <w:bookmarkStart w:id="1" w:name="_GoBack"/>
      <w:bookmarkEnd w:id="1"/>
    </w:p>
    <w:tbl>
      <w:tblPr>
        <w:tblStyle w:val="4"/>
        <w:tblW w:w="5001"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6962"/>
      </w:tblGrid>
      <w:tr w14:paraId="3BAF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16" w:type="pct"/>
            <w:vAlign w:val="center"/>
          </w:tcPr>
          <w:p w14:paraId="12797C0B">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
                <w:bCs w:val="0"/>
                <w:kern w:val="0"/>
                <w:sz w:val="21"/>
                <w:szCs w:val="21"/>
              </w:rPr>
              <w:t>指标项</w:t>
            </w:r>
          </w:p>
        </w:tc>
        <w:tc>
          <w:tcPr>
            <w:tcW w:w="4083" w:type="pct"/>
            <w:vAlign w:val="center"/>
          </w:tcPr>
          <w:p w14:paraId="0FAE6307">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指标要求</w:t>
            </w:r>
          </w:p>
        </w:tc>
      </w:tr>
      <w:tr w14:paraId="4F97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324C3DBD">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品牌要求</w:t>
            </w:r>
          </w:p>
        </w:tc>
        <w:tc>
          <w:tcPr>
            <w:tcW w:w="4083" w:type="pct"/>
            <w:vAlign w:val="center"/>
          </w:tcPr>
          <w:p w14:paraId="7BED6B99">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自主研发，非OEM产品</w:t>
            </w:r>
          </w:p>
        </w:tc>
      </w:tr>
      <w:tr w14:paraId="4A4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13374484">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硬件配置</w:t>
            </w:r>
          </w:p>
        </w:tc>
        <w:tc>
          <w:tcPr>
            <w:tcW w:w="4083" w:type="pct"/>
            <w:vAlign w:val="center"/>
          </w:tcPr>
          <w:p w14:paraId="0B40567F">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hint="eastAsia" w:ascii="宋体" w:hAnsi="宋体" w:cs="宋体"/>
                <w:color w:val="000000"/>
                <w:kern w:val="0"/>
                <w:szCs w:val="21"/>
                <w:lang w:val="en-US" w:eastAsia="zh-CN"/>
              </w:rPr>
              <w:t>兼容X86、C86架构硬件服务器和超融合系统部署，硬件资源由甲方自行提供</w:t>
            </w:r>
          </w:p>
        </w:tc>
      </w:tr>
      <w:tr w14:paraId="1534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4DE0C6A5">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软件授权</w:t>
            </w:r>
          </w:p>
        </w:tc>
        <w:tc>
          <w:tcPr>
            <w:tcW w:w="4083" w:type="pct"/>
            <w:vAlign w:val="center"/>
          </w:tcPr>
          <w:p w14:paraId="3250B410">
            <w:pPr>
              <w:rPr>
                <w:rFonts w:hint="eastAsia" w:ascii="宋体" w:hAnsi="宋体" w:cs="宋体"/>
                <w:color w:val="000000"/>
                <w:kern w:val="0"/>
                <w:szCs w:val="21"/>
              </w:rPr>
            </w:pPr>
            <w:r>
              <w:rPr>
                <w:rFonts w:hint="eastAsia" w:ascii="宋体" w:hAnsi="宋体" w:cs="宋体"/>
                <w:color w:val="000000"/>
                <w:kern w:val="0"/>
                <w:szCs w:val="21"/>
                <w:lang w:eastAsia="zh-Hans"/>
              </w:rPr>
              <w:t>备份容量授权：100T；</w:t>
            </w:r>
          </w:p>
          <w:p w14:paraId="4386FD64">
            <w:pPr>
              <w:rPr>
                <w:rFonts w:hint="eastAsia" w:ascii="宋体" w:hAnsi="宋体" w:cs="宋体"/>
                <w:color w:val="000000"/>
                <w:kern w:val="0"/>
                <w:szCs w:val="21"/>
              </w:rPr>
            </w:pPr>
            <w:r>
              <w:rPr>
                <w:rFonts w:hint="eastAsia" w:ascii="宋体" w:hAnsi="宋体" w:cs="宋体"/>
                <w:color w:val="000000"/>
                <w:kern w:val="0"/>
                <w:szCs w:val="21"/>
              </w:rPr>
              <w:t>X86/ARM主机备份功能：不限；</w:t>
            </w:r>
          </w:p>
          <w:p w14:paraId="0CFB1EF6">
            <w:pPr>
              <w:rPr>
                <w:rFonts w:hint="eastAsia" w:ascii="宋体" w:hAnsi="宋体" w:cs="宋体"/>
                <w:color w:val="000000"/>
                <w:kern w:val="0"/>
                <w:szCs w:val="21"/>
              </w:rPr>
            </w:pPr>
            <w:r>
              <w:rPr>
                <w:rFonts w:hint="eastAsia" w:ascii="宋体" w:hAnsi="宋体" w:cs="宋体"/>
                <w:color w:val="000000"/>
                <w:kern w:val="0"/>
                <w:szCs w:val="21"/>
              </w:rPr>
              <w:t>CD</w:t>
            </w:r>
            <w:r>
              <w:rPr>
                <w:rFonts w:hint="eastAsia" w:ascii="宋体" w:hAnsi="宋体" w:cs="宋体"/>
                <w:color w:val="000000"/>
                <w:kern w:val="0"/>
                <w:szCs w:val="21"/>
                <w:lang w:val="en-US" w:eastAsia="zh-CN"/>
              </w:rPr>
              <w:t>M</w:t>
            </w:r>
            <w:r>
              <w:rPr>
                <w:rFonts w:hint="eastAsia" w:ascii="宋体" w:hAnsi="宋体" w:cs="宋体"/>
                <w:color w:val="000000"/>
                <w:kern w:val="0"/>
                <w:szCs w:val="21"/>
              </w:rPr>
              <w:t>备份功能授权：不限；</w:t>
            </w:r>
          </w:p>
          <w:p w14:paraId="749B2A01">
            <w:pPr>
              <w:rPr>
                <w:rFonts w:hint="eastAsia"/>
              </w:rPr>
            </w:pPr>
            <w:r>
              <w:rPr>
                <w:rFonts w:hint="eastAsia"/>
              </w:rPr>
              <w:t>备份数据归档功能授权：不限；</w:t>
            </w:r>
          </w:p>
          <w:p w14:paraId="57942137">
            <w:pPr>
              <w:rPr>
                <w:rFonts w:hint="eastAsia"/>
              </w:rPr>
            </w:pPr>
            <w:r>
              <w:rPr>
                <w:rFonts w:hint="eastAsia"/>
              </w:rPr>
              <w:t>数据库备份个数：不限；</w:t>
            </w:r>
          </w:p>
          <w:p w14:paraId="133395AE">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lang w:val="en-US" w:eastAsia="zh-CN"/>
              </w:rPr>
            </w:pPr>
            <w:r>
              <w:rPr>
                <w:rFonts w:hint="eastAsia"/>
              </w:rPr>
              <w:t>文件备份功能授权：不限；</w:t>
            </w:r>
          </w:p>
          <w:p w14:paraId="391C3E4C">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接管虚机数量：</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lang w:val="en-US" w:eastAsia="zh-CN"/>
              </w:rPr>
              <w:t>00个。</w:t>
            </w:r>
          </w:p>
        </w:tc>
      </w:tr>
      <w:tr w14:paraId="3B7A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12D5994C">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主流数据库备份兼容性</w:t>
            </w:r>
          </w:p>
        </w:tc>
        <w:tc>
          <w:tcPr>
            <w:tcW w:w="4083" w:type="pct"/>
            <w:vAlign w:val="center"/>
          </w:tcPr>
          <w:p w14:paraId="38B8569C">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支持对Oracle、Oracle RAC集群、</w:t>
            </w:r>
            <w:r>
              <w:rPr>
                <w:rFonts w:ascii="宋体" w:hAnsi="宋体"/>
                <w:color w:val="000000"/>
                <w:kern w:val="0"/>
                <w:sz w:val="22"/>
                <w:szCs w:val="22"/>
              </w:rPr>
              <w:t>MSSQL Server</w:t>
            </w:r>
            <w:r>
              <w:rPr>
                <w:rFonts w:hint="eastAsia" w:ascii="宋体" w:hAnsi="宋体"/>
                <w:color w:val="000000"/>
                <w:kern w:val="0"/>
                <w:sz w:val="22"/>
                <w:szCs w:val="22"/>
                <w:lang w:eastAsia="zh-CN"/>
              </w:rPr>
              <w:t>、</w:t>
            </w:r>
            <w:r>
              <w:rPr>
                <w:rFonts w:hint="eastAsia" w:ascii="宋体" w:hAnsi="宋体"/>
                <w:color w:val="000000"/>
                <w:kern w:val="0"/>
                <w:sz w:val="22"/>
                <w:szCs w:val="22"/>
                <w:lang w:val="en-US" w:eastAsia="zh-CN"/>
              </w:rPr>
              <w:t>MYSQL、</w:t>
            </w:r>
            <w:r>
              <w:rPr>
                <w:rFonts w:hint="eastAsia" w:ascii="宋体" w:hAnsi="宋体" w:cs="仿宋"/>
                <w:color w:val="000000"/>
                <w:kern w:val="0"/>
                <w:sz w:val="22"/>
                <w:szCs w:val="22"/>
                <w:lang w:bidi="ar"/>
              </w:rPr>
              <w:t>PostgreSQL</w:t>
            </w:r>
            <w:r>
              <w:rPr>
                <w:rFonts w:hint="eastAsia" w:ascii="宋体" w:hAnsi="宋体" w:cs="仿宋"/>
                <w:color w:val="000000"/>
                <w:kern w:val="0"/>
                <w:sz w:val="22"/>
                <w:szCs w:val="22"/>
                <w:lang w:eastAsia="zh-CN" w:bidi="ar"/>
              </w:rPr>
              <w:t>、</w:t>
            </w:r>
            <w:r>
              <w:rPr>
                <w:rFonts w:ascii="宋体" w:hAnsi="宋体"/>
                <w:color w:val="000000"/>
                <w:kern w:val="0"/>
                <w:sz w:val="22"/>
                <w:szCs w:val="22"/>
              </w:rPr>
              <w:t>DB2</w:t>
            </w:r>
            <w:r>
              <w:rPr>
                <w:rFonts w:hint="eastAsia" w:ascii="宋体" w:hAnsi="宋体"/>
                <w:color w:val="000000"/>
                <w:kern w:val="0"/>
                <w:sz w:val="22"/>
                <w:szCs w:val="22"/>
                <w:lang w:eastAsia="zh-CN"/>
              </w:rPr>
              <w:t>（</w:t>
            </w:r>
            <w:r>
              <w:rPr>
                <w:rFonts w:hint="eastAsia" w:ascii="宋体" w:hAnsi="宋体"/>
                <w:color w:val="000000"/>
                <w:kern w:val="0"/>
                <w:sz w:val="22"/>
                <w:szCs w:val="22"/>
                <w:lang w:val="en-US" w:eastAsia="zh-CN"/>
              </w:rPr>
              <w:t>AIX</w:t>
            </w:r>
            <w:r>
              <w:rPr>
                <w:rFonts w:hint="eastAsia" w:ascii="宋体" w:hAnsi="宋体"/>
                <w:color w:val="000000"/>
                <w:kern w:val="0"/>
                <w:sz w:val="22"/>
                <w:szCs w:val="22"/>
                <w:lang w:eastAsia="zh-CN"/>
              </w:rPr>
              <w:t>）、</w:t>
            </w:r>
            <w:r>
              <w:rPr>
                <w:rFonts w:hint="eastAsia" w:ascii="宋体" w:hAnsi="宋体"/>
                <w:color w:val="000000"/>
                <w:kern w:val="0"/>
                <w:sz w:val="22"/>
                <w:szCs w:val="22"/>
              </w:rPr>
              <w:t>MongoDB</w:t>
            </w:r>
            <w:r>
              <w:rPr>
                <w:rFonts w:hint="eastAsia" w:ascii="宋体" w:hAnsi="宋体"/>
                <w:color w:val="000000"/>
                <w:kern w:val="0"/>
                <w:sz w:val="22"/>
                <w:szCs w:val="22"/>
                <w:lang w:val="en-US" w:eastAsia="zh-CN"/>
              </w:rPr>
              <w:t>等数据库等CDM备份和快速恢复功能</w:t>
            </w:r>
          </w:p>
        </w:tc>
      </w:tr>
      <w:tr w14:paraId="64F6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268EAD45">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主流虚拟化备份兼容</w:t>
            </w:r>
          </w:p>
        </w:tc>
        <w:tc>
          <w:tcPr>
            <w:tcW w:w="4083" w:type="pct"/>
            <w:vAlign w:val="center"/>
          </w:tcPr>
          <w:p w14:paraId="01BC1DE9">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支持对</w:t>
            </w:r>
            <w:r>
              <w:rPr>
                <w:rFonts w:ascii="宋体" w:hAnsi="宋体"/>
                <w:color w:val="000000" w:themeColor="text1"/>
                <w:kern w:val="0"/>
                <w:sz w:val="22"/>
                <w:szCs w:val="22"/>
                <w14:textFill>
                  <w14:solidFill>
                    <w14:schemeClr w14:val="tx1"/>
                  </w14:solidFill>
                </w14:textFill>
              </w:rPr>
              <w:t>Vmware</w:t>
            </w:r>
            <w:r>
              <w:rPr>
                <w:rFonts w:hint="eastAsia" w:ascii="宋体" w:hAnsi="宋体"/>
                <w:color w:val="000000" w:themeColor="text1"/>
                <w:kern w:val="0"/>
                <w:sz w:val="22"/>
                <w:szCs w:val="22"/>
                <w:lang w:eastAsia="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KVM、XenServer、Hyper-V</w:t>
            </w:r>
            <w:r>
              <w:rPr>
                <w:rFonts w:hint="eastAsia" w:ascii="宋体" w:hAnsi="宋体" w:cs="宋体"/>
                <w:color w:val="000000" w:themeColor="text1"/>
                <w:kern w:val="0"/>
                <w:sz w:val="22"/>
                <w:szCs w:val="22"/>
                <w:lang w:val="en-US" w:eastAsia="zh-CN"/>
                <w14:textFill>
                  <w14:solidFill>
                    <w14:schemeClr w14:val="tx1"/>
                  </w14:solidFill>
                </w14:textFill>
              </w:rPr>
              <w:t>等主流虚拟化的</w:t>
            </w:r>
            <w:r>
              <w:rPr>
                <w:rFonts w:hint="eastAsia" w:ascii="宋体" w:hAnsi="宋体"/>
                <w:color w:val="000000"/>
                <w:kern w:val="0"/>
                <w:sz w:val="22"/>
                <w:szCs w:val="22"/>
                <w:lang w:val="en-US" w:eastAsia="zh-CN"/>
              </w:rPr>
              <w:t>CDM备份和快速恢复功能</w:t>
            </w:r>
          </w:p>
        </w:tc>
      </w:tr>
      <w:tr w14:paraId="1BBF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08C59F95">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国产数据库备份兼容性</w:t>
            </w:r>
          </w:p>
        </w:tc>
        <w:tc>
          <w:tcPr>
            <w:tcW w:w="4083" w:type="pct"/>
            <w:vAlign w:val="center"/>
          </w:tcPr>
          <w:p w14:paraId="32EC3B3B">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lang w:val="en-US" w:eastAsia="zh-CN"/>
              </w:rPr>
            </w:pPr>
            <w:r>
              <w:rPr>
                <w:rFonts w:hint="eastAsia" w:ascii="宋体" w:hAnsi="宋体"/>
                <w:color w:val="000000" w:themeColor="text1"/>
                <w:kern w:val="0"/>
                <w:sz w:val="22"/>
                <w:szCs w:val="22"/>
                <w14:textFill>
                  <w14:solidFill>
                    <w14:schemeClr w14:val="tx1"/>
                  </w14:solidFill>
                </w14:textFill>
              </w:rPr>
              <w:t>支持武汉达梦、人大金仓、神舟通用、南大通用、瀚高国产数据库</w:t>
            </w:r>
            <w:r>
              <w:rPr>
                <w:rFonts w:hint="eastAsia" w:ascii="宋体" w:hAnsi="宋体" w:cs="仿宋"/>
                <w:color w:val="000000" w:themeColor="text1"/>
                <w:kern w:val="0"/>
                <w:sz w:val="22"/>
                <w:szCs w:val="22"/>
                <w:lang w:bidi="ar"/>
                <w14:textFill>
                  <w14:solidFill>
                    <w14:schemeClr w14:val="tx1"/>
                  </w14:solidFill>
                </w14:textFill>
              </w:rPr>
              <w:t>（提供</w:t>
            </w:r>
            <w:r>
              <w:rPr>
                <w:rFonts w:hint="eastAsia" w:ascii="宋体" w:hAnsi="宋体" w:cs="仿宋"/>
                <w:color w:val="000000" w:themeColor="text1"/>
                <w:kern w:val="0"/>
                <w:sz w:val="22"/>
                <w:szCs w:val="22"/>
                <w:lang w:val="en-US" w:eastAsia="zh-CN" w:bidi="ar"/>
                <w14:textFill>
                  <w14:solidFill>
                    <w14:schemeClr w14:val="tx1"/>
                  </w14:solidFill>
                </w14:textFill>
              </w:rPr>
              <w:t>至少五个数据库厂商</w:t>
            </w:r>
            <w:r>
              <w:rPr>
                <w:rFonts w:hint="eastAsia" w:ascii="宋体" w:hAnsi="宋体" w:cs="仿宋"/>
                <w:color w:val="000000" w:themeColor="text1"/>
                <w:kern w:val="0"/>
                <w:sz w:val="22"/>
                <w:szCs w:val="22"/>
                <w:lang w:bidi="ar"/>
                <w14:textFill>
                  <w14:solidFill>
                    <w14:schemeClr w14:val="tx1"/>
                  </w14:solidFill>
                </w14:textFill>
              </w:rPr>
              <w:t>兼容性认证证书复印件盖厂商公章）</w:t>
            </w:r>
          </w:p>
        </w:tc>
      </w:tr>
      <w:tr w14:paraId="5021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7BCBE863">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国产超融合系统备份兼容性</w:t>
            </w:r>
          </w:p>
        </w:tc>
        <w:tc>
          <w:tcPr>
            <w:tcW w:w="4083" w:type="pct"/>
            <w:vAlign w:val="center"/>
          </w:tcPr>
          <w:p w14:paraId="5C5E0203">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支持H3C</w:t>
            </w:r>
            <w:r>
              <w:rPr>
                <w:rFonts w:ascii="宋体" w:hAnsi="宋体" w:cs="宋体"/>
                <w:color w:val="000000" w:themeColor="text1"/>
                <w:kern w:val="0"/>
                <w:sz w:val="22"/>
                <w:szCs w:val="22"/>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CAS、S</w:t>
            </w:r>
            <w:r>
              <w:rPr>
                <w:rFonts w:ascii="宋体" w:hAnsi="宋体" w:cs="宋体"/>
                <w:color w:val="000000" w:themeColor="text1"/>
                <w:kern w:val="0"/>
                <w:sz w:val="22"/>
                <w:szCs w:val="22"/>
                <w14:textFill>
                  <w14:solidFill>
                    <w14:schemeClr w14:val="tx1"/>
                  </w14:solidFill>
                </w14:textFill>
              </w:rPr>
              <w:t>m</w:t>
            </w:r>
            <w:r>
              <w:rPr>
                <w:rFonts w:hint="eastAsia" w:ascii="宋体" w:hAnsi="宋体" w:cs="宋体"/>
                <w:color w:val="000000" w:themeColor="text1"/>
                <w:kern w:val="0"/>
                <w:sz w:val="22"/>
                <w:szCs w:val="22"/>
                <w14:textFill>
                  <w14:solidFill>
                    <w14:schemeClr w14:val="tx1"/>
                  </w14:solidFill>
                </w14:textFill>
              </w:rPr>
              <w:t>artX、天融信、超聚变、云宏、深信服等超融合虚拟化系统等备份（</w:t>
            </w:r>
            <w:r>
              <w:rPr>
                <w:rFonts w:hint="eastAsia" w:ascii="宋体" w:hAnsi="宋体" w:cs="仿宋"/>
                <w:color w:val="000000" w:themeColor="text1"/>
                <w:kern w:val="0"/>
                <w:sz w:val="22"/>
                <w:szCs w:val="22"/>
                <w:lang w:bidi="ar"/>
                <w14:textFill>
                  <w14:solidFill>
                    <w14:schemeClr w14:val="tx1"/>
                  </w14:solidFill>
                </w14:textFill>
              </w:rPr>
              <w:t>提供至少五个超融合厂商兼容性认证证书复印件盖厂商公章</w:t>
            </w:r>
            <w:r>
              <w:rPr>
                <w:rFonts w:hint="eastAsia" w:ascii="宋体" w:hAnsi="宋体" w:cs="宋体"/>
                <w:color w:val="000000" w:themeColor="text1"/>
                <w:kern w:val="0"/>
                <w:sz w:val="22"/>
                <w:szCs w:val="22"/>
                <w14:textFill>
                  <w14:solidFill>
                    <w14:schemeClr w14:val="tx1"/>
                  </w14:solidFill>
                </w14:textFill>
              </w:rPr>
              <w:t>）</w:t>
            </w:r>
          </w:p>
        </w:tc>
      </w:tr>
      <w:tr w14:paraId="7E72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362B33AC">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eastAsia="zh-Hans"/>
              </w:rPr>
              <w:t>灾备</w:t>
            </w:r>
            <w:r>
              <w:rPr>
                <w:rFonts w:hint="eastAsia" w:ascii="宋体" w:hAnsi="宋体" w:cs="宋体"/>
                <w:bCs/>
                <w:kern w:val="0"/>
                <w:sz w:val="21"/>
                <w:szCs w:val="21"/>
                <w:lang w:val="en-US" w:eastAsia="zh-CN"/>
              </w:rPr>
              <w:t>硬件</w:t>
            </w:r>
            <w:r>
              <w:rPr>
                <w:rFonts w:hint="eastAsia" w:ascii="宋体" w:hAnsi="宋体" w:eastAsia="宋体" w:cs="宋体"/>
                <w:bCs/>
                <w:kern w:val="0"/>
                <w:sz w:val="21"/>
                <w:szCs w:val="21"/>
                <w:lang w:eastAsia="zh-Hans"/>
              </w:rPr>
              <w:t>兼容性</w:t>
            </w:r>
          </w:p>
        </w:tc>
        <w:tc>
          <w:tcPr>
            <w:tcW w:w="4083" w:type="pct"/>
            <w:vAlign w:val="center"/>
          </w:tcPr>
          <w:p w14:paraId="6094936D">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lang w:eastAsia="zh-Hans"/>
              </w:rPr>
            </w:pPr>
            <w:r>
              <w:rPr>
                <w:rFonts w:hint="eastAsia" w:ascii="宋体" w:hAnsi="宋体" w:cs="宋体"/>
                <w:color w:val="000000"/>
                <w:kern w:val="0"/>
                <w:szCs w:val="21"/>
              </w:rPr>
              <w:t>支持鲲鹏、</w:t>
            </w:r>
            <w:r>
              <w:rPr>
                <w:rFonts w:hint="eastAsia" w:ascii="宋体" w:hAnsi="宋体" w:cs="宋体"/>
                <w:color w:val="000000"/>
                <w:kern w:val="0"/>
                <w:szCs w:val="21"/>
                <w:lang w:val="en-US" w:eastAsia="zh-CN"/>
              </w:rPr>
              <w:t>海光、</w:t>
            </w:r>
            <w:r>
              <w:rPr>
                <w:rFonts w:hint="eastAsia" w:ascii="宋体" w:hAnsi="宋体" w:cs="宋体"/>
                <w:color w:val="000000"/>
                <w:kern w:val="0"/>
                <w:szCs w:val="21"/>
              </w:rPr>
              <w:t>兆芯和飞腾架构的国产物理服务器的灾备保护</w:t>
            </w:r>
          </w:p>
        </w:tc>
      </w:tr>
      <w:tr w14:paraId="3E17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27F7907C">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eastAsia="zh-Hans"/>
              </w:rPr>
              <w:t>操作系统兼容性</w:t>
            </w:r>
          </w:p>
        </w:tc>
        <w:tc>
          <w:tcPr>
            <w:tcW w:w="4083" w:type="pct"/>
            <w:vAlign w:val="center"/>
          </w:tcPr>
          <w:p w14:paraId="659F5444">
            <w:bookmarkStart w:id="0" w:name="_Hlk107923444"/>
            <w:r>
              <w:rPr>
                <w:rFonts w:hint="eastAsia" w:ascii="宋体" w:hAnsi="宋体" w:cs="宋体"/>
                <w:color w:val="000000"/>
                <w:kern w:val="0"/>
                <w:szCs w:val="21"/>
                <w:lang w:eastAsia="zh-Hans"/>
              </w:rPr>
              <w:t>支持国产操作系统如麒麟，统信UOS，中科方德的灾备保护功能；</w:t>
            </w:r>
            <w:r>
              <w:rPr>
                <w:rFonts w:hint="eastAsia" w:ascii="宋体" w:hAnsi="宋体" w:cs="宋体"/>
                <w:color w:val="000000"/>
                <w:kern w:val="0"/>
                <w:szCs w:val="21"/>
              </w:rPr>
              <w:t>并提供</w:t>
            </w:r>
            <w:r>
              <w:rPr>
                <w:rFonts w:hint="eastAsia" w:ascii="宋体" w:hAnsi="宋体" w:cs="宋体"/>
                <w:kern w:val="0"/>
                <w:szCs w:val="21"/>
              </w:rPr>
              <w:t>兼容性证明文件</w:t>
            </w:r>
            <w:r>
              <w:rPr>
                <w:rFonts w:hint="eastAsia" w:ascii="宋体" w:hAnsi="宋体" w:cs="宋体"/>
                <w:kern w:val="0"/>
                <w:szCs w:val="21"/>
                <w:lang w:eastAsia="zh-CN"/>
              </w:rPr>
              <w:t>。</w:t>
            </w:r>
          </w:p>
          <w:p w14:paraId="09CB99B0">
            <w:pPr>
              <w:keepNext w:val="0"/>
              <w:keepLines w:val="0"/>
              <w:pageBreakBefore w:val="0"/>
              <w:widowControl/>
              <w:kinsoku/>
              <w:wordWrap/>
              <w:overflowPunct/>
              <w:topLinePunct w:val="0"/>
              <w:autoSpaceDE/>
              <w:autoSpaceDN/>
              <w:bidi w:val="0"/>
              <w:adjustRightInd/>
              <w:snapToGrid/>
              <w:spacing w:before="0" w:beforeLines="-2147483648" w:after="0" w:afterLines="-2147483648"/>
              <w:jc w:val="left"/>
              <w:textAlignment w:val="auto"/>
              <w:rPr>
                <w:rFonts w:hint="eastAsia" w:ascii="宋体" w:hAnsi="宋体" w:eastAsia="宋体" w:cs="宋体"/>
                <w:bCs/>
                <w:kern w:val="0"/>
                <w:sz w:val="21"/>
                <w:szCs w:val="21"/>
                <w:lang w:eastAsia="zh-Hans"/>
              </w:rPr>
            </w:pPr>
            <w:r>
              <w:rPr>
                <w:rFonts w:hint="eastAsia" w:ascii="宋体" w:hAnsi="宋体" w:cs="宋体"/>
                <w:color w:val="000000"/>
                <w:kern w:val="0"/>
                <w:szCs w:val="21"/>
                <w:lang w:eastAsia="zh-Hans"/>
              </w:rPr>
              <w:t>提供Windows/Linux满足对32/64位系统平台及应用的支持；</w:t>
            </w:r>
            <w:bookmarkEnd w:id="0"/>
          </w:p>
        </w:tc>
      </w:tr>
      <w:tr w14:paraId="534F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16" w:type="pct"/>
            <w:vAlign w:val="center"/>
          </w:tcPr>
          <w:p w14:paraId="54765639">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CDP持续数据保护</w:t>
            </w:r>
          </w:p>
        </w:tc>
        <w:tc>
          <w:tcPr>
            <w:tcW w:w="4083" w:type="pct"/>
            <w:vAlign w:val="center"/>
          </w:tcPr>
          <w:p w14:paraId="587C3254">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hint="eastAsia" w:ascii="宋体" w:hAnsi="宋体" w:cs="仿宋"/>
                <w:color w:val="000000" w:themeColor="text1"/>
                <w:kern w:val="0"/>
                <w:sz w:val="22"/>
                <w:szCs w:val="22"/>
                <w:lang w:bidi="ar"/>
                <w14:textFill>
                  <w14:solidFill>
                    <w14:schemeClr w14:val="tx1"/>
                  </w14:solidFill>
                </w14:textFill>
              </w:rPr>
              <w:t>支持Oracle数据库、SQL Server数据库的持续数据保护，实现秒级别同步，并能实现5分钟内恢复到历史任意备份点</w:t>
            </w:r>
            <w:r>
              <w:rPr>
                <w:rFonts w:hint="eastAsia" w:ascii="宋体" w:hAnsi="宋体" w:cs="仿宋"/>
                <w:color w:val="000000" w:themeColor="text1"/>
                <w:kern w:val="0"/>
                <w:sz w:val="22"/>
                <w:szCs w:val="22"/>
                <w:lang w:eastAsia="zh-CN" w:bidi="ar"/>
                <w14:textFill>
                  <w14:solidFill>
                    <w14:schemeClr w14:val="tx1"/>
                  </w14:solidFill>
                </w14:textFill>
              </w:rPr>
              <w:t>；</w:t>
            </w:r>
            <w:r>
              <w:rPr>
                <w:rFonts w:hint="eastAsia" w:ascii="宋体" w:hAnsi="宋体" w:cs="仿宋"/>
                <w:color w:val="000000" w:themeColor="text1"/>
                <w:kern w:val="0"/>
                <w:sz w:val="22"/>
                <w:szCs w:val="22"/>
                <w:lang w:bidi="ar"/>
                <w14:textFill>
                  <w14:solidFill>
                    <w14:schemeClr w14:val="tx1"/>
                  </w14:solidFill>
                </w14:textFill>
              </w:rPr>
              <w:t>支持文件的持续数据保护，并能实现5分钟内恢复到历史任意备份点</w:t>
            </w:r>
          </w:p>
        </w:tc>
      </w:tr>
      <w:tr w14:paraId="5FEE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16" w:type="pct"/>
            <w:vAlign w:val="center"/>
          </w:tcPr>
          <w:p w14:paraId="6BB03FC0">
            <w:pPr>
              <w:widowControl/>
              <w:jc w:val="left"/>
              <w:rPr>
                <w:rFonts w:hint="eastAsia" w:ascii="宋体" w:hAnsi="宋体" w:eastAsia="宋体" w:cs="宋体"/>
                <w:bCs/>
                <w:kern w:val="0"/>
                <w:sz w:val="21"/>
                <w:szCs w:val="21"/>
              </w:rPr>
            </w:pPr>
            <w:r>
              <w:rPr>
                <w:rFonts w:hint="eastAsia" w:ascii="宋体" w:hAnsi="宋体" w:cs="宋体"/>
                <w:color w:val="000000"/>
                <w:kern w:val="0"/>
                <w:sz w:val="22"/>
                <w:szCs w:val="22"/>
              </w:rPr>
              <w:t>永久增量备份模式</w:t>
            </w:r>
          </w:p>
        </w:tc>
        <w:tc>
          <w:tcPr>
            <w:tcW w:w="4083" w:type="pct"/>
            <w:vAlign w:val="center"/>
          </w:tcPr>
          <w:p w14:paraId="2931DF9C">
            <w:pPr>
              <w:widowControl/>
              <w:jc w:val="left"/>
              <w:rPr>
                <w:rFonts w:hint="eastAsia" w:ascii="宋体" w:hAnsi="宋体" w:cs="仿宋"/>
                <w:color w:val="000000" w:themeColor="text1"/>
                <w:kern w:val="0"/>
                <w:sz w:val="22"/>
                <w:szCs w:val="22"/>
                <w:lang w:bidi="ar"/>
                <w14:textFill>
                  <w14:solidFill>
                    <w14:schemeClr w14:val="tx1"/>
                  </w14:solidFill>
                </w14:textFill>
              </w:rPr>
            </w:pPr>
            <w:r>
              <w:rPr>
                <w:rFonts w:hint="eastAsia" w:ascii="宋体" w:hAnsi="宋体" w:cs="宋体"/>
                <w:color w:val="000000"/>
                <w:kern w:val="0"/>
                <w:sz w:val="22"/>
                <w:szCs w:val="22"/>
              </w:rPr>
              <w:t>支持除了第一次备份的是数据库的全量数据，以后只需要备份数据库的增量数据，并且增量数据要求通过块跟踪技术获取（非数据库日志数据）</w:t>
            </w:r>
          </w:p>
        </w:tc>
      </w:tr>
      <w:tr w14:paraId="29F5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16" w:type="pct"/>
            <w:vAlign w:val="center"/>
          </w:tcPr>
          <w:p w14:paraId="27F050A6">
            <w:pPr>
              <w:widowControl/>
              <w:jc w:val="left"/>
              <w:rPr>
                <w:rFonts w:hint="eastAsia" w:ascii="宋体" w:hAnsi="宋体" w:eastAsia="宋体" w:cs="宋体"/>
                <w:bCs/>
                <w:kern w:val="0"/>
                <w:sz w:val="21"/>
                <w:szCs w:val="21"/>
              </w:rPr>
            </w:pPr>
            <w:r>
              <w:rPr>
                <w:rFonts w:hint="eastAsia" w:ascii="宋体" w:hAnsi="宋体" w:cs="仿宋"/>
                <w:color w:val="000000" w:themeColor="text1"/>
                <w:kern w:val="0"/>
                <w:sz w:val="22"/>
                <w:szCs w:val="22"/>
                <w:lang w:bidi="ar"/>
                <w14:textFill>
                  <w14:solidFill>
                    <w14:schemeClr w14:val="tx1"/>
                  </w14:solidFill>
                </w14:textFill>
              </w:rPr>
              <w:t>主机标签分类</w:t>
            </w:r>
          </w:p>
        </w:tc>
        <w:tc>
          <w:tcPr>
            <w:tcW w:w="4083" w:type="pct"/>
            <w:vAlign w:val="center"/>
          </w:tcPr>
          <w:p w14:paraId="7EA6C7F4">
            <w:pPr>
              <w:widowControl/>
              <w:jc w:val="left"/>
              <w:rPr>
                <w:rFonts w:hint="eastAsia" w:ascii="宋体" w:hAnsi="宋体" w:cs="仿宋"/>
                <w:color w:val="000000" w:themeColor="text1"/>
                <w:kern w:val="0"/>
                <w:sz w:val="22"/>
                <w:szCs w:val="22"/>
                <w:lang w:bidi="ar"/>
                <w14:textFill>
                  <w14:solidFill>
                    <w14:schemeClr w14:val="tx1"/>
                  </w14:solidFill>
                </w14:textFill>
              </w:rPr>
            </w:pPr>
            <w:r>
              <w:rPr>
                <w:rFonts w:hint="eastAsia" w:ascii="宋体" w:hAnsi="宋体" w:cs="仿宋"/>
                <w:color w:val="000000" w:themeColor="text1"/>
                <w:kern w:val="0"/>
                <w:sz w:val="22"/>
                <w:szCs w:val="22"/>
                <w:lang w:bidi="ar"/>
                <w14:textFill>
                  <w14:solidFill>
                    <w14:schemeClr w14:val="tx1"/>
                  </w14:solidFill>
                </w14:textFill>
              </w:rPr>
              <w:t>支持对主机进行标签分类，拉起时可按标签进行分类拉起（提供具有CNAS和CMA认证的检测机构的软件测评报告材料复印件加盖厂商公章）</w:t>
            </w:r>
          </w:p>
        </w:tc>
      </w:tr>
      <w:tr w14:paraId="16A5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16" w:type="pct"/>
            <w:vAlign w:val="center"/>
          </w:tcPr>
          <w:p w14:paraId="37029325">
            <w:pPr>
              <w:widowControl/>
              <w:jc w:val="left"/>
              <w:rPr>
                <w:rFonts w:hint="eastAsia" w:ascii="宋体" w:hAnsi="宋体" w:cs="仿宋"/>
                <w:color w:val="000000" w:themeColor="text1"/>
                <w:kern w:val="0"/>
                <w:sz w:val="22"/>
                <w:szCs w:val="22"/>
                <w:lang w:bidi="ar"/>
                <w14:textFill>
                  <w14:solidFill>
                    <w14:schemeClr w14:val="tx1"/>
                  </w14:solidFill>
                </w14:textFill>
              </w:rPr>
            </w:pPr>
            <w:r>
              <w:rPr>
                <w:rFonts w:hint="eastAsia" w:ascii="宋体" w:hAnsi="宋体" w:cs="宋体"/>
                <w:color w:val="000000"/>
                <w:kern w:val="0"/>
                <w:sz w:val="22"/>
                <w:szCs w:val="22"/>
              </w:rPr>
              <w:t>数据脱敏功能</w:t>
            </w:r>
          </w:p>
        </w:tc>
        <w:tc>
          <w:tcPr>
            <w:tcW w:w="4083" w:type="pct"/>
            <w:vAlign w:val="center"/>
          </w:tcPr>
          <w:p w14:paraId="7EF79B5E">
            <w:pPr>
              <w:widowControl/>
              <w:jc w:val="left"/>
              <w:rPr>
                <w:rFonts w:hint="eastAsia" w:ascii="宋体" w:hAnsi="宋体" w:cs="仿宋"/>
                <w:color w:val="000000" w:themeColor="text1"/>
                <w:kern w:val="0"/>
                <w:sz w:val="22"/>
                <w:szCs w:val="22"/>
                <w:lang w:bidi="ar"/>
                <w14:textFill>
                  <w14:solidFill>
                    <w14:schemeClr w14:val="tx1"/>
                  </w14:solidFill>
                </w14:textFill>
              </w:rPr>
            </w:pPr>
            <w:r>
              <w:rPr>
                <w:rFonts w:hint="eastAsia" w:ascii="宋体" w:hAnsi="宋体" w:cs="宋体"/>
                <w:color w:val="000000"/>
                <w:kern w:val="0"/>
                <w:sz w:val="22"/>
                <w:szCs w:val="22"/>
              </w:rPr>
              <w:t>配置对Oracle数据库、MYSQL数据库、SQL Server数据库、达梦数据库恢复后一键数据脱敏功能(</w:t>
            </w:r>
            <w:r>
              <w:rPr>
                <w:rFonts w:hint="eastAsia" w:ascii="宋体" w:hAnsi="宋体" w:cs="仿宋"/>
                <w:color w:val="000000"/>
                <w:kern w:val="0"/>
                <w:sz w:val="22"/>
                <w:szCs w:val="22"/>
                <w:lang w:bidi="ar"/>
              </w:rPr>
              <w:t>提供截图证明材料）</w:t>
            </w:r>
          </w:p>
        </w:tc>
      </w:tr>
      <w:tr w14:paraId="404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Align w:val="center"/>
          </w:tcPr>
          <w:p w14:paraId="435B9781">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eastAsia="zh-Hans"/>
              </w:rPr>
              <w:t>数据重删和压缩</w:t>
            </w:r>
          </w:p>
        </w:tc>
        <w:tc>
          <w:tcPr>
            <w:tcW w:w="4083" w:type="pct"/>
            <w:vAlign w:val="center"/>
          </w:tcPr>
          <w:p w14:paraId="18C89AC4">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hint="eastAsia" w:ascii="宋体" w:hAnsi="宋体" w:cs="宋体"/>
                <w:color w:val="000000"/>
                <w:kern w:val="0"/>
                <w:szCs w:val="21"/>
              </w:rPr>
              <w:t>支持</w:t>
            </w:r>
            <w:r>
              <w:rPr>
                <w:rFonts w:hint="eastAsia" w:ascii="宋体" w:hAnsi="宋体" w:cs="宋体"/>
                <w:color w:val="000000"/>
                <w:kern w:val="0"/>
                <w:szCs w:val="21"/>
                <w:lang w:val="en-US" w:eastAsia="zh-CN"/>
              </w:rPr>
              <w:t>在线数据去</w:t>
            </w:r>
            <w:r>
              <w:rPr>
                <w:rFonts w:hint="eastAsia" w:ascii="宋体" w:hAnsi="宋体" w:cs="宋体"/>
                <w:color w:val="000000"/>
                <w:kern w:val="0"/>
                <w:szCs w:val="21"/>
              </w:rPr>
              <w:t>重和压缩，支持</w:t>
            </w:r>
            <w:r>
              <w:rPr>
                <w:rFonts w:hint="eastAsia" w:ascii="宋体" w:hAnsi="宋体" w:cs="宋体"/>
                <w:color w:val="000000"/>
                <w:kern w:val="0"/>
                <w:szCs w:val="21"/>
                <w:lang w:val="en-US" w:eastAsia="zh-CN"/>
              </w:rPr>
              <w:t>永久</w:t>
            </w:r>
            <w:r>
              <w:rPr>
                <w:rFonts w:hint="eastAsia" w:ascii="宋体" w:hAnsi="宋体" w:cs="宋体"/>
                <w:color w:val="000000"/>
                <w:kern w:val="0"/>
                <w:szCs w:val="21"/>
              </w:rPr>
              <w:t>增量备份模式，减少对网络带宽和存储空间的占用；</w:t>
            </w:r>
          </w:p>
        </w:tc>
      </w:tr>
      <w:tr w14:paraId="4818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916" w:type="pct"/>
            <w:vAlign w:val="center"/>
          </w:tcPr>
          <w:p w14:paraId="55E63CA7">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备份数据验证</w:t>
            </w:r>
          </w:p>
        </w:tc>
        <w:tc>
          <w:tcPr>
            <w:tcW w:w="4083" w:type="pct"/>
            <w:vAlign w:val="center"/>
          </w:tcPr>
          <w:p w14:paraId="7796D49B">
            <w:pPr>
              <w:rPr>
                <w:rFonts w:hint="eastAsia" w:ascii="宋体" w:hAnsi="宋体" w:eastAsia="宋体" w:cs="宋体"/>
                <w:bCs/>
                <w:kern w:val="0"/>
                <w:sz w:val="21"/>
                <w:szCs w:val="21"/>
              </w:rPr>
            </w:pPr>
            <w:r>
              <w:rPr>
                <w:rFonts w:hint="eastAsia" w:ascii="宋体" w:hAnsi="宋体" w:cs="宋体"/>
                <w:color w:val="000000"/>
                <w:kern w:val="0"/>
                <w:sz w:val="22"/>
                <w:szCs w:val="22"/>
              </w:rPr>
              <w:t>除系统自动恢复验证外,还可实现自动应用级验证,用户可自定义S</w:t>
            </w:r>
            <w:r>
              <w:rPr>
                <w:rFonts w:ascii="宋体" w:hAnsi="宋体" w:cs="宋体"/>
                <w:color w:val="000000"/>
                <w:kern w:val="0"/>
                <w:sz w:val="22"/>
                <w:szCs w:val="22"/>
              </w:rPr>
              <w:t>QL</w:t>
            </w:r>
            <w:r>
              <w:rPr>
                <w:rFonts w:hint="eastAsia" w:ascii="宋体" w:hAnsi="宋体" w:cs="宋体"/>
                <w:color w:val="000000"/>
                <w:kern w:val="0"/>
                <w:sz w:val="22"/>
                <w:szCs w:val="22"/>
              </w:rPr>
              <w:t>语句对自动恢复验证的数据库进行对比,对比结果进行保留,管理员进行结果确认,全过程记录台帐.</w:t>
            </w:r>
          </w:p>
        </w:tc>
      </w:tr>
      <w:tr w14:paraId="728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Merge w:val="restart"/>
            <w:vAlign w:val="center"/>
          </w:tcPr>
          <w:p w14:paraId="3A2FF32A">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cs="宋体"/>
                <w:bCs/>
                <w:kern w:val="0"/>
                <w:sz w:val="21"/>
                <w:szCs w:val="21"/>
                <w:lang w:val="en-US" w:eastAsia="zh-CN"/>
              </w:rPr>
              <w:t>快速</w:t>
            </w:r>
            <w:r>
              <w:rPr>
                <w:rFonts w:hint="eastAsia" w:ascii="宋体" w:hAnsi="宋体" w:eastAsia="宋体" w:cs="宋体"/>
                <w:bCs/>
                <w:kern w:val="0"/>
                <w:sz w:val="21"/>
                <w:szCs w:val="21"/>
                <w:lang w:eastAsia="zh-Hans"/>
              </w:rPr>
              <w:t>重建恢复</w:t>
            </w:r>
          </w:p>
        </w:tc>
        <w:tc>
          <w:tcPr>
            <w:tcW w:w="4083" w:type="pct"/>
            <w:vAlign w:val="center"/>
          </w:tcPr>
          <w:p w14:paraId="1A3FD6B5">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hint="eastAsia" w:ascii="宋体" w:hAnsi="宋体" w:cs="宋体"/>
                <w:color w:val="000000"/>
                <w:kern w:val="0"/>
                <w:sz w:val="22"/>
                <w:szCs w:val="22"/>
              </w:rPr>
              <w:t>支持所有备份数据可以直接挂载（Mount）的方式实现恢复，其中数据库备份数据可以实现任意时间点恢复</w:t>
            </w:r>
          </w:p>
        </w:tc>
      </w:tr>
      <w:tr w14:paraId="573D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Merge w:val="continue"/>
            <w:vAlign w:val="center"/>
          </w:tcPr>
          <w:p w14:paraId="764A15EA">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lang w:eastAsia="zh-Hans"/>
              </w:rPr>
            </w:pPr>
          </w:p>
        </w:tc>
        <w:tc>
          <w:tcPr>
            <w:tcW w:w="4083" w:type="pct"/>
            <w:vAlign w:val="center"/>
          </w:tcPr>
          <w:p w14:paraId="61F21388">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ascii="新宋体" w:hAnsi="新宋体" w:eastAsia="新宋体" w:cs="新宋体"/>
                <w:color w:val="000000" w:themeColor="text1"/>
                <w:sz w:val="20"/>
                <w:szCs w:val="20"/>
                <w14:textFill>
                  <w14:solidFill>
                    <w14:schemeClr w14:val="tx1"/>
                  </w14:solidFill>
                </w14:textFill>
              </w:rPr>
              <w:t>分钟级快速拉起和分钟级挂载要求在</w:t>
            </w:r>
            <w:r>
              <w:rPr>
                <w:rFonts w:hint="eastAsia" w:ascii="新宋体" w:hAnsi="新宋体" w:eastAsia="新宋体" w:cs="新宋体"/>
                <w:color w:val="000000" w:themeColor="text1"/>
                <w:sz w:val="20"/>
                <w:szCs w:val="20"/>
                <w14:textFill>
                  <w14:solidFill>
                    <w14:schemeClr w14:val="tx1"/>
                  </w14:solidFill>
                </w14:textFill>
              </w:rPr>
              <w:t>2</w:t>
            </w:r>
            <w:r>
              <w:rPr>
                <w:rFonts w:ascii="新宋体" w:hAnsi="新宋体" w:eastAsia="新宋体" w:cs="新宋体"/>
                <w:color w:val="000000" w:themeColor="text1"/>
                <w:sz w:val="20"/>
                <w:szCs w:val="20"/>
                <w14:textFill>
                  <w14:solidFill>
                    <w14:schemeClr w14:val="tx1"/>
                  </w14:solidFill>
                </w14:textFill>
              </w:rPr>
              <w:t>TB容量数据库都能够在</w:t>
            </w:r>
            <w:r>
              <w:rPr>
                <w:rFonts w:hint="eastAsia" w:ascii="新宋体" w:hAnsi="新宋体" w:eastAsia="新宋体" w:cs="新宋体"/>
                <w:color w:val="000000" w:themeColor="text1"/>
                <w:sz w:val="20"/>
                <w:szCs w:val="20"/>
                <w14:textFill>
                  <w14:solidFill>
                    <w14:schemeClr w14:val="tx1"/>
                  </w14:solidFill>
                </w14:textFill>
              </w:rPr>
              <w:t>1</w:t>
            </w:r>
            <w:r>
              <w:rPr>
                <w:rFonts w:ascii="新宋体" w:hAnsi="新宋体" w:eastAsia="新宋体" w:cs="新宋体"/>
                <w:color w:val="000000" w:themeColor="text1"/>
                <w:sz w:val="20"/>
                <w:szCs w:val="20"/>
                <w14:textFill>
                  <w14:solidFill>
                    <w14:schemeClr w14:val="tx1"/>
                  </w14:solidFill>
                </w14:textFill>
              </w:rPr>
              <w:t>0分钟以内恢复，说明恢复的具体时间</w:t>
            </w:r>
            <w:r>
              <w:rPr>
                <w:rFonts w:hint="eastAsia" w:ascii="新宋体" w:hAnsi="新宋体" w:eastAsia="新宋体" w:cs="新宋体"/>
                <w:color w:val="000000" w:themeColor="text1"/>
                <w:sz w:val="20"/>
                <w:szCs w:val="20"/>
                <w14:textFill>
                  <w14:solidFill>
                    <w14:schemeClr w14:val="tx1"/>
                  </w14:solidFill>
                </w14:textFill>
              </w:rPr>
              <w:t>，并作为验收依据</w:t>
            </w:r>
            <w:r>
              <w:rPr>
                <w:rFonts w:ascii="新宋体" w:hAnsi="新宋体" w:eastAsia="新宋体" w:cs="新宋体"/>
                <w:color w:val="000000" w:themeColor="text1"/>
                <w:sz w:val="20"/>
                <w:szCs w:val="20"/>
                <w14:textFill>
                  <w14:solidFill>
                    <w14:schemeClr w14:val="tx1"/>
                  </w14:solidFill>
                </w14:textFill>
              </w:rPr>
              <w:t>。</w:t>
            </w:r>
            <w:r>
              <w:rPr>
                <w:rFonts w:hint="eastAsia" w:ascii="新宋体" w:hAnsi="新宋体" w:eastAsia="新宋体" w:cs="新宋体"/>
                <w:color w:val="000000" w:themeColor="text1"/>
                <w:sz w:val="20"/>
                <w:szCs w:val="20"/>
                <w14:textFill>
                  <w14:solidFill>
                    <w14:schemeClr w14:val="tx1"/>
                  </w14:solidFill>
                </w14:textFill>
              </w:rPr>
              <w:t>（提供截图证明）</w:t>
            </w:r>
          </w:p>
        </w:tc>
      </w:tr>
      <w:tr w14:paraId="1E5E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Merge w:val="restart"/>
            <w:vAlign w:val="center"/>
          </w:tcPr>
          <w:p w14:paraId="6A97EF10">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r>
              <w:rPr>
                <w:rFonts w:hint="eastAsia" w:ascii="宋体" w:hAnsi="宋体" w:cs="宋体"/>
                <w:bCs/>
                <w:kern w:val="0"/>
                <w:sz w:val="21"/>
                <w:szCs w:val="21"/>
                <w:lang w:val="en-US" w:eastAsia="zh-CN"/>
              </w:rPr>
              <w:t>数据库</w:t>
            </w:r>
            <w:r>
              <w:rPr>
                <w:rFonts w:hint="eastAsia" w:ascii="宋体" w:hAnsi="宋体" w:eastAsia="宋体" w:cs="宋体"/>
                <w:bCs/>
                <w:kern w:val="0"/>
                <w:sz w:val="21"/>
                <w:szCs w:val="21"/>
              </w:rPr>
              <w:t>容灾</w:t>
            </w:r>
          </w:p>
        </w:tc>
        <w:tc>
          <w:tcPr>
            <w:tcW w:w="4083" w:type="pct"/>
            <w:vAlign w:val="center"/>
          </w:tcPr>
          <w:p w14:paraId="204D668E">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hint="eastAsia" w:ascii="宋体" w:hAnsi="宋体" w:cs="仿宋"/>
                <w:color w:val="000000" w:themeColor="text1"/>
                <w:kern w:val="0"/>
                <w:sz w:val="22"/>
                <w:szCs w:val="22"/>
                <w:lang w:bidi="ar"/>
                <w14:textFill>
                  <w14:solidFill>
                    <w14:schemeClr w14:val="tx1"/>
                  </w14:solidFill>
                </w14:textFill>
              </w:rPr>
              <w:t>支持并配置一键生产Oracle数据库实时容灾功能，可查看容灾系统和生产系统的情况（提供具有CNAS和CMA认证的检测机构的软件测评报告材料复印件加盖厂商公章）</w:t>
            </w:r>
          </w:p>
        </w:tc>
      </w:tr>
      <w:tr w14:paraId="020C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Merge w:val="continue"/>
            <w:vAlign w:val="center"/>
          </w:tcPr>
          <w:p w14:paraId="63BBC062">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eastAsia" w:ascii="宋体" w:hAnsi="宋体" w:eastAsia="宋体" w:cs="宋体"/>
                <w:bCs/>
                <w:kern w:val="0"/>
                <w:sz w:val="21"/>
                <w:szCs w:val="21"/>
              </w:rPr>
            </w:pPr>
          </w:p>
        </w:tc>
        <w:tc>
          <w:tcPr>
            <w:tcW w:w="4083" w:type="pct"/>
            <w:vAlign w:val="center"/>
          </w:tcPr>
          <w:p w14:paraId="67A671F5">
            <w:pPr>
              <w:keepNext w:val="0"/>
              <w:keepLines w:val="0"/>
              <w:pageBreakBefore w:val="0"/>
              <w:widowControl/>
              <w:kinsoku/>
              <w:wordWrap/>
              <w:overflowPunct/>
              <w:topLinePunct w:val="0"/>
              <w:autoSpaceDE/>
              <w:autoSpaceDN/>
              <w:bidi w:val="0"/>
              <w:adjustRightInd w:val="0"/>
              <w:snapToGrid w:val="0"/>
              <w:spacing w:before="63" w:beforeLines="20" w:after="63" w:afterLines="20"/>
              <w:jc w:val="left"/>
              <w:textAlignment w:val="auto"/>
              <w:rPr>
                <w:rFonts w:hint="eastAsia" w:ascii="宋体" w:hAnsi="宋体" w:eastAsia="宋体" w:cs="宋体"/>
                <w:bCs/>
                <w:kern w:val="0"/>
                <w:sz w:val="21"/>
                <w:szCs w:val="21"/>
              </w:rPr>
            </w:pPr>
            <w:r>
              <w:rPr>
                <w:rFonts w:hint="eastAsia" w:ascii="宋体" w:hAnsi="宋体" w:cs="仿宋"/>
                <w:color w:val="000000" w:themeColor="text1"/>
                <w:kern w:val="0"/>
                <w:sz w:val="22"/>
                <w:szCs w:val="22"/>
                <w:lang w:bidi="ar"/>
                <w14:textFill>
                  <w14:solidFill>
                    <w14:schemeClr w14:val="tx1"/>
                  </w14:solidFill>
                </w14:textFill>
              </w:rPr>
              <w:t>具有容灾监控大屏功能,其实时展现指标包括同步状态、延时、空间占用、日志应用序列等指标</w:t>
            </w:r>
          </w:p>
        </w:tc>
      </w:tr>
      <w:tr w14:paraId="3DB0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vMerge w:val="continue"/>
            <w:vAlign w:val="center"/>
          </w:tcPr>
          <w:p w14:paraId="7A32F592"/>
        </w:tc>
        <w:tc>
          <w:tcPr>
            <w:tcW w:w="4083" w:type="pct"/>
            <w:vAlign w:val="center"/>
          </w:tcPr>
          <w:p w14:paraId="5E251DEF"/>
        </w:tc>
      </w:tr>
      <w:tr w14:paraId="35E8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1A0C5B2B">
            <w:pPr>
              <w:widowControl/>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2"/>
                <w:szCs w:val="22"/>
              </w:rPr>
              <w:t>多存储介质</w:t>
            </w:r>
          </w:p>
        </w:tc>
        <w:tc>
          <w:tcPr>
            <w:tcW w:w="4083" w:type="pct"/>
            <w:shd w:val="clear" w:color="auto" w:fill="auto"/>
            <w:vAlign w:val="center"/>
          </w:tcPr>
          <w:p w14:paraId="5EB43BCF">
            <w:pPr>
              <w:widowControl/>
              <w:jc w:val="left"/>
              <w:rPr>
                <w:rFonts w:hint="eastAsia" w:ascii="Calibri" w:hAnsi="Calibri" w:eastAsia="宋体" w:cs="Times New Roman"/>
                <w:kern w:val="2"/>
                <w:sz w:val="21"/>
                <w:szCs w:val="22"/>
                <w:lang w:val="en-US" w:eastAsia="zh-CN" w:bidi="ar-SA"/>
              </w:rPr>
            </w:pPr>
            <w:r>
              <w:rPr>
                <w:rFonts w:hint="eastAsia" w:ascii="宋体" w:hAnsi="宋体" w:cs="宋体"/>
                <w:color w:val="000000"/>
                <w:kern w:val="0"/>
                <w:sz w:val="22"/>
                <w:szCs w:val="22"/>
              </w:rPr>
              <w:t>系统可提供多种存放数据的存储介质，以匹配数据全生命周期管理，不同生命周期的数据可存放于不同特性的存储介质，包括提供压缩功能的块存储介质池、提供全局重复数据删除功能的块存储介质池等。数据可在不同池之间实现按策略流动</w:t>
            </w:r>
          </w:p>
        </w:tc>
      </w:tr>
      <w:tr w14:paraId="5993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07AD186D">
            <w:pPr>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存储池管理</w:t>
            </w:r>
          </w:p>
        </w:tc>
        <w:tc>
          <w:tcPr>
            <w:tcW w:w="4083" w:type="pct"/>
            <w:shd w:val="clear" w:color="auto" w:fill="auto"/>
            <w:vAlign w:val="center"/>
          </w:tcPr>
          <w:p w14:paraId="723F1E05">
            <w:pPr>
              <w:rPr>
                <w:rFonts w:hint="default" w:ascii="宋体" w:hAnsi="宋体" w:cs="宋体"/>
                <w:color w:val="000000"/>
                <w:kern w:val="0"/>
                <w:szCs w:val="21"/>
                <w:lang w:val="en-US" w:eastAsia="zh-Hans"/>
              </w:rPr>
            </w:pPr>
            <w:r>
              <w:rPr>
                <w:rFonts w:ascii="宋体" w:hAnsi="宋体" w:cs="新宋体"/>
                <w:sz w:val="22"/>
                <w:szCs w:val="22"/>
              </w:rPr>
              <w:t>快照池具有原生去重压缩功能，压缩池具有1-9级别在线压缩能力（提供原厂功能截图），每个池可在线扩容，并具有历史性能监控功能。</w:t>
            </w:r>
          </w:p>
        </w:tc>
      </w:tr>
      <w:tr w14:paraId="1B9B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78D27A85">
            <w:pPr>
              <w:jc w:val="center"/>
              <w:rPr>
                <w:rFonts w:hint="eastAsia" w:ascii="宋体" w:hAnsi="宋体" w:cs="宋体"/>
                <w:color w:val="000000"/>
                <w:kern w:val="0"/>
                <w:szCs w:val="21"/>
                <w:lang w:eastAsia="zh-Hans"/>
              </w:rPr>
            </w:pPr>
            <w:r>
              <w:rPr>
                <w:rFonts w:hint="eastAsia" w:ascii="宋体" w:hAnsi="宋体"/>
                <w:color w:val="000000" w:themeColor="text1"/>
                <w:kern w:val="0"/>
                <w:sz w:val="22"/>
                <w:szCs w:val="22"/>
                <w14:textFill>
                  <w14:solidFill>
                    <w14:schemeClr w14:val="tx1"/>
                  </w14:solidFill>
                </w14:textFill>
              </w:rPr>
              <w:t>本地压缩池</w:t>
            </w:r>
          </w:p>
        </w:tc>
        <w:tc>
          <w:tcPr>
            <w:tcW w:w="4083" w:type="pct"/>
            <w:shd w:val="clear" w:color="auto" w:fill="auto"/>
            <w:vAlign w:val="center"/>
          </w:tcPr>
          <w:p w14:paraId="1BF09A8F">
            <w:pPr>
              <w:rPr>
                <w:rFonts w:hint="default" w:ascii="宋体" w:hAnsi="宋体" w:cs="宋体"/>
                <w:color w:val="000000"/>
                <w:kern w:val="0"/>
                <w:szCs w:val="21"/>
                <w:lang w:val="en-US" w:eastAsia="zh-Hans"/>
              </w:rPr>
            </w:pPr>
            <w:r>
              <w:rPr>
                <w:rFonts w:hint="eastAsia" w:ascii="宋体" w:hAnsi="宋体" w:cs="仿宋"/>
                <w:color w:val="000000" w:themeColor="text1"/>
                <w:kern w:val="0"/>
                <w:sz w:val="22"/>
                <w:szCs w:val="22"/>
                <w:lang w:bidi="ar"/>
                <w14:textFill>
                  <w14:solidFill>
                    <w14:schemeClr w14:val="tx1"/>
                  </w14:solidFill>
                </w14:textFill>
              </w:rPr>
              <w:t>本地快照池里的数据可根据设置的周期计划发送到本地压缩池。（提供具有CNAS和CMA认证的检测机构的软件测评报告材料复印件加盖厂商公章）</w:t>
            </w:r>
          </w:p>
        </w:tc>
      </w:tr>
      <w:tr w14:paraId="6481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07BC2E3E">
            <w:pPr>
              <w:widowControl/>
              <w:jc w:val="left"/>
              <w:rPr>
                <w:rFonts w:hint="eastAsia" w:ascii="宋体" w:hAnsi="宋体" w:cs="宋体"/>
                <w:color w:val="000000"/>
                <w:kern w:val="0"/>
                <w:szCs w:val="21"/>
                <w:lang w:eastAsia="zh-Hans"/>
              </w:rPr>
            </w:pPr>
            <w:r>
              <w:rPr>
                <w:rFonts w:hint="eastAsia" w:ascii="宋体" w:hAnsi="宋体"/>
                <w:color w:val="000000" w:themeColor="text1"/>
                <w:kern w:val="0"/>
                <w:sz w:val="22"/>
                <w:szCs w:val="22"/>
                <w:lang w:val="en-US" w:eastAsia="zh-CN"/>
                <w14:textFill>
                  <w14:solidFill>
                    <w14:schemeClr w14:val="tx1"/>
                  </w14:solidFill>
                </w14:textFill>
              </w:rPr>
              <w:t>异地</w:t>
            </w:r>
            <w:r>
              <w:rPr>
                <w:rFonts w:hint="eastAsia" w:ascii="宋体" w:hAnsi="宋体"/>
                <w:color w:val="000000" w:themeColor="text1"/>
                <w:kern w:val="0"/>
                <w:sz w:val="22"/>
                <w:szCs w:val="22"/>
                <w14:textFill>
                  <w14:solidFill>
                    <w14:schemeClr w14:val="tx1"/>
                  </w14:solidFill>
                </w14:textFill>
              </w:rPr>
              <w:t>灾备节点存储池</w:t>
            </w:r>
          </w:p>
        </w:tc>
        <w:tc>
          <w:tcPr>
            <w:tcW w:w="4083" w:type="pct"/>
            <w:shd w:val="clear" w:color="auto" w:fill="auto"/>
            <w:vAlign w:val="center"/>
          </w:tcPr>
          <w:p w14:paraId="55707009">
            <w:pPr>
              <w:widowControl/>
              <w:jc w:val="left"/>
              <w:rPr>
                <w:rFonts w:hint="default" w:ascii="宋体" w:hAnsi="宋体" w:cs="宋体"/>
                <w:color w:val="000000"/>
                <w:kern w:val="0"/>
                <w:szCs w:val="21"/>
                <w:lang w:val="en-US" w:eastAsia="zh-Hans"/>
              </w:rPr>
            </w:pPr>
            <w:r>
              <w:rPr>
                <w:rFonts w:hint="eastAsia" w:ascii="宋体" w:hAnsi="宋体" w:cs="仿宋"/>
                <w:color w:val="000000" w:themeColor="text1"/>
                <w:kern w:val="0"/>
                <w:sz w:val="22"/>
                <w:szCs w:val="22"/>
                <w:lang w:bidi="ar"/>
                <w14:textFill>
                  <w14:solidFill>
                    <w14:schemeClr w14:val="tx1"/>
                  </w14:solidFill>
                </w14:textFill>
              </w:rPr>
              <w:t>本地快照池里的数据可根据设置的周期计划发送到灾备节点的存储池（非本地存储）（提供具有CNAS和CMA认证的检测机构的软件测评报告材料复印件加盖厂商公章）</w:t>
            </w:r>
          </w:p>
        </w:tc>
      </w:tr>
      <w:tr w14:paraId="18CC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4EF36320">
            <w:pPr>
              <w:jc w:val="center"/>
              <w:rPr>
                <w:rFonts w:hint="eastAsia" w:ascii="宋体" w:hAnsi="宋体" w:cs="宋体"/>
                <w:color w:val="000000"/>
                <w:kern w:val="0"/>
                <w:szCs w:val="21"/>
                <w:lang w:eastAsia="zh-Hans"/>
              </w:rPr>
            </w:pPr>
            <w:r>
              <w:rPr>
                <w:rFonts w:hint="eastAsia" w:ascii="宋体" w:hAnsi="宋体" w:cs="宋体"/>
                <w:color w:val="000000"/>
                <w:kern w:val="0"/>
                <w:szCs w:val="21"/>
                <w:lang w:eastAsia="zh-Hans"/>
              </w:rPr>
              <w:t>告警</w:t>
            </w:r>
            <w:r>
              <w:rPr>
                <w:rFonts w:hint="eastAsia" w:ascii="宋体" w:hAnsi="宋体" w:cs="宋体"/>
                <w:color w:val="000000"/>
                <w:szCs w:val="21"/>
              </w:rPr>
              <w:t>功能</w:t>
            </w:r>
          </w:p>
        </w:tc>
        <w:tc>
          <w:tcPr>
            <w:tcW w:w="4083" w:type="pct"/>
            <w:shd w:val="clear" w:color="auto" w:fill="auto"/>
            <w:vAlign w:val="center"/>
          </w:tcPr>
          <w:p w14:paraId="2AA73DFC">
            <w:pPr>
              <w:rPr>
                <w:rFonts w:hint="default" w:ascii="宋体" w:hAnsi="宋体" w:cs="宋体"/>
                <w:color w:val="000000"/>
                <w:kern w:val="0"/>
                <w:szCs w:val="21"/>
                <w:lang w:val="en-US" w:eastAsia="zh-Hans"/>
              </w:rPr>
            </w:pPr>
            <w:r>
              <w:rPr>
                <w:rFonts w:hint="eastAsia" w:ascii="宋体" w:hAnsi="宋体" w:cs="宋体"/>
                <w:color w:val="000000"/>
                <w:kern w:val="0"/>
                <w:szCs w:val="21"/>
                <w:lang w:val="en-US" w:eastAsia="zh-CN"/>
              </w:rPr>
              <w:t>支持</w:t>
            </w:r>
            <w:r>
              <w:rPr>
                <w:rFonts w:hint="eastAsia" w:ascii="宋体" w:hAnsi="宋体" w:cs="宋体"/>
                <w:color w:val="000000"/>
                <w:kern w:val="0"/>
                <w:szCs w:val="21"/>
                <w:lang w:eastAsia="zh-Hans"/>
              </w:rPr>
              <w:t>以邮件、</w:t>
            </w:r>
            <w:r>
              <w:rPr>
                <w:rFonts w:hint="eastAsia" w:ascii="宋体" w:hAnsi="宋体" w:cs="宋体"/>
                <w:color w:val="000000"/>
                <w:kern w:val="0"/>
                <w:szCs w:val="21"/>
                <w:lang w:val="en-US" w:eastAsia="zh-CN"/>
              </w:rPr>
              <w:t>钉钉、</w:t>
            </w:r>
            <w:r>
              <w:rPr>
                <w:rFonts w:hint="eastAsia" w:ascii="宋体" w:hAnsi="宋体" w:cs="宋体"/>
                <w:color w:val="000000"/>
                <w:kern w:val="0"/>
                <w:szCs w:val="21"/>
                <w:lang w:eastAsia="zh-Hans"/>
              </w:rPr>
              <w:t>企业微信告警的方式，针对于备份存储系统的软件故障、存储空间、备份任务、操作状态等信息及时通知管理员。</w:t>
            </w:r>
          </w:p>
        </w:tc>
      </w:tr>
      <w:tr w14:paraId="5E1B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6A4E71D5">
            <w:pPr>
              <w:widowControl/>
              <w:jc w:val="left"/>
              <w:rPr>
                <w:rFonts w:hint="eastAsia" w:ascii="宋体" w:hAnsi="宋体" w:cs="宋体"/>
                <w:color w:val="000000"/>
                <w:kern w:val="0"/>
                <w:szCs w:val="21"/>
                <w:lang w:eastAsia="zh-Hans"/>
              </w:rPr>
            </w:pPr>
            <w:r>
              <w:rPr>
                <w:rFonts w:hint="eastAsia" w:ascii="宋体" w:hAnsi="宋体" w:cs="宋体"/>
                <w:color w:val="000000"/>
                <w:kern w:val="0"/>
                <w:sz w:val="22"/>
                <w:szCs w:val="22"/>
              </w:rPr>
              <w:t>产品软件认证证书</w:t>
            </w:r>
          </w:p>
        </w:tc>
        <w:tc>
          <w:tcPr>
            <w:tcW w:w="4083" w:type="pct"/>
            <w:shd w:val="clear" w:color="auto" w:fill="auto"/>
            <w:vAlign w:val="center"/>
          </w:tcPr>
          <w:p w14:paraId="49EBE2BD">
            <w:pPr>
              <w:spacing w:line="276" w:lineRule="auto"/>
              <w:jc w:val="left"/>
              <w:rPr>
                <w:rFonts w:ascii="宋体" w:hAnsi="宋体" w:cs="新宋体"/>
                <w:sz w:val="22"/>
                <w:szCs w:val="22"/>
              </w:rPr>
            </w:pPr>
            <w:r>
              <w:rPr>
                <w:rFonts w:hint="eastAsia" w:ascii="宋体" w:hAnsi="宋体" w:cs="新宋体"/>
                <w:sz w:val="22"/>
                <w:szCs w:val="22"/>
              </w:rPr>
              <w:t>提供软件著作权</w:t>
            </w:r>
          </w:p>
          <w:p w14:paraId="7D780994">
            <w:pPr>
              <w:spacing w:line="276" w:lineRule="auto"/>
              <w:jc w:val="left"/>
              <w:rPr>
                <w:rFonts w:ascii="宋体" w:hAnsi="宋体" w:cs="新宋体"/>
                <w:sz w:val="22"/>
                <w:szCs w:val="22"/>
              </w:rPr>
            </w:pPr>
            <w:r>
              <w:rPr>
                <w:rFonts w:hint="eastAsia" w:ascii="宋体" w:hAnsi="宋体" w:cs="新宋体"/>
                <w:sz w:val="22"/>
                <w:szCs w:val="22"/>
              </w:rPr>
              <w:t>提供软件产品认证证书</w:t>
            </w:r>
          </w:p>
          <w:p w14:paraId="79A2CC04">
            <w:pPr>
              <w:spacing w:line="276" w:lineRule="auto"/>
              <w:jc w:val="left"/>
              <w:rPr>
                <w:rFonts w:ascii="宋体" w:hAnsi="宋体" w:cs="新宋体"/>
                <w:sz w:val="22"/>
                <w:szCs w:val="22"/>
              </w:rPr>
            </w:pPr>
            <w:r>
              <w:rPr>
                <w:rFonts w:hint="eastAsia" w:ascii="宋体" w:hAnsi="宋体" w:cs="仿宋"/>
                <w:color w:val="000000"/>
                <w:kern w:val="0"/>
                <w:sz w:val="22"/>
                <w:szCs w:val="22"/>
                <w:lang w:bidi="ar"/>
              </w:rPr>
              <w:t>须提供网络关键设备和网络安全专用产品安全认证证书</w:t>
            </w:r>
            <w:r>
              <w:rPr>
                <w:rFonts w:hint="eastAsia" w:ascii="宋体" w:hAnsi="宋体" w:cs="新宋体"/>
                <w:sz w:val="22"/>
                <w:szCs w:val="22"/>
              </w:rPr>
              <w:t>；</w:t>
            </w:r>
          </w:p>
          <w:p w14:paraId="22DFA8E0">
            <w:pPr>
              <w:spacing w:line="276" w:lineRule="auto"/>
              <w:jc w:val="left"/>
              <w:rPr>
                <w:rFonts w:hint="eastAsia" w:ascii="宋体" w:hAnsi="宋体" w:cs="宋体"/>
                <w:color w:val="000000"/>
                <w:kern w:val="0"/>
                <w:szCs w:val="21"/>
                <w:lang w:val="en-US" w:eastAsia="zh-CN"/>
              </w:rPr>
            </w:pPr>
            <w:r>
              <w:rPr>
                <w:rFonts w:hint="eastAsia" w:ascii="宋体" w:hAnsi="宋体" w:cs="新宋体"/>
                <w:sz w:val="22"/>
                <w:szCs w:val="22"/>
              </w:rPr>
              <w:t>产品要求有CNAS、CMA资质的测评公司出具的检测报告</w:t>
            </w:r>
            <w:r>
              <w:rPr>
                <w:rFonts w:hint="eastAsia" w:ascii="宋体" w:hAnsi="宋体" w:cs="宋体"/>
                <w:color w:val="000000"/>
                <w:kern w:val="0"/>
                <w:sz w:val="22"/>
                <w:szCs w:val="22"/>
              </w:rPr>
              <w:t>（投标时提供证书复印件盖厂商公章）</w:t>
            </w:r>
          </w:p>
        </w:tc>
      </w:tr>
      <w:tr w14:paraId="0B5E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47DD31F9">
            <w:pPr>
              <w:widowControl/>
              <w:jc w:val="left"/>
              <w:rPr>
                <w:rFonts w:hint="eastAsia" w:ascii="宋体" w:hAnsi="宋体" w:cs="宋体"/>
                <w:kern w:val="0"/>
                <w:sz w:val="22"/>
                <w:szCs w:val="22"/>
              </w:rPr>
            </w:pPr>
            <w:r>
              <w:rPr>
                <w:rFonts w:hint="eastAsia" w:ascii="宋体" w:hAnsi="宋体" w:cs="宋体"/>
                <w:color w:val="000000"/>
                <w:kern w:val="0"/>
                <w:sz w:val="22"/>
                <w:szCs w:val="22"/>
              </w:rPr>
              <w:t>信创支持</w:t>
            </w:r>
          </w:p>
        </w:tc>
        <w:tc>
          <w:tcPr>
            <w:tcW w:w="4083" w:type="pct"/>
            <w:shd w:val="clear" w:color="auto" w:fill="auto"/>
            <w:vAlign w:val="center"/>
          </w:tcPr>
          <w:p w14:paraId="4C23AB8C">
            <w:pPr>
              <w:spacing w:line="276" w:lineRule="auto"/>
              <w:jc w:val="left"/>
              <w:rPr>
                <w:rFonts w:hint="eastAsia" w:ascii="宋体" w:hAnsi="宋体" w:cs="新宋体"/>
                <w:sz w:val="22"/>
                <w:szCs w:val="22"/>
              </w:rPr>
            </w:pPr>
            <w:r>
              <w:rPr>
                <w:rFonts w:hint="eastAsia" w:ascii="宋体" w:hAnsi="宋体" w:cs="新宋体"/>
                <w:sz w:val="22"/>
                <w:szCs w:val="22"/>
              </w:rPr>
              <w:t>产品软件通过涉密信息系统产品检测证书</w:t>
            </w:r>
            <w:r>
              <w:rPr>
                <w:rFonts w:hint="eastAsia" w:ascii="宋体" w:hAnsi="宋体" w:cs="宋体"/>
                <w:color w:val="000000"/>
                <w:kern w:val="0"/>
                <w:sz w:val="22"/>
                <w:szCs w:val="22"/>
              </w:rPr>
              <w:t>（投标时提供证书复印件盖厂商公章）</w:t>
            </w:r>
          </w:p>
        </w:tc>
      </w:tr>
      <w:tr w14:paraId="0DC9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792790F3">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巡检和演练</w:t>
            </w:r>
          </w:p>
        </w:tc>
        <w:tc>
          <w:tcPr>
            <w:tcW w:w="4083" w:type="pct"/>
            <w:shd w:val="clear" w:color="auto" w:fill="auto"/>
            <w:vAlign w:val="center"/>
          </w:tcPr>
          <w:p w14:paraId="12A4B873">
            <w:pPr>
              <w:spacing w:line="276" w:lineRule="auto"/>
              <w:jc w:val="left"/>
              <w:rPr>
                <w:rFonts w:hint="default" w:ascii="宋体" w:hAnsi="宋体" w:cs="新宋体"/>
                <w:sz w:val="22"/>
                <w:szCs w:val="22"/>
                <w:lang w:val="en-US"/>
              </w:rPr>
            </w:pPr>
            <w:r>
              <w:rPr>
                <w:rFonts w:hint="eastAsia" w:ascii="宋体" w:hAnsi="宋体" w:cs="新宋体"/>
                <w:sz w:val="22"/>
                <w:szCs w:val="22"/>
                <w:lang w:val="en-US" w:eastAsia="zh-CN"/>
              </w:rPr>
              <w:t>每年2次现场巡检和恢复演练。配合医院相关评测评级活动，不限次数。</w:t>
            </w:r>
          </w:p>
        </w:tc>
      </w:tr>
      <w:tr w14:paraId="753C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5B591673">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实施周期</w:t>
            </w:r>
          </w:p>
        </w:tc>
        <w:tc>
          <w:tcPr>
            <w:tcW w:w="4083" w:type="pct"/>
            <w:shd w:val="clear" w:color="auto" w:fill="auto"/>
            <w:vAlign w:val="center"/>
          </w:tcPr>
          <w:p w14:paraId="323DE078">
            <w:pPr>
              <w:spacing w:line="276" w:lineRule="auto"/>
              <w:jc w:val="left"/>
              <w:rPr>
                <w:rFonts w:hint="default" w:ascii="宋体" w:hAnsi="宋体" w:cs="新宋体"/>
                <w:sz w:val="22"/>
                <w:szCs w:val="22"/>
                <w:lang w:val="en-US"/>
              </w:rPr>
            </w:pPr>
            <w:r>
              <w:rPr>
                <w:rFonts w:hint="eastAsia" w:ascii="宋体" w:hAnsi="宋体" w:cs="新宋体"/>
                <w:sz w:val="22"/>
                <w:szCs w:val="22"/>
                <w:lang w:val="en-US" w:eastAsia="zh-CN"/>
              </w:rPr>
              <w:t>合同签订后，30天内完成实施调试和相关配置</w:t>
            </w:r>
          </w:p>
        </w:tc>
      </w:tr>
      <w:tr w14:paraId="5F8C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shd w:val="clear" w:color="auto" w:fill="auto"/>
            <w:vAlign w:val="center"/>
          </w:tcPr>
          <w:p w14:paraId="76BB6EB2">
            <w:pPr>
              <w:widowControl/>
              <w:jc w:val="left"/>
              <w:rPr>
                <w:rFonts w:hint="eastAsia"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服务期</w:t>
            </w:r>
          </w:p>
        </w:tc>
        <w:tc>
          <w:tcPr>
            <w:tcW w:w="4083" w:type="pct"/>
            <w:shd w:val="clear" w:color="auto" w:fill="auto"/>
            <w:vAlign w:val="center"/>
          </w:tcPr>
          <w:p w14:paraId="2AFF4C6C">
            <w:pPr>
              <w:spacing w:line="276" w:lineRule="auto"/>
              <w:jc w:val="left"/>
              <w:rPr>
                <w:rFonts w:hint="default" w:ascii="宋体" w:hAnsi="宋体" w:cs="新宋体" w:eastAsiaTheme="minorEastAsia"/>
                <w:sz w:val="22"/>
                <w:szCs w:val="22"/>
                <w:lang w:val="en-US" w:eastAsia="zh-CN"/>
              </w:rPr>
            </w:pPr>
            <w:r>
              <w:rPr>
                <w:rFonts w:hint="eastAsia" w:ascii="宋体" w:hAnsi="宋体" w:cs="新宋体"/>
                <w:sz w:val="22"/>
                <w:szCs w:val="22"/>
                <w:lang w:val="en-US" w:eastAsia="zh-CN"/>
              </w:rPr>
              <w:t>验收之日起1年服务期，承诺提供</w:t>
            </w:r>
            <w:r>
              <w:rPr>
                <w:rFonts w:hint="eastAsia" w:ascii="宋体" w:hAnsi="宋体" w:cs="宋体"/>
                <w:color w:val="000000"/>
                <w:kern w:val="0"/>
                <w:szCs w:val="21"/>
              </w:rPr>
              <w:t>7*24维保服务</w:t>
            </w:r>
            <w:r>
              <w:rPr>
                <w:rFonts w:hint="eastAsia" w:ascii="宋体" w:hAnsi="宋体" w:cs="宋体"/>
                <w:color w:val="000000"/>
                <w:szCs w:val="21"/>
              </w:rPr>
              <w:t>。</w:t>
            </w:r>
            <w:r>
              <w:rPr>
                <w:rFonts w:hint="eastAsia" w:ascii="宋体" w:hAnsi="宋体" w:cs="宋体"/>
                <w:color w:val="000000"/>
                <w:szCs w:val="21"/>
                <w:lang w:val="en-US" w:eastAsia="zh-CN"/>
              </w:rPr>
              <w:t>承诺中标后提供</w:t>
            </w:r>
            <w:r>
              <w:rPr>
                <w:rFonts w:hint="eastAsia" w:ascii="宋体" w:hAnsi="宋体" w:cs="宋体"/>
                <w:color w:val="000000"/>
                <w:szCs w:val="21"/>
              </w:rPr>
              <w:t>原厂商针对本项目的授权书和原厂商针对本项目</w:t>
            </w:r>
            <w:r>
              <w:rPr>
                <w:rFonts w:hint="eastAsia" w:ascii="宋体" w:hAnsi="宋体" w:cs="宋体"/>
                <w:color w:val="000000"/>
                <w:szCs w:val="21"/>
                <w:lang w:val="en-US" w:eastAsia="zh-CN"/>
              </w:rPr>
              <w:t>1年</w:t>
            </w:r>
            <w:r>
              <w:rPr>
                <w:rFonts w:hint="eastAsia" w:ascii="宋体" w:hAnsi="宋体" w:cs="宋体"/>
                <w:color w:val="000000"/>
                <w:szCs w:val="21"/>
              </w:rPr>
              <w:t>服务，同时注明供货对象为浙江省肿瘤医院，浙江省肿瘤医院是所有设备的最终用户。</w:t>
            </w:r>
            <w:r>
              <w:rPr>
                <w:rFonts w:hint="eastAsia" w:ascii="宋体" w:hAnsi="宋体" w:cs="宋体"/>
                <w:color w:val="000000"/>
                <w:szCs w:val="21"/>
                <w:lang w:val="en-US" w:eastAsia="zh-CN"/>
              </w:rPr>
              <w:t>提供承诺函（格式自拟）。</w:t>
            </w:r>
          </w:p>
        </w:tc>
      </w:tr>
    </w:tbl>
    <w:p w14:paraId="00A52CE9">
      <w:pPr>
        <w:rPr>
          <w:rFonts w:hint="eastAsia" w:ascii="仿宋" w:hAnsi="仿宋" w:eastAsia="仿宋" w:cs="仿宋"/>
          <w:b/>
          <w:bCs/>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32D2F"/>
    <w:rsid w:val="09232D2F"/>
    <w:rsid w:val="0CE75980"/>
    <w:rsid w:val="203647FC"/>
    <w:rsid w:val="276A7481"/>
    <w:rsid w:val="387C0DC3"/>
    <w:rsid w:val="47633AAA"/>
    <w:rsid w:val="5A981634"/>
    <w:rsid w:val="5FA36D5F"/>
    <w:rsid w:val="6B2D7B77"/>
    <w:rsid w:val="72FC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1773</Words>
  <Characters>1963</Characters>
  <Lines>0</Lines>
  <Paragraphs>0</Paragraphs>
  <TotalTime>1</TotalTime>
  <ScaleCrop>false</ScaleCrop>
  <LinksUpToDate>false</LinksUpToDate>
  <CharactersWithSpaces>1968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2025-03-24T07:36:00Z</dcterms:created>
  <dc:creator>吴亮</dc:creator>
  <cp:lastModifiedBy>大倪</cp:lastModifiedBy>
  <dcterms:modified xsi:type="dcterms:W3CDTF">2025-04-01T06:56:43Z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746030D76DA2451BA5FC881BB96B0AB8_13</vt:lpwstr>
  </property>
  <property fmtid="{D5CDD505-2E9C-101B-9397-08002B2CF9AE}" pid="4" name="KSOTemplateDocerSaveRecord">
    <vt:lpwstr>eyJoZGlkIjoiNGQyOTRkNmI3M2IyYzZkMDlkNjg2YzUyMDJiODkyNWQiLCJ1c2VySWQiOiI3Mjc2MTQwOTAifQ==</vt:lpwstr>
  </property>
</Properties>
</file>