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24口POE交换机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交换容量不低于400Gbps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包转发率不低于120Mpps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24个10/100/1000Base-T以太网接口（POE+） 4个万兆SFP+端口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机箱高度1U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长期工作温度-5℃-50℃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散热方式：风冷散热，智能调速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电源类型：内置AC电源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机箱尺寸：不大于442*220*43.6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要求与医院现用内网交换机协议完全兼容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原厂质保三年，提供原厂质保函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TdlNDllZWU5MWMxN2ZiODNmMTA3OTkyODA2ZGYifQ=="/>
    <w:docVar w:name="KSO_WPS_MARK_KEY" w:val="ff94ad43-4c07-4f01-834b-018708422670"/>
  </w:docVars>
  <w:rsids>
    <w:rsidRoot w:val="00000000"/>
    <w:rsid w:val="0AA83BF3"/>
    <w:rsid w:val="13833FC0"/>
    <w:rsid w:val="2FC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142</Characters>
  <Lines>0</Lines>
  <Paragraphs>0</Paragraphs>
  <TotalTime>14</TotalTime>
  <ScaleCrop>false</ScaleCrop>
  <LinksUpToDate>false</LinksUpToDate>
  <CharactersWithSpaces>143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2025-02-19T09:18:00Z</dcterms:created>
  <dc:creator>83223</dc:creator>
  <cp:lastModifiedBy>83223</cp:lastModifiedBy>
  <dcterms:modified xsi:type="dcterms:W3CDTF">2025-02-21T01:26:20Z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644A089620B9425C8C0231C8291E7B37</vt:lpwstr>
  </property>
</Properties>
</file>