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6F11F">
      <w:pPr>
        <w:pStyle w:val="2"/>
        <w:snapToGrid w:val="0"/>
        <w:jc w:val="both"/>
        <w:rPr>
          <w:rFonts w:ascii="Times New Roman" w:hAnsi="Times New Roman" w:eastAsia="宋体"/>
          <w:color w:val="auto"/>
        </w:rPr>
      </w:pPr>
      <w:bookmarkStart w:id="0" w:name="_Toc495317669"/>
      <w:r>
        <w:rPr>
          <w:rFonts w:ascii="Times New Roman" w:hAnsi="Times New Roman" w:eastAsia="宋体"/>
          <w:color w:val="auto"/>
        </w:rPr>
        <w:t>采购内容及需求</w:t>
      </w:r>
      <w:bookmarkEnd w:id="0"/>
    </w:p>
    <w:p w14:paraId="6D681986">
      <w:pPr>
        <w:pStyle w:val="2"/>
        <w:jc w:val="left"/>
        <w:rPr>
          <w:rFonts w:hint="eastAsia" w:ascii="宋体" w:hAnsi="宋体" w:eastAsia="宋体" w:cs="宋体"/>
          <w:color w:val="auto"/>
          <w:sz w:val="21"/>
          <w:szCs w:val="21"/>
        </w:rPr>
      </w:pPr>
      <w:r>
        <w:rPr>
          <w:rFonts w:hint="eastAsia" w:ascii="宋体" w:hAnsi="宋体" w:eastAsia="宋体" w:cs="宋体"/>
          <w:color w:val="auto"/>
          <w:sz w:val="21"/>
          <w:szCs w:val="21"/>
        </w:rPr>
        <w:t>一、项目背景</w:t>
      </w:r>
    </w:p>
    <w:p w14:paraId="6656FCD2">
      <w:pPr>
        <w:spacing w:line="360" w:lineRule="auto"/>
        <w:ind w:firstLine="420" w:firstLineChars="200"/>
        <w:rPr>
          <w:rFonts w:hint="eastAsia" w:ascii="宋体" w:hAnsi="宋体" w:cs="宋体"/>
          <w:szCs w:val="21"/>
        </w:rPr>
      </w:pPr>
      <w:r>
        <w:rPr>
          <w:rFonts w:hint="eastAsia" w:ascii="宋体" w:hAnsi="宋体" w:cs="宋体"/>
          <w:szCs w:val="21"/>
        </w:rPr>
        <w:t>为继续深化并认真落实我院网络安全各项规划工作，结合我院现有信息化现状，本次项目主要以优化网络架构、补强网络安全防护能力、建立长效的安全服务机制为主要目标，通过此次项目建设进一步提升我院网络安全整体防护能力。</w:t>
      </w:r>
    </w:p>
    <w:p w14:paraId="0FBAEF15">
      <w:pPr>
        <w:pStyle w:val="2"/>
        <w:jc w:val="left"/>
        <w:rPr>
          <w:rFonts w:hint="eastAsia" w:ascii="宋体" w:hAnsi="宋体" w:eastAsia="宋体" w:cs="宋体"/>
          <w:color w:val="auto"/>
          <w:sz w:val="21"/>
          <w:szCs w:val="21"/>
        </w:rPr>
      </w:pPr>
      <w:bookmarkStart w:id="1" w:name="_Toc18490253"/>
      <w:r>
        <w:rPr>
          <w:rFonts w:hint="eastAsia" w:ascii="宋体" w:hAnsi="宋体" w:eastAsia="宋体" w:cs="宋体"/>
          <w:color w:val="auto"/>
          <w:sz w:val="21"/>
          <w:szCs w:val="21"/>
        </w:rPr>
        <w:t>二、项目清单</w:t>
      </w:r>
      <w:bookmarkEnd w:id="1"/>
    </w:p>
    <w:tbl>
      <w:tblPr>
        <w:tblStyle w:val="9"/>
        <w:tblpPr w:leftFromText="180" w:rightFromText="180" w:vertAnchor="text" w:horzAnchor="page" w:tblpX="1703" w:tblpY="14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76"/>
        <w:gridCol w:w="3276"/>
        <w:gridCol w:w="2469"/>
        <w:gridCol w:w="636"/>
      </w:tblGrid>
      <w:tr w14:paraId="38C3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noWrap/>
            <w:vAlign w:val="center"/>
          </w:tcPr>
          <w:p w14:paraId="0328F0E9">
            <w:pPr>
              <w:jc w:val="center"/>
              <w:rPr>
                <w:rFonts w:hint="eastAsia" w:eastAsia="宋体"/>
                <w:lang w:eastAsia="zh-CN"/>
              </w:rPr>
            </w:pPr>
            <w:r>
              <w:rPr>
                <w:rFonts w:hint="eastAsia"/>
                <w:lang w:val="en-US" w:eastAsia="zh-CN"/>
              </w:rPr>
              <w:t>项目</w:t>
            </w:r>
          </w:p>
        </w:tc>
        <w:tc>
          <w:tcPr>
            <w:tcW w:w="1205" w:type="pct"/>
            <w:noWrap/>
            <w:vAlign w:val="center"/>
          </w:tcPr>
          <w:p w14:paraId="21C66DAC">
            <w:pPr>
              <w:jc w:val="center"/>
              <w:rPr>
                <w:rFonts w:hint="eastAsia" w:eastAsia="宋体"/>
                <w:lang w:val="en-US" w:eastAsia="zh-CN"/>
              </w:rPr>
            </w:pPr>
            <w:r>
              <w:rPr>
                <w:rFonts w:hint="eastAsia"/>
                <w:lang w:val="en-US" w:eastAsia="zh-CN"/>
              </w:rPr>
              <w:t>项目名称</w:t>
            </w:r>
          </w:p>
        </w:tc>
        <w:tc>
          <w:tcPr>
            <w:tcW w:w="1743" w:type="pct"/>
            <w:noWrap/>
            <w:vAlign w:val="center"/>
          </w:tcPr>
          <w:p w14:paraId="7E4BB448">
            <w:pPr>
              <w:jc w:val="center"/>
            </w:pPr>
            <w:r>
              <w:rPr>
                <w:rFonts w:hint="eastAsia"/>
              </w:rPr>
              <w:t>设备名称</w:t>
            </w:r>
          </w:p>
        </w:tc>
        <w:tc>
          <w:tcPr>
            <w:tcW w:w="1350" w:type="pct"/>
            <w:noWrap w:val="0"/>
            <w:vAlign w:val="center"/>
          </w:tcPr>
          <w:p w14:paraId="549F239E">
            <w:pPr>
              <w:jc w:val="center"/>
              <w:rPr>
                <w:rFonts w:hint="eastAsia" w:eastAsia="宋体"/>
                <w:lang w:eastAsia="zh-CN"/>
              </w:rPr>
            </w:pPr>
            <w:r>
              <w:rPr>
                <w:rFonts w:hint="eastAsia"/>
                <w:lang w:val="en-US" w:eastAsia="zh-CN"/>
              </w:rPr>
              <w:t>类型</w:t>
            </w:r>
          </w:p>
        </w:tc>
        <w:tc>
          <w:tcPr>
            <w:tcW w:w="361" w:type="pct"/>
            <w:noWrap/>
            <w:vAlign w:val="center"/>
          </w:tcPr>
          <w:p w14:paraId="2879BF9F">
            <w:pPr>
              <w:jc w:val="center"/>
            </w:pPr>
            <w:r>
              <w:rPr>
                <w:rFonts w:hint="eastAsia"/>
              </w:rPr>
              <w:t>数量</w:t>
            </w:r>
          </w:p>
        </w:tc>
      </w:tr>
      <w:tr w14:paraId="6A69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restart"/>
            <w:noWrap/>
            <w:vAlign w:val="center"/>
          </w:tcPr>
          <w:p w14:paraId="035FAF3D">
            <w:pPr>
              <w:jc w:val="center"/>
              <w:rPr>
                <w:rFonts w:hint="eastAsia" w:eastAsia="宋体"/>
                <w:color w:val="000000"/>
                <w:lang w:eastAsia="zh-CN"/>
              </w:rPr>
            </w:pPr>
            <w:r>
              <w:rPr>
                <w:rFonts w:hint="eastAsia"/>
                <w:lang w:val="en-US" w:eastAsia="zh-CN"/>
              </w:rPr>
              <w:t>1</w:t>
            </w:r>
          </w:p>
        </w:tc>
        <w:tc>
          <w:tcPr>
            <w:tcW w:w="1205" w:type="pct"/>
            <w:vMerge w:val="restart"/>
            <w:noWrap/>
            <w:vAlign w:val="center"/>
          </w:tcPr>
          <w:p w14:paraId="012CD0CF">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网络安全产品及服务</w:t>
            </w:r>
          </w:p>
          <w:p w14:paraId="67B6F7BB">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（面向原厂）</w:t>
            </w:r>
          </w:p>
        </w:tc>
        <w:tc>
          <w:tcPr>
            <w:tcW w:w="1743" w:type="pct"/>
            <w:noWrap/>
            <w:vAlign w:val="center"/>
          </w:tcPr>
          <w:p w14:paraId="57BF5881">
            <w:pPr>
              <w:widowControl/>
              <w:jc w:val="center"/>
              <w:textAlignment w:val="center"/>
            </w:pPr>
            <w:r>
              <w:rPr>
                <w:rFonts w:hint="eastAsia" w:ascii="宋体" w:hAnsi="宋体" w:cs="宋体"/>
                <w:color w:val="000000"/>
                <w:kern w:val="0"/>
                <w:sz w:val="24"/>
                <w:lang w:bidi="ar"/>
              </w:rPr>
              <w:t>安全服务1：渗透测试</w:t>
            </w:r>
          </w:p>
        </w:tc>
        <w:tc>
          <w:tcPr>
            <w:tcW w:w="1350" w:type="pct"/>
            <w:noWrap w:val="0"/>
            <w:vAlign w:val="center"/>
          </w:tcPr>
          <w:p w14:paraId="692A8B34">
            <w:pPr>
              <w:jc w:val="center"/>
              <w:rPr>
                <w:rFonts w:hint="eastAsia" w:eastAsia="宋体"/>
                <w:lang w:eastAsia="zh-CN"/>
              </w:rPr>
            </w:pPr>
            <w:r>
              <w:rPr>
                <w:rFonts w:hint="eastAsia"/>
                <w:lang w:val="en-US" w:eastAsia="zh-CN"/>
              </w:rPr>
              <w:t>服务</w:t>
            </w:r>
          </w:p>
        </w:tc>
        <w:tc>
          <w:tcPr>
            <w:tcW w:w="361" w:type="pct"/>
            <w:noWrap/>
            <w:vAlign w:val="center"/>
          </w:tcPr>
          <w:p w14:paraId="655E4AF3">
            <w:pPr>
              <w:widowControl/>
              <w:jc w:val="center"/>
              <w:textAlignment w:val="center"/>
            </w:pPr>
            <w:r>
              <w:rPr>
                <w:rFonts w:hint="eastAsia" w:ascii="宋体" w:hAnsi="宋体" w:cs="宋体"/>
                <w:color w:val="000000"/>
                <w:kern w:val="0"/>
                <w:sz w:val="22"/>
                <w:szCs w:val="22"/>
                <w:lang w:bidi="ar"/>
              </w:rPr>
              <w:t>2次</w:t>
            </w:r>
          </w:p>
        </w:tc>
      </w:tr>
      <w:tr w14:paraId="1885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6D81D29C">
            <w:pPr>
              <w:jc w:val="center"/>
            </w:pPr>
          </w:p>
        </w:tc>
        <w:tc>
          <w:tcPr>
            <w:tcW w:w="1205" w:type="pct"/>
            <w:vMerge w:val="continue"/>
            <w:noWrap/>
            <w:vAlign w:val="center"/>
          </w:tcPr>
          <w:p w14:paraId="7AA5DD2D">
            <w:pPr>
              <w:widowControl/>
              <w:jc w:val="center"/>
              <w:textAlignment w:val="center"/>
              <w:rPr>
                <w:rFonts w:hint="eastAsia" w:ascii="宋体" w:hAnsi="宋体" w:cs="宋体"/>
                <w:color w:val="000000"/>
                <w:kern w:val="0"/>
                <w:sz w:val="24"/>
                <w:lang w:bidi="ar"/>
              </w:rPr>
            </w:pPr>
          </w:p>
        </w:tc>
        <w:tc>
          <w:tcPr>
            <w:tcW w:w="1743" w:type="pct"/>
            <w:noWrap/>
            <w:vAlign w:val="center"/>
          </w:tcPr>
          <w:p w14:paraId="01E2C3C3">
            <w:pPr>
              <w:widowControl/>
              <w:jc w:val="center"/>
              <w:textAlignment w:val="center"/>
            </w:pPr>
            <w:r>
              <w:rPr>
                <w:rFonts w:hint="eastAsia" w:ascii="宋体" w:hAnsi="宋体" w:cs="宋体"/>
                <w:color w:val="000000"/>
                <w:kern w:val="0"/>
                <w:sz w:val="24"/>
                <w:lang w:bidi="ar"/>
              </w:rPr>
              <w:t>安全服务2：红队测试</w:t>
            </w:r>
          </w:p>
        </w:tc>
        <w:tc>
          <w:tcPr>
            <w:tcW w:w="1350" w:type="pct"/>
            <w:noWrap w:val="0"/>
            <w:vAlign w:val="center"/>
          </w:tcPr>
          <w:p w14:paraId="4514C185">
            <w:pPr>
              <w:jc w:val="center"/>
            </w:pPr>
            <w:r>
              <w:rPr>
                <w:rFonts w:hint="eastAsia"/>
                <w:lang w:val="en-US" w:eastAsia="zh-CN"/>
              </w:rPr>
              <w:t>服务</w:t>
            </w:r>
          </w:p>
        </w:tc>
        <w:tc>
          <w:tcPr>
            <w:tcW w:w="361" w:type="pct"/>
            <w:noWrap/>
            <w:vAlign w:val="center"/>
          </w:tcPr>
          <w:p w14:paraId="06331A8F">
            <w:pPr>
              <w:widowControl/>
              <w:jc w:val="center"/>
              <w:textAlignment w:val="center"/>
            </w:pPr>
            <w:r>
              <w:rPr>
                <w:rFonts w:hint="eastAsia" w:ascii="宋体" w:hAnsi="宋体" w:cs="宋体"/>
                <w:color w:val="000000"/>
                <w:kern w:val="0"/>
                <w:sz w:val="22"/>
                <w:szCs w:val="22"/>
                <w:lang w:bidi="ar"/>
              </w:rPr>
              <w:t>2次</w:t>
            </w:r>
          </w:p>
        </w:tc>
      </w:tr>
      <w:tr w14:paraId="5B6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6F551BD5">
            <w:pPr>
              <w:jc w:val="center"/>
            </w:pPr>
          </w:p>
        </w:tc>
        <w:tc>
          <w:tcPr>
            <w:tcW w:w="1205" w:type="pct"/>
            <w:vMerge w:val="continue"/>
            <w:noWrap/>
            <w:vAlign w:val="center"/>
          </w:tcPr>
          <w:p w14:paraId="5AF5FC1B">
            <w:pPr>
              <w:widowControl/>
              <w:jc w:val="center"/>
              <w:textAlignment w:val="center"/>
              <w:rPr>
                <w:rFonts w:hint="eastAsia" w:ascii="宋体" w:hAnsi="宋体" w:cs="宋体"/>
                <w:color w:val="000000"/>
                <w:kern w:val="0"/>
                <w:sz w:val="24"/>
                <w:lang w:bidi="ar"/>
              </w:rPr>
            </w:pPr>
          </w:p>
        </w:tc>
        <w:tc>
          <w:tcPr>
            <w:tcW w:w="1743" w:type="pct"/>
            <w:noWrap/>
            <w:vAlign w:val="center"/>
          </w:tcPr>
          <w:p w14:paraId="5B4C0F17">
            <w:pPr>
              <w:widowControl/>
              <w:jc w:val="center"/>
              <w:textAlignment w:val="center"/>
            </w:pPr>
            <w:r>
              <w:rPr>
                <w:rFonts w:hint="eastAsia" w:ascii="宋体" w:hAnsi="宋体" w:cs="宋体"/>
                <w:color w:val="000000"/>
                <w:kern w:val="0"/>
                <w:sz w:val="24"/>
                <w:lang w:bidi="ar"/>
              </w:rPr>
              <w:t>安全服务3：漏洞扫描</w:t>
            </w:r>
          </w:p>
        </w:tc>
        <w:tc>
          <w:tcPr>
            <w:tcW w:w="1350" w:type="pct"/>
            <w:noWrap w:val="0"/>
            <w:vAlign w:val="center"/>
          </w:tcPr>
          <w:p w14:paraId="4C51A55F">
            <w:pPr>
              <w:jc w:val="center"/>
            </w:pPr>
            <w:r>
              <w:rPr>
                <w:rFonts w:hint="eastAsia"/>
                <w:lang w:val="en-US" w:eastAsia="zh-CN"/>
              </w:rPr>
              <w:t>服务</w:t>
            </w:r>
          </w:p>
        </w:tc>
        <w:tc>
          <w:tcPr>
            <w:tcW w:w="361" w:type="pct"/>
            <w:noWrap/>
            <w:vAlign w:val="center"/>
          </w:tcPr>
          <w:p w14:paraId="0DCB95E5">
            <w:pPr>
              <w:widowControl/>
              <w:jc w:val="center"/>
              <w:textAlignment w:val="center"/>
            </w:pPr>
            <w:r>
              <w:rPr>
                <w:rFonts w:hint="eastAsia" w:ascii="宋体" w:hAnsi="宋体" w:cs="宋体"/>
                <w:color w:val="000000"/>
                <w:kern w:val="0"/>
                <w:sz w:val="22"/>
                <w:szCs w:val="22"/>
                <w:lang w:bidi="ar"/>
              </w:rPr>
              <w:t>2次</w:t>
            </w:r>
          </w:p>
        </w:tc>
      </w:tr>
      <w:tr w14:paraId="4605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2A8F786E">
            <w:pPr>
              <w:jc w:val="center"/>
            </w:pPr>
          </w:p>
        </w:tc>
        <w:tc>
          <w:tcPr>
            <w:tcW w:w="1205" w:type="pct"/>
            <w:vMerge w:val="continue"/>
            <w:noWrap/>
            <w:vAlign w:val="center"/>
          </w:tcPr>
          <w:p w14:paraId="71293590">
            <w:pPr>
              <w:widowControl/>
              <w:jc w:val="center"/>
              <w:textAlignment w:val="center"/>
              <w:rPr>
                <w:rFonts w:hint="eastAsia" w:ascii="宋体" w:hAnsi="宋体" w:cs="宋体"/>
                <w:color w:val="000000"/>
                <w:kern w:val="0"/>
                <w:sz w:val="24"/>
                <w:lang w:bidi="ar"/>
              </w:rPr>
            </w:pPr>
          </w:p>
        </w:tc>
        <w:tc>
          <w:tcPr>
            <w:tcW w:w="1743" w:type="pct"/>
            <w:noWrap/>
            <w:vAlign w:val="center"/>
          </w:tcPr>
          <w:p w14:paraId="412EE06E">
            <w:pPr>
              <w:widowControl/>
              <w:jc w:val="center"/>
              <w:textAlignment w:val="center"/>
            </w:pPr>
            <w:r>
              <w:rPr>
                <w:rFonts w:hint="eastAsia" w:ascii="宋体" w:hAnsi="宋体" w:cs="宋体"/>
                <w:color w:val="000000"/>
                <w:kern w:val="0"/>
                <w:sz w:val="24"/>
                <w:lang w:bidi="ar"/>
              </w:rPr>
              <w:t>安全服务4：外部攻击面管理</w:t>
            </w:r>
          </w:p>
        </w:tc>
        <w:tc>
          <w:tcPr>
            <w:tcW w:w="1350" w:type="pct"/>
            <w:noWrap w:val="0"/>
            <w:vAlign w:val="center"/>
          </w:tcPr>
          <w:p w14:paraId="28310A71">
            <w:pPr>
              <w:jc w:val="center"/>
            </w:pPr>
            <w:r>
              <w:rPr>
                <w:rFonts w:hint="eastAsia"/>
                <w:lang w:val="en-US" w:eastAsia="zh-CN"/>
              </w:rPr>
              <w:t>服务</w:t>
            </w:r>
          </w:p>
        </w:tc>
        <w:tc>
          <w:tcPr>
            <w:tcW w:w="361" w:type="pct"/>
            <w:noWrap/>
            <w:vAlign w:val="center"/>
          </w:tcPr>
          <w:p w14:paraId="1D173684">
            <w:pPr>
              <w:widowControl/>
              <w:jc w:val="center"/>
              <w:textAlignment w:val="center"/>
            </w:pPr>
            <w:r>
              <w:rPr>
                <w:rFonts w:hint="eastAsia" w:ascii="宋体" w:hAnsi="宋体" w:cs="宋体"/>
                <w:color w:val="000000"/>
                <w:kern w:val="0"/>
                <w:sz w:val="22"/>
                <w:szCs w:val="22"/>
                <w:lang w:bidi="ar"/>
              </w:rPr>
              <w:t>4次</w:t>
            </w:r>
          </w:p>
        </w:tc>
      </w:tr>
      <w:tr w14:paraId="1DCC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30AC602D">
            <w:pPr>
              <w:jc w:val="center"/>
            </w:pPr>
          </w:p>
        </w:tc>
        <w:tc>
          <w:tcPr>
            <w:tcW w:w="1205" w:type="pct"/>
            <w:vMerge w:val="continue"/>
            <w:noWrap w:val="0"/>
            <w:vAlign w:val="center"/>
          </w:tcPr>
          <w:p w14:paraId="7AE204D0">
            <w:pPr>
              <w:widowControl/>
              <w:jc w:val="center"/>
              <w:textAlignment w:val="center"/>
              <w:rPr>
                <w:rFonts w:hint="eastAsia" w:ascii="宋体" w:hAnsi="宋体" w:cs="宋体"/>
                <w:color w:val="000000"/>
                <w:kern w:val="0"/>
                <w:sz w:val="22"/>
                <w:szCs w:val="22"/>
                <w:lang w:bidi="ar"/>
              </w:rPr>
            </w:pPr>
          </w:p>
        </w:tc>
        <w:tc>
          <w:tcPr>
            <w:tcW w:w="1743" w:type="pct"/>
            <w:noWrap w:val="0"/>
            <w:vAlign w:val="center"/>
          </w:tcPr>
          <w:p w14:paraId="0B3A4F1D">
            <w:pPr>
              <w:widowControl/>
              <w:jc w:val="center"/>
              <w:textAlignment w:val="center"/>
            </w:pPr>
            <w:r>
              <w:rPr>
                <w:rFonts w:hint="eastAsia" w:ascii="宋体" w:hAnsi="宋体" w:cs="宋体"/>
                <w:color w:val="000000"/>
                <w:kern w:val="0"/>
                <w:sz w:val="22"/>
                <w:szCs w:val="22"/>
                <w:lang w:bidi="ar"/>
              </w:rPr>
              <w:t>安全服务5：重保值守服务</w:t>
            </w:r>
          </w:p>
        </w:tc>
        <w:tc>
          <w:tcPr>
            <w:tcW w:w="1350" w:type="pct"/>
            <w:noWrap w:val="0"/>
            <w:vAlign w:val="center"/>
          </w:tcPr>
          <w:p w14:paraId="4743C081">
            <w:pPr>
              <w:jc w:val="center"/>
            </w:pPr>
            <w:r>
              <w:rPr>
                <w:rFonts w:hint="eastAsia"/>
                <w:lang w:val="en-US" w:eastAsia="zh-CN"/>
              </w:rPr>
              <w:t>服务</w:t>
            </w:r>
          </w:p>
        </w:tc>
        <w:tc>
          <w:tcPr>
            <w:tcW w:w="361" w:type="pct"/>
            <w:noWrap/>
            <w:vAlign w:val="center"/>
          </w:tcPr>
          <w:p w14:paraId="4F8C5947">
            <w:pPr>
              <w:widowControl/>
              <w:jc w:val="center"/>
              <w:textAlignment w:val="center"/>
            </w:pPr>
            <w:r>
              <w:rPr>
                <w:rFonts w:hint="eastAsia"/>
              </w:rPr>
              <w:t>1套</w:t>
            </w:r>
          </w:p>
        </w:tc>
      </w:tr>
      <w:tr w14:paraId="6C10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5D779F31">
            <w:pPr>
              <w:jc w:val="center"/>
            </w:pPr>
          </w:p>
        </w:tc>
        <w:tc>
          <w:tcPr>
            <w:tcW w:w="1205" w:type="pct"/>
            <w:vMerge w:val="continue"/>
            <w:noWrap/>
            <w:vAlign w:val="center"/>
          </w:tcPr>
          <w:p w14:paraId="3249407A">
            <w:pPr>
              <w:widowControl/>
              <w:jc w:val="center"/>
              <w:textAlignment w:val="center"/>
              <w:rPr>
                <w:rFonts w:hint="eastAsia" w:ascii="宋体" w:hAnsi="宋体" w:cs="宋体"/>
                <w:color w:val="000000"/>
                <w:kern w:val="0"/>
                <w:sz w:val="24"/>
                <w:lang w:bidi="ar"/>
              </w:rPr>
            </w:pPr>
          </w:p>
        </w:tc>
        <w:tc>
          <w:tcPr>
            <w:tcW w:w="1743" w:type="pct"/>
            <w:noWrap/>
            <w:vAlign w:val="center"/>
          </w:tcPr>
          <w:p w14:paraId="067E6101">
            <w:pPr>
              <w:widowControl/>
              <w:jc w:val="center"/>
              <w:textAlignment w:val="center"/>
            </w:pPr>
            <w:r>
              <w:rPr>
                <w:rFonts w:hint="eastAsia" w:ascii="宋体" w:hAnsi="宋体" w:cs="宋体"/>
                <w:color w:val="000000"/>
                <w:kern w:val="0"/>
                <w:sz w:val="24"/>
                <w:lang w:bidi="ar"/>
              </w:rPr>
              <w:t>零信任系统</w:t>
            </w:r>
          </w:p>
        </w:tc>
        <w:tc>
          <w:tcPr>
            <w:tcW w:w="1350" w:type="pct"/>
            <w:noWrap w:val="0"/>
            <w:vAlign w:val="center"/>
          </w:tcPr>
          <w:p w14:paraId="5D091FC2">
            <w:pPr>
              <w:jc w:val="center"/>
              <w:rPr>
                <w:rFonts w:hint="eastAsia" w:eastAsia="宋体"/>
                <w:lang w:val="en-US" w:eastAsia="zh-CN"/>
              </w:rPr>
            </w:pPr>
            <w:r>
              <w:rPr>
                <w:rFonts w:hint="eastAsia"/>
                <w:lang w:val="en-US" w:eastAsia="zh-CN"/>
              </w:rPr>
              <w:t>软件</w:t>
            </w:r>
          </w:p>
        </w:tc>
        <w:tc>
          <w:tcPr>
            <w:tcW w:w="361" w:type="pct"/>
            <w:noWrap/>
            <w:vAlign w:val="center"/>
          </w:tcPr>
          <w:p w14:paraId="4E9E5255">
            <w:pPr>
              <w:widowControl/>
              <w:jc w:val="center"/>
              <w:textAlignment w:val="center"/>
            </w:pPr>
            <w:r>
              <w:rPr>
                <w:rFonts w:hint="eastAsia" w:ascii="宋体" w:hAnsi="宋体" w:cs="宋体"/>
                <w:color w:val="000000"/>
                <w:kern w:val="0"/>
                <w:sz w:val="22"/>
                <w:szCs w:val="22"/>
                <w:lang w:bidi="ar"/>
              </w:rPr>
              <w:t>1套</w:t>
            </w:r>
          </w:p>
        </w:tc>
      </w:tr>
      <w:tr w14:paraId="483B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39E5F076">
            <w:pPr>
              <w:jc w:val="center"/>
            </w:pPr>
          </w:p>
        </w:tc>
        <w:tc>
          <w:tcPr>
            <w:tcW w:w="1205" w:type="pct"/>
            <w:vMerge w:val="continue"/>
            <w:noWrap/>
            <w:vAlign w:val="center"/>
          </w:tcPr>
          <w:p w14:paraId="018E8A42">
            <w:pPr>
              <w:widowControl/>
              <w:jc w:val="center"/>
              <w:textAlignment w:val="center"/>
              <w:rPr>
                <w:rFonts w:hint="eastAsia" w:ascii="宋体" w:hAnsi="宋体" w:cs="宋体"/>
                <w:color w:val="000000"/>
                <w:kern w:val="0"/>
                <w:sz w:val="24"/>
                <w:lang w:bidi="ar"/>
              </w:rPr>
            </w:pPr>
          </w:p>
        </w:tc>
        <w:tc>
          <w:tcPr>
            <w:tcW w:w="1743" w:type="pct"/>
            <w:noWrap/>
            <w:vAlign w:val="center"/>
          </w:tcPr>
          <w:p w14:paraId="05FA9FE7">
            <w:pPr>
              <w:widowControl/>
              <w:jc w:val="center"/>
              <w:textAlignment w:val="center"/>
            </w:pPr>
            <w:r>
              <w:rPr>
                <w:rFonts w:hint="eastAsia" w:ascii="宋体" w:hAnsi="宋体" w:cs="宋体"/>
                <w:color w:val="000000"/>
                <w:kern w:val="0"/>
                <w:sz w:val="24"/>
                <w:lang w:bidi="ar"/>
              </w:rPr>
              <w:t>内网探针</w:t>
            </w:r>
          </w:p>
        </w:tc>
        <w:tc>
          <w:tcPr>
            <w:tcW w:w="1350" w:type="pct"/>
            <w:noWrap w:val="0"/>
            <w:vAlign w:val="center"/>
          </w:tcPr>
          <w:p w14:paraId="32E25AE1">
            <w:pPr>
              <w:jc w:val="center"/>
              <w:rPr>
                <w:rFonts w:hint="eastAsia" w:eastAsia="宋体"/>
                <w:lang w:val="en-US" w:eastAsia="zh-CN"/>
              </w:rPr>
            </w:pPr>
            <w:r>
              <w:rPr>
                <w:rFonts w:hint="eastAsia"/>
                <w:lang w:val="en-US" w:eastAsia="zh-CN"/>
              </w:rPr>
              <w:t>硬件</w:t>
            </w:r>
          </w:p>
        </w:tc>
        <w:tc>
          <w:tcPr>
            <w:tcW w:w="361" w:type="pct"/>
            <w:noWrap/>
            <w:vAlign w:val="center"/>
          </w:tcPr>
          <w:p w14:paraId="016116F4">
            <w:pPr>
              <w:widowControl/>
              <w:jc w:val="center"/>
              <w:textAlignment w:val="center"/>
            </w:pPr>
            <w:r>
              <w:rPr>
                <w:rFonts w:hint="eastAsia" w:ascii="宋体" w:hAnsi="宋体" w:cs="宋体"/>
                <w:color w:val="000000"/>
                <w:kern w:val="0"/>
                <w:sz w:val="22"/>
                <w:szCs w:val="22"/>
                <w:lang w:bidi="ar"/>
              </w:rPr>
              <w:t>1台</w:t>
            </w:r>
          </w:p>
        </w:tc>
      </w:tr>
      <w:tr w14:paraId="21AE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3A0EB28B">
            <w:pPr>
              <w:jc w:val="center"/>
            </w:pPr>
          </w:p>
        </w:tc>
        <w:tc>
          <w:tcPr>
            <w:tcW w:w="1205" w:type="pct"/>
            <w:vMerge w:val="continue"/>
            <w:noWrap/>
            <w:vAlign w:val="center"/>
          </w:tcPr>
          <w:p w14:paraId="1582EC68">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1E9D7D66">
            <w:pPr>
              <w:widowControl/>
              <w:jc w:val="center"/>
              <w:textAlignment w:val="center"/>
            </w:pPr>
            <w:r>
              <w:rPr>
                <w:rFonts w:hint="eastAsia" w:ascii="宋体" w:hAnsi="宋体" w:cs="宋体"/>
                <w:color w:val="000000"/>
                <w:kern w:val="0"/>
                <w:sz w:val="22"/>
                <w:szCs w:val="22"/>
                <w:lang w:bidi="ar"/>
              </w:rPr>
              <w:t>上网行为管理</w:t>
            </w:r>
          </w:p>
        </w:tc>
        <w:tc>
          <w:tcPr>
            <w:tcW w:w="1350" w:type="pct"/>
            <w:noWrap w:val="0"/>
            <w:vAlign w:val="center"/>
          </w:tcPr>
          <w:p w14:paraId="09CB7AF1">
            <w:pPr>
              <w:jc w:val="center"/>
              <w:rPr>
                <w:rFonts w:hint="eastAsia" w:eastAsia="宋体"/>
                <w:lang w:val="en-US" w:eastAsia="zh-CN"/>
              </w:rPr>
            </w:pPr>
            <w:r>
              <w:rPr>
                <w:rFonts w:hint="eastAsia"/>
                <w:lang w:val="en-US" w:eastAsia="zh-CN"/>
              </w:rPr>
              <w:t>硬件</w:t>
            </w:r>
          </w:p>
        </w:tc>
        <w:tc>
          <w:tcPr>
            <w:tcW w:w="361" w:type="pct"/>
            <w:noWrap/>
            <w:vAlign w:val="center"/>
          </w:tcPr>
          <w:p w14:paraId="799D1F50">
            <w:pPr>
              <w:widowControl/>
              <w:jc w:val="center"/>
              <w:textAlignment w:val="center"/>
            </w:pPr>
            <w:r>
              <w:rPr>
                <w:rFonts w:hint="eastAsia" w:ascii="宋体" w:hAnsi="宋体" w:cs="宋体"/>
                <w:color w:val="000000"/>
                <w:kern w:val="0"/>
                <w:sz w:val="22"/>
                <w:szCs w:val="22"/>
                <w:lang w:bidi="ar"/>
              </w:rPr>
              <w:t>2台</w:t>
            </w:r>
          </w:p>
        </w:tc>
      </w:tr>
      <w:tr w14:paraId="6A0D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1676A18C">
            <w:pPr>
              <w:jc w:val="center"/>
            </w:pPr>
          </w:p>
        </w:tc>
        <w:tc>
          <w:tcPr>
            <w:tcW w:w="1205" w:type="pct"/>
            <w:vMerge w:val="continue"/>
            <w:noWrap w:val="0"/>
            <w:vAlign w:val="center"/>
          </w:tcPr>
          <w:p w14:paraId="4E7244E7">
            <w:pPr>
              <w:widowControl/>
              <w:jc w:val="center"/>
              <w:textAlignment w:val="center"/>
              <w:rPr>
                <w:rFonts w:hint="eastAsia" w:ascii="宋体" w:hAnsi="宋体" w:cs="宋体"/>
                <w:color w:val="000000"/>
                <w:kern w:val="0"/>
                <w:sz w:val="22"/>
                <w:szCs w:val="22"/>
                <w:lang w:bidi="ar"/>
              </w:rPr>
            </w:pPr>
          </w:p>
        </w:tc>
        <w:tc>
          <w:tcPr>
            <w:tcW w:w="1743" w:type="pct"/>
            <w:noWrap w:val="0"/>
            <w:vAlign w:val="center"/>
          </w:tcPr>
          <w:p w14:paraId="091E128E">
            <w:pPr>
              <w:widowControl/>
              <w:jc w:val="center"/>
              <w:textAlignment w:val="center"/>
            </w:pPr>
            <w:r>
              <w:rPr>
                <w:rFonts w:hint="eastAsia" w:ascii="宋体" w:hAnsi="宋体" w:cs="宋体"/>
                <w:color w:val="000000"/>
                <w:kern w:val="0"/>
                <w:sz w:val="22"/>
                <w:szCs w:val="22"/>
                <w:lang w:bidi="ar"/>
              </w:rPr>
              <w:t>出口边界防火墙</w:t>
            </w:r>
          </w:p>
        </w:tc>
        <w:tc>
          <w:tcPr>
            <w:tcW w:w="1350" w:type="pct"/>
            <w:noWrap w:val="0"/>
            <w:vAlign w:val="center"/>
          </w:tcPr>
          <w:p w14:paraId="5B4EC1B2">
            <w:pPr>
              <w:jc w:val="center"/>
              <w:rPr>
                <w:rFonts w:hint="eastAsia" w:eastAsia="宋体"/>
                <w:lang w:val="en-US" w:eastAsia="zh-CN"/>
              </w:rPr>
            </w:pPr>
            <w:r>
              <w:rPr>
                <w:rFonts w:hint="eastAsia"/>
                <w:lang w:val="en-US" w:eastAsia="zh-CN"/>
              </w:rPr>
              <w:t>硬件</w:t>
            </w:r>
          </w:p>
        </w:tc>
        <w:tc>
          <w:tcPr>
            <w:tcW w:w="361" w:type="pct"/>
            <w:noWrap/>
            <w:vAlign w:val="center"/>
          </w:tcPr>
          <w:p w14:paraId="57BFF371">
            <w:pPr>
              <w:widowControl/>
              <w:jc w:val="center"/>
              <w:textAlignment w:val="center"/>
            </w:pPr>
            <w:r>
              <w:rPr>
                <w:rFonts w:hint="eastAsia" w:ascii="宋体" w:hAnsi="宋体" w:cs="宋体"/>
                <w:color w:val="000000"/>
                <w:kern w:val="0"/>
                <w:sz w:val="22"/>
                <w:szCs w:val="22"/>
                <w:lang w:bidi="ar"/>
              </w:rPr>
              <w:t>2台</w:t>
            </w:r>
          </w:p>
        </w:tc>
      </w:tr>
      <w:tr w14:paraId="0B00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0EADB7A4">
            <w:pPr>
              <w:jc w:val="center"/>
            </w:pPr>
          </w:p>
        </w:tc>
        <w:tc>
          <w:tcPr>
            <w:tcW w:w="1205" w:type="pct"/>
            <w:vMerge w:val="continue"/>
            <w:noWrap/>
            <w:vAlign w:val="center"/>
          </w:tcPr>
          <w:p w14:paraId="722FCB3A">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568280BB">
            <w:pPr>
              <w:widowControl/>
              <w:jc w:val="center"/>
              <w:textAlignment w:val="center"/>
              <w:rPr>
                <w:rFonts w:hint="eastAsia"/>
              </w:rPr>
            </w:pPr>
            <w:r>
              <w:rPr>
                <w:rFonts w:hint="eastAsia" w:ascii="宋体" w:hAnsi="宋体" w:cs="宋体"/>
                <w:color w:val="000000"/>
                <w:kern w:val="0"/>
                <w:sz w:val="22"/>
                <w:szCs w:val="22"/>
                <w:lang w:bidi="ar"/>
              </w:rPr>
              <w:t>Api网关平台</w:t>
            </w:r>
          </w:p>
        </w:tc>
        <w:tc>
          <w:tcPr>
            <w:tcW w:w="1350" w:type="pct"/>
            <w:noWrap w:val="0"/>
            <w:vAlign w:val="center"/>
          </w:tcPr>
          <w:p w14:paraId="381CA6EE">
            <w:pPr>
              <w:jc w:val="center"/>
              <w:rPr>
                <w:rFonts w:hint="eastAsia" w:eastAsia="宋体"/>
                <w:lang w:val="en-US" w:eastAsia="zh-CN"/>
              </w:rPr>
            </w:pPr>
            <w:r>
              <w:rPr>
                <w:rFonts w:hint="eastAsia"/>
                <w:lang w:val="en-US" w:eastAsia="zh-CN"/>
              </w:rPr>
              <w:t>软件</w:t>
            </w:r>
          </w:p>
        </w:tc>
        <w:tc>
          <w:tcPr>
            <w:tcW w:w="361" w:type="pct"/>
            <w:noWrap/>
            <w:vAlign w:val="center"/>
          </w:tcPr>
          <w:p w14:paraId="6F470D8D">
            <w:pPr>
              <w:widowControl/>
              <w:jc w:val="center"/>
              <w:textAlignment w:val="center"/>
            </w:pPr>
            <w:r>
              <w:rPr>
                <w:rFonts w:hint="eastAsia" w:ascii="宋体" w:hAnsi="宋体" w:cs="宋体"/>
                <w:color w:val="000000"/>
                <w:kern w:val="0"/>
                <w:sz w:val="22"/>
                <w:szCs w:val="22"/>
                <w:lang w:bidi="ar"/>
              </w:rPr>
              <w:t>1套</w:t>
            </w:r>
          </w:p>
        </w:tc>
      </w:tr>
      <w:tr w14:paraId="1710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07521FE4">
            <w:pPr>
              <w:jc w:val="center"/>
            </w:pPr>
          </w:p>
        </w:tc>
        <w:tc>
          <w:tcPr>
            <w:tcW w:w="1205" w:type="pct"/>
            <w:vMerge w:val="continue"/>
            <w:noWrap/>
            <w:vAlign w:val="center"/>
          </w:tcPr>
          <w:p w14:paraId="23E4C0C1">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5FAFA975">
            <w:pPr>
              <w:widowControl/>
              <w:jc w:val="center"/>
              <w:textAlignment w:val="center"/>
            </w:pPr>
            <w:r>
              <w:rPr>
                <w:rFonts w:hint="eastAsia" w:ascii="宋体" w:hAnsi="宋体" w:cs="宋体"/>
                <w:color w:val="000000"/>
                <w:kern w:val="0"/>
                <w:sz w:val="22"/>
                <w:szCs w:val="22"/>
                <w:lang w:bidi="ar"/>
              </w:rPr>
              <w:t>堡垒机授权扩容</w:t>
            </w:r>
          </w:p>
        </w:tc>
        <w:tc>
          <w:tcPr>
            <w:tcW w:w="1350" w:type="pct"/>
            <w:noWrap w:val="0"/>
            <w:vAlign w:val="center"/>
          </w:tcPr>
          <w:p w14:paraId="26E5424F">
            <w:pPr>
              <w:jc w:val="center"/>
              <w:rPr>
                <w:rFonts w:hint="eastAsia" w:eastAsia="宋体"/>
                <w:lang w:val="en-US" w:eastAsia="zh-CN"/>
              </w:rPr>
            </w:pPr>
            <w:r>
              <w:rPr>
                <w:rFonts w:hint="eastAsia"/>
                <w:lang w:val="en-US" w:eastAsia="zh-CN"/>
              </w:rPr>
              <w:t>服务</w:t>
            </w:r>
          </w:p>
        </w:tc>
        <w:tc>
          <w:tcPr>
            <w:tcW w:w="361" w:type="pct"/>
            <w:noWrap/>
            <w:vAlign w:val="center"/>
          </w:tcPr>
          <w:p w14:paraId="257B2AF4">
            <w:pPr>
              <w:widowControl/>
              <w:jc w:val="center"/>
              <w:textAlignment w:val="center"/>
            </w:pPr>
            <w:r>
              <w:rPr>
                <w:rFonts w:hint="eastAsia" w:ascii="宋体" w:hAnsi="宋体" w:cs="宋体"/>
                <w:color w:val="000000"/>
                <w:kern w:val="0"/>
                <w:sz w:val="22"/>
                <w:szCs w:val="22"/>
                <w:lang w:bidi="ar"/>
              </w:rPr>
              <w:t>1套</w:t>
            </w:r>
          </w:p>
        </w:tc>
      </w:tr>
      <w:tr w14:paraId="51A5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09F84406">
            <w:pPr>
              <w:jc w:val="center"/>
            </w:pPr>
          </w:p>
        </w:tc>
        <w:tc>
          <w:tcPr>
            <w:tcW w:w="1205" w:type="pct"/>
            <w:vMerge w:val="continue"/>
            <w:noWrap/>
            <w:vAlign w:val="center"/>
          </w:tcPr>
          <w:p w14:paraId="27CA7143">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7FDA9589">
            <w:pPr>
              <w:widowControl/>
              <w:jc w:val="center"/>
              <w:textAlignment w:val="center"/>
            </w:pPr>
            <w:r>
              <w:rPr>
                <w:rFonts w:hint="eastAsia" w:ascii="宋体" w:hAnsi="宋体" w:cs="宋体"/>
                <w:color w:val="000000"/>
                <w:kern w:val="0"/>
                <w:sz w:val="22"/>
                <w:szCs w:val="22"/>
                <w:lang w:bidi="ar"/>
              </w:rPr>
              <w:t>零信任沙箱</w:t>
            </w:r>
          </w:p>
        </w:tc>
        <w:tc>
          <w:tcPr>
            <w:tcW w:w="1350" w:type="pct"/>
            <w:noWrap w:val="0"/>
            <w:vAlign w:val="center"/>
          </w:tcPr>
          <w:p w14:paraId="71FF42EB">
            <w:pPr>
              <w:jc w:val="center"/>
              <w:rPr>
                <w:rFonts w:hint="eastAsia" w:eastAsia="宋体"/>
                <w:lang w:val="en-US" w:eastAsia="zh-CN"/>
              </w:rPr>
            </w:pPr>
            <w:r>
              <w:rPr>
                <w:rFonts w:hint="eastAsia"/>
                <w:lang w:val="en-US" w:eastAsia="zh-CN"/>
              </w:rPr>
              <w:t>服务</w:t>
            </w:r>
          </w:p>
        </w:tc>
        <w:tc>
          <w:tcPr>
            <w:tcW w:w="361" w:type="pct"/>
            <w:noWrap/>
            <w:vAlign w:val="center"/>
          </w:tcPr>
          <w:p w14:paraId="075CAD31">
            <w:pPr>
              <w:widowControl/>
              <w:jc w:val="center"/>
              <w:textAlignment w:val="center"/>
            </w:pPr>
            <w:r>
              <w:rPr>
                <w:rFonts w:hint="eastAsia" w:ascii="宋体" w:hAnsi="宋体" w:cs="宋体"/>
                <w:color w:val="000000"/>
                <w:kern w:val="0"/>
                <w:sz w:val="22"/>
                <w:szCs w:val="22"/>
                <w:lang w:bidi="ar"/>
              </w:rPr>
              <w:t>1套</w:t>
            </w:r>
          </w:p>
        </w:tc>
      </w:tr>
      <w:tr w14:paraId="17FB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076ECB2B">
            <w:pPr>
              <w:jc w:val="center"/>
            </w:pPr>
          </w:p>
        </w:tc>
        <w:tc>
          <w:tcPr>
            <w:tcW w:w="1205" w:type="pct"/>
            <w:vMerge w:val="continue"/>
            <w:noWrap/>
            <w:vAlign w:val="center"/>
          </w:tcPr>
          <w:p w14:paraId="4F402F14">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1955547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云资源服务支撑</w:t>
            </w:r>
          </w:p>
        </w:tc>
        <w:tc>
          <w:tcPr>
            <w:tcW w:w="1350" w:type="pct"/>
            <w:noWrap w:val="0"/>
            <w:vAlign w:val="center"/>
          </w:tcPr>
          <w:p w14:paraId="3CC29419">
            <w:pPr>
              <w:jc w:val="center"/>
              <w:rPr>
                <w:rFonts w:hint="eastAsia" w:eastAsia="宋体"/>
                <w:lang w:val="en-US" w:eastAsia="zh-CN"/>
              </w:rPr>
            </w:pPr>
            <w:r>
              <w:rPr>
                <w:rFonts w:hint="eastAsia"/>
                <w:lang w:val="en-US" w:eastAsia="zh-CN"/>
              </w:rPr>
              <w:t>服务</w:t>
            </w:r>
          </w:p>
        </w:tc>
        <w:tc>
          <w:tcPr>
            <w:tcW w:w="361" w:type="pct"/>
            <w:noWrap/>
            <w:vAlign w:val="center"/>
          </w:tcPr>
          <w:p w14:paraId="311CA523">
            <w:pPr>
              <w:widowControl/>
              <w:jc w:val="center"/>
              <w:textAlignment w:val="center"/>
              <w:rPr>
                <w:rFonts w:hint="eastAsia"/>
              </w:rPr>
            </w:pPr>
            <w:r>
              <w:rPr>
                <w:rFonts w:hint="eastAsia" w:ascii="宋体" w:hAnsi="宋体" w:cs="宋体"/>
                <w:color w:val="000000"/>
                <w:kern w:val="0"/>
                <w:sz w:val="22"/>
                <w:szCs w:val="22"/>
                <w:lang w:bidi="ar"/>
              </w:rPr>
              <w:t>1套</w:t>
            </w:r>
          </w:p>
        </w:tc>
      </w:tr>
      <w:tr w14:paraId="644E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245E3F33">
            <w:pPr>
              <w:jc w:val="center"/>
              <w:rPr>
                <w:color w:val="000000"/>
              </w:rPr>
            </w:pPr>
          </w:p>
        </w:tc>
        <w:tc>
          <w:tcPr>
            <w:tcW w:w="1205" w:type="pct"/>
            <w:vMerge w:val="continue"/>
            <w:noWrap/>
            <w:vAlign w:val="center"/>
          </w:tcPr>
          <w:p w14:paraId="130B2BBD">
            <w:pPr>
              <w:widowControl/>
              <w:jc w:val="center"/>
              <w:textAlignment w:val="center"/>
              <w:rPr>
                <w:rFonts w:hint="eastAsia"/>
                <w:color w:val="000000"/>
              </w:rPr>
            </w:pPr>
          </w:p>
        </w:tc>
        <w:tc>
          <w:tcPr>
            <w:tcW w:w="1743" w:type="pct"/>
            <w:noWrap/>
            <w:vAlign w:val="center"/>
          </w:tcPr>
          <w:p w14:paraId="3664C096">
            <w:pPr>
              <w:widowControl/>
              <w:jc w:val="center"/>
              <w:textAlignment w:val="center"/>
              <w:rPr>
                <w:rFonts w:ascii="宋体" w:hAnsi="宋体" w:cs="宋体"/>
                <w:color w:val="000000"/>
                <w:kern w:val="0"/>
                <w:sz w:val="22"/>
                <w:szCs w:val="22"/>
                <w:lang w:bidi="ar"/>
              </w:rPr>
            </w:pPr>
            <w:r>
              <w:rPr>
                <w:rFonts w:hint="eastAsia"/>
                <w:color w:val="000000"/>
              </w:rPr>
              <w:t>防火墙授权续期</w:t>
            </w:r>
          </w:p>
        </w:tc>
        <w:tc>
          <w:tcPr>
            <w:tcW w:w="1350" w:type="pct"/>
            <w:noWrap w:val="0"/>
            <w:vAlign w:val="center"/>
          </w:tcPr>
          <w:p w14:paraId="642C4216">
            <w:pPr>
              <w:jc w:val="center"/>
              <w:rPr>
                <w:rFonts w:hint="eastAsia" w:eastAsia="宋体"/>
                <w:color w:val="000000"/>
                <w:lang w:val="en-US" w:eastAsia="zh-CN"/>
              </w:rPr>
            </w:pPr>
            <w:r>
              <w:rPr>
                <w:rFonts w:hint="eastAsia"/>
                <w:color w:val="000000"/>
                <w:lang w:val="en-US" w:eastAsia="zh-CN"/>
              </w:rPr>
              <w:t>服务</w:t>
            </w:r>
          </w:p>
        </w:tc>
        <w:tc>
          <w:tcPr>
            <w:tcW w:w="361" w:type="pct"/>
            <w:noWrap/>
            <w:vAlign w:val="center"/>
          </w:tcPr>
          <w:p w14:paraId="61D89627">
            <w:pPr>
              <w:widowControl/>
              <w:jc w:val="center"/>
              <w:textAlignment w:val="center"/>
              <w:rPr>
                <w:rFonts w:hint="eastAsia"/>
                <w:color w:val="000000"/>
              </w:rPr>
            </w:pPr>
            <w:r>
              <w:rPr>
                <w:rFonts w:hint="eastAsia" w:ascii="宋体" w:hAnsi="宋体" w:cs="宋体"/>
                <w:color w:val="000000"/>
                <w:kern w:val="0"/>
                <w:sz w:val="22"/>
                <w:szCs w:val="22"/>
                <w:lang w:bidi="ar"/>
              </w:rPr>
              <w:t>2套</w:t>
            </w:r>
          </w:p>
        </w:tc>
      </w:tr>
      <w:tr w14:paraId="665F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restart"/>
            <w:noWrap/>
            <w:vAlign w:val="center"/>
          </w:tcPr>
          <w:p w14:paraId="311D1EDF">
            <w:pPr>
              <w:jc w:val="center"/>
              <w:rPr>
                <w:rFonts w:hint="eastAsia" w:eastAsia="宋体"/>
                <w:color w:val="000000"/>
                <w:lang w:val="en-US" w:eastAsia="zh-CN"/>
              </w:rPr>
            </w:pPr>
            <w:r>
              <w:rPr>
                <w:rFonts w:hint="eastAsia"/>
                <w:color w:val="000000"/>
                <w:lang w:val="en-US" w:eastAsia="zh-CN"/>
              </w:rPr>
              <w:t>2</w:t>
            </w:r>
          </w:p>
        </w:tc>
        <w:tc>
          <w:tcPr>
            <w:tcW w:w="1205" w:type="pct"/>
            <w:vMerge w:val="restart"/>
            <w:noWrap/>
            <w:vAlign w:val="center"/>
          </w:tcPr>
          <w:p w14:paraId="54239467">
            <w:pPr>
              <w:widowControl/>
              <w:jc w:val="center"/>
              <w:textAlignment w:val="center"/>
              <w:rPr>
                <w:rFonts w:hint="eastAsia"/>
                <w:color w:val="000000"/>
                <w:lang w:val="en-US" w:eastAsia="zh-CN"/>
              </w:rPr>
            </w:pPr>
            <w:r>
              <w:rPr>
                <w:rFonts w:hint="eastAsia"/>
                <w:color w:val="000000"/>
                <w:lang w:val="en-US" w:eastAsia="zh-CN"/>
              </w:rPr>
              <w:t>网络安全驻场集成服务</w:t>
            </w:r>
          </w:p>
          <w:p w14:paraId="374B6DE1">
            <w:pPr>
              <w:widowControl/>
              <w:jc w:val="center"/>
              <w:textAlignment w:val="center"/>
              <w:rPr>
                <w:rFonts w:hint="default"/>
                <w:color w:val="000000"/>
                <w:lang w:val="en-US" w:eastAsia="zh-CN"/>
              </w:rPr>
            </w:pPr>
            <w:r>
              <w:rPr>
                <w:rFonts w:hint="eastAsia"/>
                <w:color w:val="000000"/>
                <w:lang w:val="en-US" w:eastAsia="zh-CN"/>
              </w:rPr>
              <w:t>（面向集成商）</w:t>
            </w:r>
          </w:p>
        </w:tc>
        <w:tc>
          <w:tcPr>
            <w:tcW w:w="1743" w:type="pct"/>
            <w:noWrap/>
            <w:vAlign w:val="center"/>
          </w:tcPr>
          <w:p w14:paraId="3F51A3A3">
            <w:pPr>
              <w:widowControl/>
              <w:jc w:val="center"/>
              <w:textAlignment w:val="center"/>
              <w:rPr>
                <w:rFonts w:hint="eastAsia"/>
                <w:color w:val="000000"/>
              </w:rPr>
            </w:pPr>
            <w:r>
              <w:rPr>
                <w:rFonts w:hint="eastAsia"/>
                <w:color w:val="000000"/>
              </w:rPr>
              <w:t>人员驻场服务</w:t>
            </w:r>
          </w:p>
        </w:tc>
        <w:tc>
          <w:tcPr>
            <w:tcW w:w="1350" w:type="pct"/>
            <w:noWrap w:val="0"/>
            <w:vAlign w:val="center"/>
          </w:tcPr>
          <w:p w14:paraId="6E680CC5">
            <w:pPr>
              <w:jc w:val="center"/>
              <w:rPr>
                <w:rFonts w:hint="eastAsia"/>
                <w:color w:val="000000"/>
              </w:rPr>
            </w:pPr>
            <w:r>
              <w:rPr>
                <w:rFonts w:hint="eastAsia"/>
                <w:color w:val="000000"/>
                <w:lang w:val="en-US" w:eastAsia="zh-CN"/>
              </w:rPr>
              <w:t>服务</w:t>
            </w:r>
          </w:p>
        </w:tc>
        <w:tc>
          <w:tcPr>
            <w:tcW w:w="361" w:type="pct"/>
            <w:noWrap/>
            <w:vAlign w:val="center"/>
          </w:tcPr>
          <w:p w14:paraId="0D208C2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1年</w:t>
            </w:r>
          </w:p>
        </w:tc>
      </w:tr>
      <w:tr w14:paraId="60A0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Merge w:val="continue"/>
            <w:noWrap/>
            <w:vAlign w:val="center"/>
          </w:tcPr>
          <w:p w14:paraId="29803DB2">
            <w:pPr>
              <w:jc w:val="center"/>
              <w:rPr>
                <w:rFonts w:hint="eastAsia"/>
                <w:color w:val="000000"/>
              </w:rPr>
            </w:pPr>
          </w:p>
        </w:tc>
        <w:tc>
          <w:tcPr>
            <w:tcW w:w="1205" w:type="pct"/>
            <w:vMerge w:val="continue"/>
            <w:noWrap/>
            <w:vAlign w:val="center"/>
          </w:tcPr>
          <w:p w14:paraId="5082DC5E">
            <w:pPr>
              <w:widowControl/>
              <w:jc w:val="center"/>
              <w:textAlignment w:val="center"/>
              <w:rPr>
                <w:rFonts w:hint="eastAsia" w:ascii="宋体" w:hAnsi="宋体" w:cs="宋体"/>
                <w:color w:val="000000"/>
                <w:kern w:val="0"/>
                <w:sz w:val="22"/>
                <w:szCs w:val="22"/>
                <w:lang w:bidi="ar"/>
              </w:rPr>
            </w:pPr>
          </w:p>
        </w:tc>
        <w:tc>
          <w:tcPr>
            <w:tcW w:w="1743" w:type="pct"/>
            <w:noWrap/>
            <w:vAlign w:val="center"/>
          </w:tcPr>
          <w:p w14:paraId="1107676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集成服务</w:t>
            </w:r>
          </w:p>
        </w:tc>
        <w:tc>
          <w:tcPr>
            <w:tcW w:w="1350" w:type="pct"/>
            <w:noWrap w:val="0"/>
            <w:vAlign w:val="center"/>
          </w:tcPr>
          <w:p w14:paraId="4D79D5B9">
            <w:pPr>
              <w:jc w:val="center"/>
              <w:rPr>
                <w:rFonts w:hint="eastAsia"/>
                <w:color w:val="000000"/>
              </w:rPr>
            </w:pPr>
            <w:r>
              <w:rPr>
                <w:rFonts w:hint="eastAsia"/>
                <w:color w:val="000000"/>
                <w:lang w:val="en-US" w:eastAsia="zh-CN"/>
              </w:rPr>
              <w:t>服务</w:t>
            </w:r>
          </w:p>
        </w:tc>
        <w:tc>
          <w:tcPr>
            <w:tcW w:w="361" w:type="pct"/>
            <w:noWrap/>
            <w:vAlign w:val="center"/>
          </w:tcPr>
          <w:p w14:paraId="4F4CDD2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1套</w:t>
            </w:r>
          </w:p>
        </w:tc>
      </w:tr>
    </w:tbl>
    <w:p w14:paraId="0F68C985">
      <w:pPr>
        <w:rPr>
          <w:color w:val="000000"/>
        </w:rPr>
      </w:pPr>
    </w:p>
    <w:p w14:paraId="1BBFDDD7">
      <w:pPr>
        <w:pStyle w:val="2"/>
        <w:numPr>
          <w:ilvl w:val="0"/>
          <w:numId w:val="2"/>
        </w:numPr>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技术要求</w:t>
      </w:r>
    </w:p>
    <w:p w14:paraId="424042F4">
      <w:pPr>
        <w:pStyle w:val="3"/>
        <w:ind w:firstLine="0" w:firstLineChars="0"/>
        <w:rPr>
          <w:rFonts w:hint="eastAsia" w:ascii="宋体" w:hAnsi="宋体" w:cs="宋体"/>
          <w:bCs w:val="0"/>
          <w:szCs w:val="21"/>
        </w:rPr>
      </w:pPr>
      <w:r>
        <w:rPr>
          <w:rFonts w:hint="eastAsia" w:ascii="宋体" w:hAnsi="宋体" w:cs="宋体"/>
          <w:bCs w:val="0"/>
          <w:szCs w:val="21"/>
        </w:rPr>
        <w:t>1、安全服务1渗透测试</w:t>
      </w:r>
    </w:p>
    <w:tbl>
      <w:tblPr>
        <w:tblStyle w:val="9"/>
        <w:tblW w:w="4915" w:type="pct"/>
        <w:tblInd w:w="0" w:type="dxa"/>
        <w:tblLayout w:type="autofit"/>
        <w:tblCellMar>
          <w:top w:w="0" w:type="dxa"/>
          <w:left w:w="108" w:type="dxa"/>
          <w:bottom w:w="0" w:type="dxa"/>
          <w:right w:w="108" w:type="dxa"/>
        </w:tblCellMar>
      </w:tblPr>
      <w:tblGrid>
        <w:gridCol w:w="1967"/>
        <w:gridCol w:w="7274"/>
      </w:tblGrid>
      <w:tr w14:paraId="261B1159">
        <w:tblPrEx>
          <w:tblCellMar>
            <w:top w:w="0" w:type="dxa"/>
            <w:left w:w="108" w:type="dxa"/>
            <w:bottom w:w="0" w:type="dxa"/>
            <w:right w:w="108" w:type="dxa"/>
          </w:tblCellMar>
        </w:tblPrEx>
        <w:trPr>
          <w:trHeight w:val="454" w:hRule="atLeast"/>
        </w:trPr>
        <w:tc>
          <w:tcPr>
            <w:tcW w:w="1064" w:type="pct"/>
            <w:tcBorders>
              <w:top w:val="single" w:color="auto" w:sz="4" w:space="0"/>
              <w:left w:val="single" w:color="auto" w:sz="4" w:space="0"/>
              <w:bottom w:val="single" w:color="auto" w:sz="4" w:space="0"/>
              <w:right w:val="single" w:color="auto" w:sz="4" w:space="0"/>
            </w:tcBorders>
            <w:noWrap w:val="0"/>
            <w:vAlign w:val="center"/>
          </w:tcPr>
          <w:p w14:paraId="1B14A9D1">
            <w:pPr>
              <w:jc w:val="center"/>
              <w:rPr>
                <w:b/>
                <w:bCs/>
              </w:rPr>
            </w:pPr>
            <w:r>
              <w:rPr>
                <w:rFonts w:hint="eastAsia"/>
                <w:b/>
                <w:bCs/>
              </w:rPr>
              <w:t>技术指标</w:t>
            </w:r>
          </w:p>
        </w:tc>
        <w:tc>
          <w:tcPr>
            <w:tcW w:w="3935" w:type="pct"/>
            <w:tcBorders>
              <w:top w:val="single" w:color="auto" w:sz="4" w:space="0"/>
              <w:left w:val="single" w:color="auto" w:sz="4" w:space="0"/>
              <w:bottom w:val="single" w:color="auto" w:sz="4" w:space="0"/>
              <w:right w:val="single" w:color="auto" w:sz="4" w:space="0"/>
            </w:tcBorders>
            <w:noWrap w:val="0"/>
            <w:vAlign w:val="center"/>
          </w:tcPr>
          <w:p w14:paraId="03EB3BC1">
            <w:pPr>
              <w:rPr>
                <w:b/>
                <w:bCs/>
              </w:rPr>
            </w:pPr>
            <w:r>
              <w:rPr>
                <w:rFonts w:hint="eastAsia"/>
                <w:b/>
                <w:bCs/>
              </w:rPr>
              <w:t>指标要求</w:t>
            </w:r>
          </w:p>
        </w:tc>
      </w:tr>
      <w:tr w14:paraId="4F457AAB">
        <w:tblPrEx>
          <w:tblCellMar>
            <w:top w:w="0" w:type="dxa"/>
            <w:left w:w="108" w:type="dxa"/>
            <w:bottom w:w="0" w:type="dxa"/>
            <w:right w:w="108" w:type="dxa"/>
          </w:tblCellMar>
        </w:tblPrEx>
        <w:trPr>
          <w:trHeight w:val="132" w:hRule="atLeast"/>
        </w:trPr>
        <w:tc>
          <w:tcPr>
            <w:tcW w:w="1064" w:type="pct"/>
            <w:tcBorders>
              <w:top w:val="single" w:color="auto" w:sz="4" w:space="0"/>
              <w:left w:val="single" w:color="auto" w:sz="4" w:space="0"/>
              <w:bottom w:val="single" w:color="auto" w:sz="4" w:space="0"/>
              <w:right w:val="single" w:color="auto" w:sz="4" w:space="0"/>
            </w:tcBorders>
            <w:noWrap w:val="0"/>
            <w:vAlign w:val="center"/>
          </w:tcPr>
          <w:p w14:paraId="5ACE5BEF">
            <w:pPr>
              <w:jc w:val="center"/>
            </w:pPr>
            <w:r>
              <w:rPr>
                <w:rFonts w:hint="eastAsia"/>
              </w:rPr>
              <w:t>基本要求</w:t>
            </w:r>
          </w:p>
        </w:tc>
        <w:tc>
          <w:tcPr>
            <w:tcW w:w="3935" w:type="pct"/>
            <w:tcBorders>
              <w:top w:val="single" w:color="auto" w:sz="4" w:space="0"/>
              <w:left w:val="single" w:color="auto" w:sz="4" w:space="0"/>
              <w:bottom w:val="single" w:color="auto" w:sz="4" w:space="0"/>
              <w:right w:val="single" w:color="auto" w:sz="4" w:space="0"/>
            </w:tcBorders>
            <w:noWrap w:val="0"/>
            <w:vAlign w:val="center"/>
          </w:tcPr>
          <w:p w14:paraId="0C984CE0">
            <w:pPr>
              <w:rPr>
                <w:rFonts w:hint="eastAsia"/>
              </w:rPr>
            </w:pPr>
            <w:r>
              <w:rPr>
                <w:rFonts w:hint="eastAsia"/>
              </w:rPr>
              <w:t>通过渗透工具模拟黑客攻击手段，以常见的高中危漏洞、安全设备策略防护有效性为主要目标，针对性进行模拟入侵，并对安全风险进行整理，给出详细说明，并针对每一安全漏洞提供相应的解决方法。并结合医院修复情况，协助医院针对修复后的漏洞进行复测验证</w:t>
            </w:r>
          </w:p>
          <w:p w14:paraId="0334C753">
            <w:pPr>
              <w:rPr>
                <w:rFonts w:hint="eastAsia"/>
              </w:rPr>
            </w:pPr>
            <w:r>
              <w:rPr>
                <w:rFonts w:hint="eastAsia"/>
              </w:rPr>
              <w:t>在合同周期内，根据用户时间要求安排2轮次的渗透测试，覆盖用户所有映射公网的业务系统，约115项，每轮次渗透测试均需包含首测和复测，并出具相应的整改报告。</w:t>
            </w:r>
          </w:p>
          <w:p w14:paraId="7980D5E3">
            <w:r>
              <w:rPr>
                <w:rFonts w:hint="eastAsia"/>
              </w:rPr>
              <w:t>在合同周期内，甲方零星系统的加测不额外收费。</w:t>
            </w:r>
          </w:p>
        </w:tc>
      </w:tr>
      <w:tr w14:paraId="0299328D">
        <w:tblPrEx>
          <w:tblCellMar>
            <w:top w:w="0" w:type="dxa"/>
            <w:left w:w="108" w:type="dxa"/>
            <w:bottom w:w="0" w:type="dxa"/>
            <w:right w:w="108" w:type="dxa"/>
          </w:tblCellMar>
        </w:tblPrEx>
        <w:trPr>
          <w:trHeight w:val="454" w:hRule="atLeast"/>
        </w:trPr>
        <w:tc>
          <w:tcPr>
            <w:tcW w:w="1064" w:type="pct"/>
            <w:vMerge w:val="restart"/>
            <w:tcBorders>
              <w:top w:val="single" w:color="auto" w:sz="4" w:space="0"/>
              <w:left w:val="single" w:color="auto" w:sz="4" w:space="0"/>
              <w:bottom w:val="single" w:color="auto" w:sz="4" w:space="0"/>
              <w:right w:val="single" w:color="auto" w:sz="4" w:space="0"/>
            </w:tcBorders>
            <w:noWrap w:val="0"/>
            <w:vAlign w:val="center"/>
          </w:tcPr>
          <w:p w14:paraId="21FD56DD">
            <w:pPr>
              <w:jc w:val="center"/>
            </w:pPr>
            <w:r>
              <w:rPr>
                <w:rFonts w:hint="eastAsia"/>
              </w:rPr>
              <w:t>工具要求</w:t>
            </w:r>
          </w:p>
        </w:tc>
        <w:tc>
          <w:tcPr>
            <w:tcW w:w="3935" w:type="pct"/>
            <w:tcBorders>
              <w:top w:val="single" w:color="auto" w:sz="4" w:space="0"/>
              <w:left w:val="single" w:color="auto" w:sz="4" w:space="0"/>
              <w:bottom w:val="single" w:color="auto" w:sz="4" w:space="0"/>
              <w:right w:val="single" w:color="auto" w:sz="4" w:space="0"/>
            </w:tcBorders>
            <w:noWrap w:val="0"/>
            <w:vAlign w:val="center"/>
          </w:tcPr>
          <w:p w14:paraId="5D24A73B">
            <w:r>
              <w:rPr>
                <w:rFonts w:hint="eastAsia"/>
              </w:rPr>
              <w:t>内置不低于750条安全评估场景，至少盖满足9项评估类型，包括不限于边界安全、流量安全、终端安全、主机安全、容器安全、数据安全、邮件安全、威胁情报、综合场景等。支持不少于 50条编排场景，不少于80条综合场景，不少于140条APT场景、不少于40条勒索攻击场景。（提供截图）</w:t>
            </w:r>
          </w:p>
        </w:tc>
      </w:tr>
      <w:tr w14:paraId="0D1EE0DC">
        <w:tblPrEx>
          <w:tblCellMar>
            <w:top w:w="0" w:type="dxa"/>
            <w:left w:w="108" w:type="dxa"/>
            <w:bottom w:w="0" w:type="dxa"/>
            <w:right w:w="108" w:type="dxa"/>
          </w:tblCellMar>
        </w:tblPrEx>
        <w:trPr>
          <w:trHeight w:val="454" w:hRule="atLeast"/>
        </w:trPr>
        <w:tc>
          <w:tcPr>
            <w:tcW w:w="1064" w:type="pct"/>
            <w:vMerge w:val="continue"/>
            <w:tcBorders>
              <w:top w:val="single" w:color="auto" w:sz="4" w:space="0"/>
              <w:left w:val="single" w:color="auto" w:sz="4" w:space="0"/>
              <w:bottom w:val="single" w:color="auto" w:sz="4" w:space="0"/>
              <w:right w:val="single" w:color="auto" w:sz="4" w:space="0"/>
            </w:tcBorders>
            <w:noWrap w:val="0"/>
            <w:vAlign w:val="center"/>
          </w:tcPr>
          <w:p w14:paraId="4B8C0B18">
            <w:pPr>
              <w:jc w:val="center"/>
            </w:pPr>
          </w:p>
        </w:tc>
        <w:tc>
          <w:tcPr>
            <w:tcW w:w="3935" w:type="pct"/>
            <w:tcBorders>
              <w:top w:val="single" w:color="auto" w:sz="4" w:space="0"/>
              <w:left w:val="single" w:color="auto" w:sz="4" w:space="0"/>
              <w:bottom w:val="single" w:color="auto" w:sz="4" w:space="0"/>
              <w:right w:val="single" w:color="auto" w:sz="4" w:space="0"/>
            </w:tcBorders>
            <w:noWrap w:val="0"/>
            <w:vAlign w:val="center"/>
          </w:tcPr>
          <w:p w14:paraId="493B0342">
            <w:r>
              <w:rPr>
                <w:rFonts w:hint="eastAsia"/>
              </w:rPr>
              <w:t>支持勒索防护专项能力评估，提供勒索活动相关6大评估场景：勒索活动中使用的高危漏洞、勒索组织使用的在野域名解析|URL访问、勒索软件恶意行为模拟、Windows 平台勒索软件落盘模拟、Windows 平台勒索软件落盘模拟、勒索活动常用恶意钓鱼附件。覆盖勒索组织不少于280，包含但不限于BlackCat、LockBit、Rhysida、Conti、Phobos、REvil等热门勒索组织的攻击模拟活动。包含勒索活动相关用例不少于2800。（提供截图）</w:t>
            </w:r>
          </w:p>
        </w:tc>
      </w:tr>
      <w:tr w14:paraId="5B84B745">
        <w:tblPrEx>
          <w:tblCellMar>
            <w:top w:w="0" w:type="dxa"/>
            <w:left w:w="108" w:type="dxa"/>
            <w:bottom w:w="0" w:type="dxa"/>
            <w:right w:w="108" w:type="dxa"/>
          </w:tblCellMar>
        </w:tblPrEx>
        <w:trPr>
          <w:trHeight w:val="454" w:hRule="atLeast"/>
        </w:trPr>
        <w:tc>
          <w:tcPr>
            <w:tcW w:w="1064" w:type="pct"/>
            <w:vMerge w:val="continue"/>
            <w:tcBorders>
              <w:top w:val="single" w:color="auto" w:sz="4" w:space="0"/>
              <w:left w:val="single" w:color="auto" w:sz="4" w:space="0"/>
              <w:bottom w:val="single" w:color="auto" w:sz="4" w:space="0"/>
              <w:right w:val="single" w:color="auto" w:sz="4" w:space="0"/>
            </w:tcBorders>
            <w:noWrap w:val="0"/>
            <w:vAlign w:val="center"/>
          </w:tcPr>
          <w:p w14:paraId="6D801500">
            <w:pPr>
              <w:jc w:val="center"/>
            </w:pPr>
          </w:p>
        </w:tc>
        <w:tc>
          <w:tcPr>
            <w:tcW w:w="3935" w:type="pct"/>
            <w:tcBorders>
              <w:top w:val="single" w:color="auto" w:sz="4" w:space="0"/>
              <w:left w:val="single" w:color="auto" w:sz="4" w:space="0"/>
              <w:bottom w:val="single" w:color="auto" w:sz="4" w:space="0"/>
              <w:right w:val="single" w:color="auto" w:sz="4" w:space="0"/>
            </w:tcBorders>
            <w:noWrap w:val="0"/>
            <w:vAlign w:val="center"/>
          </w:tcPr>
          <w:p w14:paraId="3C5355CC">
            <w:r>
              <w:rPr>
                <w:rFonts w:hint="eastAsia"/>
              </w:rPr>
              <w:t>支持边界防护能力专项评估，提供以下评估场景：WAF防护能力基线评估、Web常规漏洞攻击、近三年高危漏洞利用、公众应用漏洞利用。公众应用漏洞不少于2800，其中具有CVE号的漏洞不少于1300，Web常规漏洞攻击不少于600（区分对抗和非对抗）。（提供截图）</w:t>
            </w:r>
          </w:p>
        </w:tc>
      </w:tr>
      <w:tr w14:paraId="278467B7">
        <w:tblPrEx>
          <w:tblCellMar>
            <w:top w:w="0" w:type="dxa"/>
            <w:left w:w="108" w:type="dxa"/>
            <w:bottom w:w="0" w:type="dxa"/>
            <w:right w:w="108" w:type="dxa"/>
          </w:tblCellMar>
        </w:tblPrEx>
        <w:trPr>
          <w:trHeight w:val="454" w:hRule="atLeast"/>
        </w:trPr>
        <w:tc>
          <w:tcPr>
            <w:tcW w:w="1064" w:type="pct"/>
            <w:vMerge w:val="continue"/>
            <w:tcBorders>
              <w:top w:val="single" w:color="auto" w:sz="4" w:space="0"/>
              <w:left w:val="single" w:color="auto" w:sz="4" w:space="0"/>
              <w:bottom w:val="single" w:color="auto" w:sz="4" w:space="0"/>
              <w:right w:val="single" w:color="auto" w:sz="4" w:space="0"/>
            </w:tcBorders>
            <w:noWrap w:val="0"/>
            <w:vAlign w:val="center"/>
          </w:tcPr>
          <w:p w14:paraId="4A63A1CD">
            <w:pPr>
              <w:jc w:val="center"/>
            </w:pPr>
          </w:p>
        </w:tc>
        <w:tc>
          <w:tcPr>
            <w:tcW w:w="3935" w:type="pct"/>
            <w:tcBorders>
              <w:top w:val="single" w:color="auto" w:sz="4" w:space="0"/>
              <w:left w:val="single" w:color="auto" w:sz="4" w:space="0"/>
              <w:bottom w:val="single" w:color="auto" w:sz="4" w:space="0"/>
              <w:right w:val="single" w:color="auto" w:sz="4" w:space="0"/>
            </w:tcBorders>
            <w:noWrap w:val="0"/>
            <w:vAlign w:val="center"/>
          </w:tcPr>
          <w:p w14:paraId="31810E39">
            <w:pPr>
              <w:rPr>
                <w:rFonts w:hint="eastAsia"/>
              </w:rPr>
            </w:pPr>
            <w:r>
              <w:rPr>
                <w:rFonts w:hint="eastAsia"/>
              </w:rPr>
              <w:t>支持实网重保模拟攻击场景。提供2024实网攻防网络攻击热门漏洞、2023实网攻防网络攻击热门漏洞，实网攻防中常用工具模拟，实网攻防相关用例不少于700例。（提供截图）</w:t>
            </w:r>
          </w:p>
        </w:tc>
      </w:tr>
      <w:tr w14:paraId="076D21E3">
        <w:tblPrEx>
          <w:tblCellMar>
            <w:top w:w="0" w:type="dxa"/>
            <w:left w:w="108" w:type="dxa"/>
            <w:bottom w:w="0" w:type="dxa"/>
            <w:right w:w="108" w:type="dxa"/>
          </w:tblCellMar>
        </w:tblPrEx>
        <w:trPr>
          <w:trHeight w:val="454" w:hRule="atLeast"/>
        </w:trPr>
        <w:tc>
          <w:tcPr>
            <w:tcW w:w="1064" w:type="pct"/>
            <w:vMerge w:val="continue"/>
            <w:tcBorders>
              <w:top w:val="single" w:color="auto" w:sz="4" w:space="0"/>
              <w:left w:val="single" w:color="auto" w:sz="4" w:space="0"/>
              <w:bottom w:val="single" w:color="auto" w:sz="4" w:space="0"/>
              <w:right w:val="single" w:color="auto" w:sz="4" w:space="0"/>
            </w:tcBorders>
            <w:noWrap w:val="0"/>
            <w:vAlign w:val="center"/>
          </w:tcPr>
          <w:p w14:paraId="40947BA0">
            <w:pPr>
              <w:jc w:val="center"/>
            </w:pPr>
          </w:p>
        </w:tc>
        <w:tc>
          <w:tcPr>
            <w:tcW w:w="3935" w:type="pct"/>
            <w:tcBorders>
              <w:top w:val="single" w:color="auto" w:sz="4" w:space="0"/>
              <w:left w:val="single" w:color="auto" w:sz="4" w:space="0"/>
              <w:bottom w:val="single" w:color="auto" w:sz="4" w:space="0"/>
              <w:right w:val="single" w:color="auto" w:sz="4" w:space="0"/>
            </w:tcBorders>
            <w:noWrap w:val="0"/>
            <w:vAlign w:val="center"/>
          </w:tcPr>
          <w:p w14:paraId="29634B9B">
            <w:r>
              <w:rPr>
                <w:rFonts w:hint="eastAsia"/>
              </w:rPr>
              <w:t>支持通过导入主流漏洞扫描器生成的报告，对报告中的漏洞进行自动渗透测试验证。支持的报告包括Nexpose、Nessus、APPSCAN、AWVS、绿盟极光、启明星辰天镜、BurpSuite等。（提供截图）</w:t>
            </w:r>
          </w:p>
        </w:tc>
      </w:tr>
      <w:tr w14:paraId="6AAD9606">
        <w:tblPrEx>
          <w:tblCellMar>
            <w:top w:w="0" w:type="dxa"/>
            <w:left w:w="108" w:type="dxa"/>
            <w:bottom w:w="0" w:type="dxa"/>
            <w:right w:w="108" w:type="dxa"/>
          </w:tblCellMar>
        </w:tblPrEx>
        <w:trPr>
          <w:trHeight w:val="454" w:hRule="atLeast"/>
        </w:trPr>
        <w:tc>
          <w:tcPr>
            <w:tcW w:w="1064" w:type="pct"/>
            <w:vMerge w:val="continue"/>
            <w:tcBorders>
              <w:top w:val="single" w:color="auto" w:sz="4" w:space="0"/>
              <w:left w:val="single" w:color="auto" w:sz="4" w:space="0"/>
              <w:bottom w:val="single" w:color="auto" w:sz="4" w:space="0"/>
              <w:right w:val="single" w:color="auto" w:sz="4" w:space="0"/>
            </w:tcBorders>
            <w:noWrap w:val="0"/>
            <w:vAlign w:val="center"/>
          </w:tcPr>
          <w:p w14:paraId="245D4294">
            <w:pPr>
              <w:jc w:val="center"/>
            </w:pPr>
          </w:p>
        </w:tc>
        <w:tc>
          <w:tcPr>
            <w:tcW w:w="3935" w:type="pct"/>
            <w:tcBorders>
              <w:top w:val="single" w:color="auto" w:sz="4" w:space="0"/>
              <w:left w:val="single" w:color="auto" w:sz="4" w:space="0"/>
              <w:bottom w:val="single" w:color="auto" w:sz="4" w:space="0"/>
              <w:right w:val="single" w:color="auto" w:sz="4" w:space="0"/>
            </w:tcBorders>
            <w:noWrap w:val="0"/>
            <w:vAlign w:val="center"/>
          </w:tcPr>
          <w:p w14:paraId="43F8E9BE">
            <w:r>
              <w:rPr>
                <w:rFonts w:hint="eastAsia"/>
              </w:rPr>
              <w:t>支持社会工程学类型的渗透测试，可通过邮件或Web钓鱼方式结合客户端漏洞（如office、adobe、java、浏览器漏洞）、文件格式漏洞等测试人员安全意识。（提供截图）</w:t>
            </w:r>
          </w:p>
        </w:tc>
      </w:tr>
    </w:tbl>
    <w:p w14:paraId="39CDCDA5">
      <w:pPr>
        <w:rPr>
          <w:rFonts w:ascii="宋体" w:hAnsi="宋体" w:cs="宋体"/>
          <w:szCs w:val="21"/>
        </w:rPr>
      </w:pPr>
    </w:p>
    <w:p w14:paraId="77519BB7">
      <w:pPr>
        <w:pStyle w:val="3"/>
        <w:ind w:firstLine="0" w:firstLineChars="0"/>
        <w:rPr>
          <w:rFonts w:hint="eastAsia" w:ascii="宋体" w:hAnsi="宋体" w:cs="宋体"/>
          <w:bCs w:val="0"/>
          <w:szCs w:val="21"/>
        </w:rPr>
      </w:pPr>
      <w:r>
        <w:rPr>
          <w:rFonts w:hint="eastAsia" w:ascii="宋体" w:hAnsi="宋体" w:cs="宋体"/>
          <w:bCs w:val="0"/>
          <w:szCs w:val="21"/>
        </w:rPr>
        <w:t>2、安全服务2红队测试</w:t>
      </w:r>
    </w:p>
    <w:tbl>
      <w:tblPr>
        <w:tblStyle w:val="9"/>
        <w:tblW w:w="4915"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7881"/>
      </w:tblGrid>
      <w:tr w14:paraId="7B8B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noWrap w:val="0"/>
            <w:vAlign w:val="center"/>
          </w:tcPr>
          <w:p w14:paraId="68A622FA">
            <w:pPr>
              <w:rPr>
                <w:b/>
                <w:bCs/>
              </w:rPr>
            </w:pPr>
            <w:r>
              <w:rPr>
                <w:rFonts w:hint="eastAsia"/>
                <w:b/>
                <w:bCs/>
                <w:lang w:eastAsia="zh-Hans"/>
              </w:rPr>
              <w:t>技术类型</w:t>
            </w:r>
          </w:p>
        </w:tc>
        <w:tc>
          <w:tcPr>
            <w:tcW w:w="4263" w:type="pct"/>
            <w:noWrap w:val="0"/>
            <w:vAlign w:val="center"/>
          </w:tcPr>
          <w:p w14:paraId="4524C84F">
            <w:pPr>
              <w:rPr>
                <w:b/>
                <w:bCs/>
              </w:rPr>
            </w:pPr>
            <w:r>
              <w:rPr>
                <w:rFonts w:hint="eastAsia"/>
                <w:b/>
                <w:bCs/>
              </w:rPr>
              <w:t>指标要求</w:t>
            </w:r>
          </w:p>
        </w:tc>
      </w:tr>
      <w:tr w14:paraId="2632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noWrap w:val="0"/>
            <w:vAlign w:val="center"/>
          </w:tcPr>
          <w:p w14:paraId="459E5991">
            <w:r>
              <w:rPr>
                <w:rFonts w:hint="eastAsia"/>
              </w:rPr>
              <w:t>基础要求</w:t>
            </w:r>
          </w:p>
        </w:tc>
        <w:tc>
          <w:tcPr>
            <w:tcW w:w="4263" w:type="pct"/>
            <w:noWrap w:val="0"/>
            <w:vAlign w:val="center"/>
          </w:tcPr>
          <w:p w14:paraId="7E6962F4">
            <w:pPr>
              <w:rPr>
                <w:rFonts w:hint="eastAsia"/>
              </w:rPr>
            </w:pPr>
            <w:r>
              <w:rPr>
                <w:rFonts w:hint="eastAsia"/>
              </w:rPr>
              <w:t>以APT攻击者视角对医院目前现有防御措施进行深度渗透测试，对目标系统、人员、软硬件设备、基础架构，进行多维度、多手段、对抗性模拟攻击，旨在发现可能被入侵的薄弱点，并以此为跳板将攻击渗透结果最大化（包括系统提权、控制业务、获取信息），进而检验现有防御体系的短板。每次红队测试周期不少于7天，攻击队人数不少于3人；</w:t>
            </w:r>
          </w:p>
          <w:p w14:paraId="39BDF9C8">
            <w:pPr>
              <w:rPr>
                <w:rFonts w:hint="eastAsia"/>
              </w:rPr>
            </w:pPr>
            <w:r>
              <w:rPr>
                <w:rFonts w:hint="eastAsia"/>
              </w:rPr>
              <w:t>在合同周期内，根据用户时间要求安排2轮次的红队测试，每轮次红队测试均需出具相应的报告和整改建议。</w:t>
            </w:r>
          </w:p>
        </w:tc>
      </w:tr>
      <w:tr w14:paraId="5868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vMerge w:val="restart"/>
            <w:noWrap w:val="0"/>
            <w:vAlign w:val="center"/>
          </w:tcPr>
          <w:p w14:paraId="59C40FAF">
            <w:r>
              <w:rPr>
                <w:rFonts w:hint="eastAsia"/>
              </w:rPr>
              <w:t>能力要求</w:t>
            </w:r>
          </w:p>
        </w:tc>
        <w:tc>
          <w:tcPr>
            <w:tcW w:w="4263" w:type="pct"/>
            <w:noWrap w:val="0"/>
            <w:vAlign w:val="center"/>
          </w:tcPr>
          <w:p w14:paraId="5C0D487F">
            <w:r>
              <w:rPr>
                <w:rFonts w:hint="eastAsia"/>
              </w:rPr>
              <w:t>服务团队具备APT组织发现及监测能力，要求首次发现境外国家背景的APT组织数量不少于40个（提供报告证明材料并加盖厂商公章）</w:t>
            </w:r>
          </w:p>
        </w:tc>
      </w:tr>
      <w:tr w14:paraId="5BC0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vMerge w:val="continue"/>
            <w:noWrap w:val="0"/>
            <w:vAlign w:val="center"/>
          </w:tcPr>
          <w:p w14:paraId="2E48CE31">
            <w:pPr>
              <w:rPr>
                <w:rFonts w:hint="eastAsia"/>
                <w:lang w:eastAsia="zh-Hans"/>
              </w:rPr>
            </w:pPr>
          </w:p>
        </w:tc>
        <w:tc>
          <w:tcPr>
            <w:tcW w:w="4263" w:type="pct"/>
            <w:noWrap w:val="0"/>
            <w:vAlign w:val="center"/>
          </w:tcPr>
          <w:p w14:paraId="0C78B0AE">
            <w:pPr>
              <w:rPr>
                <w:rFonts w:hint="eastAsia"/>
              </w:rPr>
            </w:pPr>
            <w:r>
              <w:rPr>
                <w:rFonts w:hint="eastAsia"/>
              </w:rPr>
              <w:t>具备国家级红队攻击及组织能力，要求提供不少于2年国家实网攻防演练服务经验；（提供公安部实网攻防演练服务合同及其他证明材料）</w:t>
            </w:r>
          </w:p>
        </w:tc>
      </w:tr>
      <w:tr w14:paraId="01D0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vMerge w:val="continue"/>
            <w:noWrap w:val="0"/>
            <w:vAlign w:val="center"/>
          </w:tcPr>
          <w:p w14:paraId="3392ADE3"/>
        </w:tc>
        <w:tc>
          <w:tcPr>
            <w:tcW w:w="4263" w:type="pct"/>
            <w:noWrap w:val="0"/>
            <w:vAlign w:val="center"/>
          </w:tcPr>
          <w:p w14:paraId="65DF11B8">
            <w:pPr>
              <w:rPr>
                <w:rFonts w:hint="eastAsia"/>
              </w:rPr>
            </w:pPr>
            <w:r>
              <w:rPr>
                <w:rFonts w:hint="eastAsia"/>
              </w:rPr>
              <w:t>提供SAAS化红队攻防演练平台，要求平台具备以下能力：</w:t>
            </w:r>
          </w:p>
          <w:p w14:paraId="0C250525">
            <w:pPr>
              <w:rPr>
                <w:rFonts w:hint="eastAsia"/>
              </w:rPr>
            </w:pPr>
            <w:r>
              <w:rPr>
                <w:rFonts w:hint="eastAsia"/>
              </w:rPr>
              <w:t>（1）★为杜绝演习敏感信息拷贝外泄，支持虚拟终端接入，虚拟终端采用封闭式管理，禁止文件的拷入拷出，并实时监控终端产生的攻击流量和操作记录，采用全程录屏的方式记录终端影像，并集中存储；（提供截图）</w:t>
            </w:r>
          </w:p>
          <w:p w14:paraId="1C920D38">
            <w:pPr>
              <w:rPr>
                <w:rFonts w:hint="eastAsia"/>
              </w:rPr>
            </w:pPr>
            <w:r>
              <w:rPr>
                <w:rFonts w:hint="eastAsia"/>
              </w:rPr>
              <w:t>（2）支持对攻击队员使用的虚拟攻击终端录屏采集功能，并随系统目动启动自动开启录屏功能，实现实时采集攻击队伍人员的攻击终端的录屏视频。为测试完成后审计或对测试中发生的违规攻击、保留后门等严重情况取证起到关键作用；（提供截图）</w:t>
            </w:r>
          </w:p>
          <w:p w14:paraId="3D266657">
            <w:pPr>
              <w:rPr>
                <w:rFonts w:hint="eastAsia"/>
              </w:rPr>
            </w:pPr>
            <w:r>
              <w:rPr>
                <w:rFonts w:hint="eastAsia"/>
              </w:rPr>
              <w:t>（3）支持对演习过程中的全流量进行审计，支持对全流量审计日志进行检</w:t>
            </w:r>
          </w:p>
          <w:p w14:paraId="33F282AF">
            <w:pPr>
              <w:rPr>
                <w:rFonts w:hint="eastAsia"/>
              </w:rPr>
            </w:pPr>
            <w:r>
              <w:rPr>
                <w:rFonts w:hint="eastAsia"/>
              </w:rPr>
              <w:t>索，检索条件包括应用层协议、传输层协议、HTTP请求方法、文件扩展</w:t>
            </w:r>
          </w:p>
          <w:p w14:paraId="1F116454">
            <w:pPr>
              <w:rPr>
                <w:rFonts w:hint="eastAsia"/>
              </w:rPr>
            </w:pPr>
            <w:r>
              <w:rPr>
                <w:rFonts w:hint="eastAsia"/>
              </w:rPr>
              <w:t>名、HTTP状态码等；</w:t>
            </w:r>
          </w:p>
          <w:p w14:paraId="7A6FE67F">
            <w:pPr>
              <w:rPr>
                <w:rFonts w:hint="eastAsia"/>
              </w:rPr>
            </w:pPr>
            <w:r>
              <w:rPr>
                <w:rFonts w:hint="eastAsia"/>
              </w:rPr>
              <w:t>（4）支持将攻击方如何成功攻陷攻击目标的攻击路径通过图形化的方式进行清晰的呈现（提供截图）</w:t>
            </w:r>
          </w:p>
          <w:p w14:paraId="7A60FFD3">
            <w:pPr>
              <w:rPr>
                <w:rFonts w:hint="eastAsia"/>
              </w:rPr>
            </w:pPr>
            <w:r>
              <w:rPr>
                <w:rFonts w:hint="eastAsia"/>
              </w:rPr>
              <w:t>（5）支持整场演习的指挥调度功能，供演习总指挥等领导掌控全局情况并下达临场指挥命令；</w:t>
            </w:r>
          </w:p>
          <w:p w14:paraId="69B1BB70">
            <w:pPr>
              <w:rPr>
                <w:rFonts w:hint="eastAsia"/>
              </w:rPr>
            </w:pPr>
            <w:r>
              <w:rPr>
                <w:rFonts w:hint="eastAsia"/>
              </w:rPr>
              <w:t>（6）支持模拟防守单位网络拓扑结构及被攻击路径，动态展示攻击效果，层层推进描绘实际攻击进度，体现整体攻击过程，包括被攻击资产及已攻破资产均有状态体现（提供截图）</w:t>
            </w:r>
          </w:p>
          <w:p w14:paraId="5D4D01D2">
            <w:pPr>
              <w:rPr>
                <w:rFonts w:hint="eastAsia"/>
              </w:rPr>
            </w:pPr>
            <w:r>
              <w:rPr>
                <w:rFonts w:hint="eastAsia"/>
              </w:rPr>
              <w:t>（7）支持通过对实战攻防大数据的分析研判，从多维度多视角掌握网络安全薄弱环节（提供截图）</w:t>
            </w:r>
          </w:p>
        </w:tc>
      </w:tr>
    </w:tbl>
    <w:p w14:paraId="1869A682">
      <w:pPr>
        <w:rPr>
          <w:rFonts w:ascii="宋体" w:hAnsi="宋体" w:cs="宋体"/>
          <w:szCs w:val="21"/>
        </w:rPr>
      </w:pPr>
    </w:p>
    <w:p w14:paraId="618F7392">
      <w:pPr>
        <w:pStyle w:val="3"/>
        <w:ind w:firstLine="0" w:firstLineChars="0"/>
        <w:rPr>
          <w:rFonts w:hint="eastAsia" w:ascii="宋体" w:hAnsi="宋体" w:cs="宋体"/>
          <w:bCs w:val="0"/>
          <w:szCs w:val="21"/>
        </w:rPr>
      </w:pPr>
      <w:r>
        <w:rPr>
          <w:rFonts w:hint="eastAsia" w:ascii="宋体" w:hAnsi="宋体" w:cs="宋体"/>
          <w:bCs w:val="0"/>
          <w:szCs w:val="21"/>
        </w:rPr>
        <w:t>3、安全服务3漏洞扫描</w:t>
      </w:r>
    </w:p>
    <w:tbl>
      <w:tblPr>
        <w:tblStyle w:val="9"/>
        <w:tblW w:w="4911"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8070"/>
      </w:tblGrid>
      <w:tr w14:paraId="2430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noWrap w:val="0"/>
            <w:vAlign w:val="center"/>
          </w:tcPr>
          <w:p w14:paraId="409994D7">
            <w:pPr>
              <w:rPr>
                <w:rFonts w:hint="eastAsia"/>
                <w:b/>
                <w:bCs/>
                <w:lang w:eastAsia="zh-Hans"/>
              </w:rPr>
            </w:pPr>
            <w:r>
              <w:rPr>
                <w:rFonts w:hint="eastAsia"/>
                <w:b/>
                <w:bCs/>
                <w:lang w:eastAsia="zh-Hans"/>
              </w:rPr>
              <w:t>技术指标</w:t>
            </w:r>
          </w:p>
        </w:tc>
        <w:tc>
          <w:tcPr>
            <w:tcW w:w="4369" w:type="pct"/>
            <w:noWrap w:val="0"/>
            <w:vAlign w:val="center"/>
          </w:tcPr>
          <w:p w14:paraId="2D610D38">
            <w:pPr>
              <w:rPr>
                <w:rFonts w:hint="eastAsia"/>
                <w:b/>
                <w:bCs/>
                <w:lang w:eastAsia="zh-Hans"/>
              </w:rPr>
            </w:pPr>
            <w:r>
              <w:rPr>
                <w:rFonts w:hint="eastAsia"/>
                <w:b/>
                <w:bCs/>
                <w:lang w:eastAsia="zh-Hans"/>
              </w:rPr>
              <w:t>指标要求</w:t>
            </w:r>
          </w:p>
        </w:tc>
      </w:tr>
      <w:tr w14:paraId="44C2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noWrap w:val="0"/>
            <w:vAlign w:val="center"/>
          </w:tcPr>
          <w:p w14:paraId="1B340AB8">
            <w:r>
              <w:rPr>
                <w:rFonts w:hint="eastAsia"/>
              </w:rPr>
              <w:t>基本要求</w:t>
            </w:r>
          </w:p>
        </w:tc>
        <w:tc>
          <w:tcPr>
            <w:tcW w:w="4369" w:type="pct"/>
            <w:noWrap w:val="0"/>
            <w:vAlign w:val="center"/>
          </w:tcPr>
          <w:p w14:paraId="54D1CDE2">
            <w:pPr>
              <w:rPr>
                <w:rFonts w:hint="eastAsia"/>
              </w:rPr>
            </w:pPr>
            <w:r>
              <w:rPr>
                <w:rFonts w:hint="eastAsia"/>
              </w:rPr>
              <w:t>使用系统漏洞扫描工具对全网进行数据库、操作系统、中间件、容器等进行漏洞、端口、弱口令扫描，扫描完成后由技术人员对漏洞进行确认测试，提出整改建议，协助开发人员整改；单次服务不少于5人天。</w:t>
            </w:r>
          </w:p>
          <w:p w14:paraId="4D45D4EF">
            <w:pPr>
              <w:rPr>
                <w:rFonts w:hint="eastAsia"/>
              </w:rPr>
            </w:pPr>
            <w:r>
              <w:rPr>
                <w:rFonts w:hint="eastAsia"/>
              </w:rPr>
              <w:t>在合同周期内，根据用户时间要求安排2轮次的漏洞扫描，每轮次漏洞扫描均需出具相应的报告和整改建议。</w:t>
            </w:r>
          </w:p>
        </w:tc>
      </w:tr>
      <w:tr w14:paraId="63C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vMerge w:val="restart"/>
            <w:noWrap w:val="0"/>
            <w:vAlign w:val="center"/>
          </w:tcPr>
          <w:p w14:paraId="5FA7829B">
            <w:r>
              <w:rPr>
                <w:rFonts w:hint="eastAsia"/>
              </w:rPr>
              <w:t>工具要求</w:t>
            </w:r>
          </w:p>
        </w:tc>
        <w:tc>
          <w:tcPr>
            <w:tcW w:w="4369" w:type="pct"/>
            <w:noWrap w:val="0"/>
            <w:vAlign w:val="center"/>
          </w:tcPr>
          <w:p w14:paraId="45E00DAC">
            <w:r>
              <w:rPr>
                <w:rFonts w:hint="eastAsia"/>
              </w:rPr>
              <w:t>具备Windows和Linux操作系统；各类安全设备（如防火墙、入侵检测系统等）；网络设备（如路由器、交换机等）；中间件（如Web服务器、应用服务器等）；数据库（如Oracle、MySQL等）；以及大数据组件（如Hadoop、Spark等）等设备对象的脆弱性发现能力；</w:t>
            </w:r>
          </w:p>
        </w:tc>
      </w:tr>
      <w:tr w14:paraId="6F4B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vMerge w:val="continue"/>
            <w:noWrap w:val="0"/>
            <w:vAlign w:val="center"/>
          </w:tcPr>
          <w:p w14:paraId="4B3F91F5">
            <w:pPr>
              <w:rPr>
                <w:rFonts w:hint="eastAsia"/>
              </w:rPr>
            </w:pPr>
          </w:p>
        </w:tc>
        <w:tc>
          <w:tcPr>
            <w:tcW w:w="4369" w:type="pct"/>
            <w:noWrap w:val="0"/>
            <w:vAlign w:val="center"/>
          </w:tcPr>
          <w:p w14:paraId="61FB5EE9">
            <w:pPr>
              <w:rPr>
                <w:rFonts w:hint="eastAsia"/>
              </w:rPr>
            </w:pPr>
            <w:r>
              <w:rPr>
                <w:rFonts w:hint="eastAsia"/>
              </w:rPr>
              <w:t>支持超过70个漏洞分类，漏洞库积累超过43W。</w:t>
            </w:r>
          </w:p>
        </w:tc>
      </w:tr>
      <w:tr w14:paraId="746B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vMerge w:val="continue"/>
            <w:noWrap w:val="0"/>
            <w:vAlign w:val="center"/>
          </w:tcPr>
          <w:p w14:paraId="73956D27">
            <w:pPr>
              <w:rPr>
                <w:rFonts w:hint="eastAsia"/>
              </w:rPr>
            </w:pPr>
          </w:p>
        </w:tc>
        <w:tc>
          <w:tcPr>
            <w:tcW w:w="4369" w:type="pct"/>
            <w:noWrap w:val="0"/>
            <w:vAlign w:val="center"/>
          </w:tcPr>
          <w:p w14:paraId="540A8161">
            <w:pPr>
              <w:rPr>
                <w:rFonts w:hint="eastAsia"/>
              </w:rPr>
            </w:pPr>
            <w:r>
              <w:rPr>
                <w:rFonts w:hint="eastAsia"/>
              </w:rPr>
              <w:t>支持对多种常见协议进行口令强度检测，协议包括：SSH、TELNET、FTP、SMB、RDP、MYSQL、POSTGRES协议；</w:t>
            </w:r>
          </w:p>
        </w:tc>
      </w:tr>
      <w:tr w14:paraId="6E91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vMerge w:val="continue"/>
            <w:noWrap w:val="0"/>
            <w:vAlign w:val="center"/>
          </w:tcPr>
          <w:p w14:paraId="7557A79C">
            <w:pPr>
              <w:rPr>
                <w:rFonts w:hint="eastAsia"/>
              </w:rPr>
            </w:pPr>
          </w:p>
        </w:tc>
        <w:tc>
          <w:tcPr>
            <w:tcW w:w="4369" w:type="pct"/>
            <w:noWrap w:val="0"/>
            <w:vAlign w:val="center"/>
          </w:tcPr>
          <w:p w14:paraId="46BADCDE">
            <w:pPr>
              <w:rPr>
                <w:rFonts w:hint="eastAsia"/>
              </w:rPr>
            </w:pPr>
            <w:r>
              <w:rPr>
                <w:rFonts w:hint="eastAsia"/>
              </w:rPr>
              <w:t>具备对Docker容器及其镜像进行深度漏洞扫描的能力，覆盖广泛的主流操作系统（如Linux发行版）以及各种应用服务（如Web服务器、数据库等），帮助用户及时发现并修复潜在于Docker环境中的安全漏洞</w:t>
            </w:r>
          </w:p>
        </w:tc>
      </w:tr>
      <w:tr w14:paraId="6006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vMerge w:val="continue"/>
            <w:noWrap w:val="0"/>
            <w:vAlign w:val="center"/>
          </w:tcPr>
          <w:p w14:paraId="0ED1FCA8">
            <w:pPr>
              <w:rPr>
                <w:rFonts w:hint="eastAsia"/>
              </w:rPr>
            </w:pPr>
          </w:p>
        </w:tc>
        <w:tc>
          <w:tcPr>
            <w:tcW w:w="4369" w:type="pct"/>
            <w:noWrap w:val="0"/>
            <w:vAlign w:val="center"/>
          </w:tcPr>
          <w:p w14:paraId="69120373">
            <w:r>
              <w:rPr>
                <w:rFonts w:hint="eastAsia"/>
              </w:rPr>
              <w:t>支持对多种主流数据库进行扫描的能力，这些数据库包括Oracle、MySQL、SQL Server、PostgreSQL、MongoDB，DB2、Informix、Sybase、Redis、Memcached、CouchDB,国产数据库：达梦dameng、人大金仓、南大通用。通过专业的扫描技术，该系统能够深入分析这些数据库系统，检测并识别出潜在的安全漏洞、配置错误以及弱密码等安全风险</w:t>
            </w:r>
          </w:p>
        </w:tc>
      </w:tr>
    </w:tbl>
    <w:p w14:paraId="1A74D36E">
      <w:pPr>
        <w:rPr>
          <w:b/>
          <w:szCs w:val="21"/>
        </w:rPr>
      </w:pPr>
    </w:p>
    <w:p w14:paraId="29CF6631">
      <w:pPr>
        <w:pStyle w:val="3"/>
        <w:ind w:firstLine="0" w:firstLineChars="0"/>
        <w:rPr>
          <w:rFonts w:hint="eastAsia" w:ascii="宋体" w:hAnsi="宋体" w:cs="宋体"/>
          <w:bCs w:val="0"/>
          <w:szCs w:val="21"/>
        </w:rPr>
      </w:pPr>
      <w:r>
        <w:br w:type="page"/>
      </w:r>
      <w:r>
        <w:rPr>
          <w:rFonts w:hint="eastAsia"/>
        </w:rPr>
        <w:t>4</w:t>
      </w:r>
      <w:r>
        <w:rPr>
          <w:rFonts w:hint="eastAsia" w:ascii="宋体" w:hAnsi="宋体" w:cs="宋体"/>
          <w:bCs w:val="0"/>
          <w:szCs w:val="21"/>
        </w:rPr>
        <w:t>、安全服务4外部攻击面管理</w:t>
      </w:r>
    </w:p>
    <w:tbl>
      <w:tblPr>
        <w:tblStyle w:val="9"/>
        <w:tblW w:w="4740"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7687"/>
      </w:tblGrid>
      <w:tr w14:paraId="23AB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noWrap w:val="0"/>
            <w:vAlign w:val="center"/>
          </w:tcPr>
          <w:p w14:paraId="3759AE1E">
            <w:pPr>
              <w:rPr>
                <w:rFonts w:hint="eastAsia"/>
                <w:b/>
                <w:bCs/>
                <w:lang w:eastAsia="zh-Hans"/>
              </w:rPr>
            </w:pPr>
            <w:r>
              <w:rPr>
                <w:rFonts w:hint="eastAsia"/>
                <w:b/>
                <w:bCs/>
                <w:lang w:eastAsia="zh-Hans"/>
              </w:rPr>
              <w:t>技术指标</w:t>
            </w:r>
          </w:p>
        </w:tc>
        <w:tc>
          <w:tcPr>
            <w:tcW w:w="4312" w:type="pct"/>
            <w:noWrap w:val="0"/>
            <w:vAlign w:val="center"/>
          </w:tcPr>
          <w:p w14:paraId="217533F0">
            <w:pPr>
              <w:rPr>
                <w:rFonts w:hint="eastAsia"/>
                <w:b/>
                <w:bCs/>
                <w:lang w:eastAsia="zh-Hans"/>
              </w:rPr>
            </w:pPr>
            <w:r>
              <w:rPr>
                <w:rFonts w:hint="eastAsia"/>
                <w:b/>
                <w:bCs/>
                <w:lang w:eastAsia="zh-Hans"/>
              </w:rPr>
              <w:t>指标要求</w:t>
            </w:r>
          </w:p>
        </w:tc>
      </w:tr>
      <w:tr w14:paraId="2D7C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restart"/>
            <w:noWrap w:val="0"/>
            <w:vAlign w:val="center"/>
          </w:tcPr>
          <w:p w14:paraId="3BBB981E">
            <w:r>
              <w:rPr>
                <w:rFonts w:hint="eastAsia"/>
              </w:rPr>
              <w:t>服务要求</w:t>
            </w:r>
          </w:p>
        </w:tc>
        <w:tc>
          <w:tcPr>
            <w:tcW w:w="4312" w:type="pct"/>
            <w:noWrap w:val="0"/>
            <w:vAlign w:val="center"/>
          </w:tcPr>
          <w:p w14:paraId="0BB351AD">
            <w:pPr>
              <w:rPr>
                <w:rFonts w:hint="eastAsia"/>
              </w:rPr>
            </w:pPr>
            <w:r>
              <w:rPr>
                <w:rFonts w:hint="eastAsia"/>
              </w:rPr>
              <w:t>支持对近3年内主域名所关联的全部子域名解析IP结果的收集，提供解析IP的首末次解析时间。</w:t>
            </w:r>
          </w:p>
        </w:tc>
      </w:tr>
      <w:tr w14:paraId="0BF7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0B251983">
            <w:pPr>
              <w:rPr>
                <w:rFonts w:hint="eastAsia"/>
              </w:rPr>
            </w:pPr>
          </w:p>
        </w:tc>
        <w:tc>
          <w:tcPr>
            <w:tcW w:w="4312" w:type="pct"/>
            <w:noWrap w:val="0"/>
            <w:vAlign w:val="center"/>
          </w:tcPr>
          <w:p w14:paraId="15C18774">
            <w:pPr>
              <w:rPr>
                <w:rFonts w:hint="eastAsia"/>
              </w:rPr>
            </w:pPr>
            <w:r>
              <w:rPr>
                <w:rFonts w:hint="eastAsia"/>
              </w:rPr>
              <w:t>支持网站子URL的爬取，并形成网站地图。支持标记来源，来源至少包括爬虫、被动流量、情报等。支持限制爬取的目录层数（不低于5级）、单个路径下文件数量（不少于50个文件）、爬取URL总数（不少于3000）、能够过滤特定类型的URL（如图片、样式表、字体等），支持对网站地图中爬取到的特殊URL进行自动化标记，至少包括API和管理后台标记。</w:t>
            </w:r>
          </w:p>
        </w:tc>
      </w:tr>
      <w:tr w14:paraId="0558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5A4BB847">
            <w:pPr>
              <w:rPr>
                <w:rFonts w:hint="eastAsia"/>
              </w:rPr>
            </w:pPr>
          </w:p>
        </w:tc>
        <w:tc>
          <w:tcPr>
            <w:tcW w:w="4312" w:type="pct"/>
            <w:noWrap w:val="0"/>
            <w:vAlign w:val="center"/>
          </w:tcPr>
          <w:p w14:paraId="0463E89D">
            <w:pPr>
              <w:rPr>
                <w:rFonts w:hint="eastAsia"/>
              </w:rPr>
            </w:pPr>
            <w:r>
              <w:rPr>
                <w:rFonts w:hint="eastAsia"/>
              </w:rPr>
              <w:t>持根据关键词发现医院相关小程序的基本信息，需包括但不限于小程序名称、状态、小程序ID、APPID、认证主体、统一社会信用代码、服务提供商、小程序简介、最后更新时间和业务域名清单。</w:t>
            </w:r>
          </w:p>
        </w:tc>
      </w:tr>
      <w:tr w14:paraId="2DA0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2E2B2814">
            <w:pPr>
              <w:rPr>
                <w:rFonts w:hint="eastAsia"/>
              </w:rPr>
            </w:pPr>
          </w:p>
        </w:tc>
        <w:tc>
          <w:tcPr>
            <w:tcW w:w="4312" w:type="pct"/>
            <w:noWrap w:val="0"/>
            <w:vAlign w:val="center"/>
          </w:tcPr>
          <w:p w14:paraId="44D5DE35">
            <w:pPr>
              <w:rPr>
                <w:rFonts w:hint="eastAsia"/>
              </w:rPr>
            </w:pPr>
            <w:r>
              <w:rPr>
                <w:rFonts w:hint="eastAsia"/>
              </w:rPr>
              <w:t>更新时间和业务域名清单。</w:t>
            </w:r>
          </w:p>
          <w:p w14:paraId="70F02B6A">
            <w:pPr>
              <w:rPr>
                <w:rFonts w:hint="eastAsia"/>
              </w:rPr>
            </w:pPr>
            <w:r>
              <w:rPr>
                <w:rFonts w:hint="eastAsia"/>
              </w:rPr>
              <w:t>支持不少于1000种应用及服务类协议探测识别，至少包括：HTTP、HTTPS、FTP、TFTP、LDAP、SMTP、UPnP、IMAP、POP3、MYQSL等。</w:t>
            </w:r>
          </w:p>
        </w:tc>
      </w:tr>
      <w:tr w14:paraId="3EF2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0209CC96">
            <w:pPr>
              <w:rPr>
                <w:rFonts w:hint="eastAsia"/>
              </w:rPr>
            </w:pPr>
          </w:p>
        </w:tc>
        <w:tc>
          <w:tcPr>
            <w:tcW w:w="4312" w:type="pct"/>
            <w:noWrap w:val="0"/>
            <w:vAlign w:val="center"/>
          </w:tcPr>
          <w:p w14:paraId="19FCB3EB">
            <w:pPr>
              <w:rPr>
                <w:rFonts w:hint="eastAsia"/>
              </w:rPr>
            </w:pPr>
            <w:r>
              <w:rPr>
                <w:rFonts w:hint="eastAsia"/>
              </w:rPr>
              <w:t>支持基于关键词监测百度网盘、新浪微盘、微云网盘等不同网盘来源的数据信息，信息内容需包括但不限于文件名称、来源、关键词、上传者、上传时间、文件大小、链接地址、提取码、简介、标记。</w:t>
            </w:r>
          </w:p>
        </w:tc>
      </w:tr>
      <w:tr w14:paraId="5194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0DD9B713">
            <w:pPr>
              <w:rPr>
                <w:rFonts w:hint="eastAsia"/>
              </w:rPr>
            </w:pPr>
          </w:p>
        </w:tc>
        <w:tc>
          <w:tcPr>
            <w:tcW w:w="4312" w:type="pct"/>
            <w:noWrap w:val="0"/>
            <w:vAlign w:val="center"/>
          </w:tcPr>
          <w:p w14:paraId="18AEF097">
            <w:pPr>
              <w:rPr>
                <w:rFonts w:hint="eastAsia"/>
              </w:rPr>
            </w:pPr>
            <w:r>
              <w:rPr>
                <w:rFonts w:hint="eastAsia"/>
              </w:rPr>
              <w:t>支持基于关键词监测百度文库、csdn、oschina等至少45个不同文库来源的数据信息，信息内容需包括但不限于文件名称、来源、关键词、上传者、上传时间、链接地址、简介、标记。</w:t>
            </w:r>
          </w:p>
        </w:tc>
      </w:tr>
      <w:tr w14:paraId="0037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6ECFD4D9">
            <w:pPr>
              <w:rPr>
                <w:rFonts w:hint="eastAsia"/>
              </w:rPr>
            </w:pPr>
          </w:p>
        </w:tc>
        <w:tc>
          <w:tcPr>
            <w:tcW w:w="4312" w:type="pct"/>
            <w:noWrap w:val="0"/>
            <w:vAlign w:val="center"/>
          </w:tcPr>
          <w:p w14:paraId="3E5DAFF9">
            <w:pPr>
              <w:rPr>
                <w:rFonts w:hint="eastAsia"/>
              </w:rPr>
            </w:pPr>
            <w:r>
              <w:rPr>
                <w:rFonts w:hint="eastAsia"/>
              </w:rPr>
              <w:t>支持基于关键词监测GitHub、码云的相关数据信息，信息内容包含但不限于仓库名称、仓库简介、作者、语言、关键词、状态、最后更新时间、来源、标记、泄露文件内容。</w:t>
            </w:r>
          </w:p>
        </w:tc>
      </w:tr>
      <w:tr w14:paraId="3F04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noWrap w:val="0"/>
            <w:vAlign w:val="center"/>
          </w:tcPr>
          <w:p w14:paraId="3B36BDD4">
            <w:pPr>
              <w:rPr>
                <w:rFonts w:hint="eastAsia"/>
              </w:rPr>
            </w:pPr>
          </w:p>
        </w:tc>
        <w:tc>
          <w:tcPr>
            <w:tcW w:w="4312" w:type="pct"/>
            <w:noWrap w:val="0"/>
            <w:vAlign w:val="center"/>
          </w:tcPr>
          <w:p w14:paraId="1C240D1D">
            <w:pPr>
              <w:rPr>
                <w:rFonts w:hint="eastAsia"/>
              </w:rPr>
            </w:pPr>
            <w:r>
              <w:rPr>
                <w:rFonts w:hint="eastAsia"/>
              </w:rPr>
              <w:t>支持基于关键词监测暗网中的相关数据信息，信息内容包含但不限于主题、帖子详情、作者、创建时间、发现时间、匹配关键词、链接地址、标记，且支持提供暗网交易快照的查看。</w:t>
            </w:r>
          </w:p>
        </w:tc>
      </w:tr>
      <w:tr w14:paraId="4832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noWrap w:val="0"/>
            <w:vAlign w:val="center"/>
          </w:tcPr>
          <w:p w14:paraId="19CAA613">
            <w:pPr>
              <w:rPr>
                <w:rFonts w:hint="eastAsia"/>
              </w:rPr>
            </w:pPr>
          </w:p>
        </w:tc>
        <w:tc>
          <w:tcPr>
            <w:tcW w:w="4312" w:type="pct"/>
            <w:noWrap w:val="0"/>
            <w:vAlign w:val="center"/>
          </w:tcPr>
          <w:p w14:paraId="2A127C0F">
            <w:pPr>
              <w:rPr>
                <w:rFonts w:hint="eastAsia"/>
              </w:rPr>
            </w:pPr>
            <w:r>
              <w:rPr>
                <w:rFonts w:hint="eastAsia"/>
              </w:rPr>
              <w:t>在合同周期内，每季度出具相应的报告。</w:t>
            </w:r>
          </w:p>
        </w:tc>
      </w:tr>
    </w:tbl>
    <w:p w14:paraId="0D56BEBC">
      <w:pPr>
        <w:pStyle w:val="3"/>
        <w:numPr>
          <w:ilvl w:val="0"/>
          <w:numId w:val="3"/>
        </w:numPr>
        <w:ind w:firstLine="422"/>
      </w:pPr>
      <w:r>
        <w:rPr>
          <w:rFonts w:hint="eastAsia"/>
        </w:rPr>
        <w:t>安全服务5重保值守服务</w:t>
      </w:r>
    </w:p>
    <w:tbl>
      <w:tblPr>
        <w:tblStyle w:val="9"/>
        <w:tblW w:w="4736"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7673"/>
      </w:tblGrid>
      <w:tr w14:paraId="1B33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92" w:type="pct"/>
            <w:noWrap w:val="0"/>
            <w:vAlign w:val="center"/>
          </w:tcPr>
          <w:p w14:paraId="1A9F0876">
            <w:pPr>
              <w:spacing w:line="360" w:lineRule="auto"/>
              <w:jc w:val="center"/>
              <w:rPr>
                <w:b/>
                <w:bCs/>
              </w:rPr>
            </w:pPr>
            <w:r>
              <w:rPr>
                <w:rFonts w:hint="eastAsia"/>
                <w:b/>
                <w:bCs/>
              </w:rPr>
              <w:t>技术指标</w:t>
            </w:r>
          </w:p>
        </w:tc>
        <w:tc>
          <w:tcPr>
            <w:tcW w:w="4308" w:type="pct"/>
            <w:noWrap w:val="0"/>
            <w:vAlign w:val="center"/>
          </w:tcPr>
          <w:p w14:paraId="11B0825F">
            <w:pPr>
              <w:spacing w:line="360" w:lineRule="auto"/>
              <w:jc w:val="center"/>
              <w:rPr>
                <w:b/>
                <w:bCs/>
              </w:rPr>
            </w:pPr>
            <w:r>
              <w:rPr>
                <w:rFonts w:hint="eastAsia"/>
                <w:b/>
                <w:bCs/>
              </w:rPr>
              <w:t>指标要求</w:t>
            </w:r>
          </w:p>
        </w:tc>
      </w:tr>
      <w:tr w14:paraId="59CD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pct"/>
            <w:noWrap w:val="0"/>
            <w:vAlign w:val="center"/>
          </w:tcPr>
          <w:p w14:paraId="30F1D689">
            <w:pPr>
              <w:spacing w:line="360" w:lineRule="auto"/>
            </w:pPr>
            <w:r>
              <w:rPr>
                <w:rFonts w:hint="eastAsia"/>
              </w:rPr>
              <w:t>基本要求</w:t>
            </w:r>
          </w:p>
        </w:tc>
        <w:tc>
          <w:tcPr>
            <w:tcW w:w="4308" w:type="pct"/>
            <w:noWrap w:val="0"/>
            <w:vAlign w:val="center"/>
          </w:tcPr>
          <w:p w14:paraId="09A800AC">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每年20人天的重保现场值守，每周一人天现场服务包括（应急响应、安全巡检、态势分析月度季度报告等，要求重保值守人员具有红蓝队攻防经验）。</w:t>
            </w:r>
          </w:p>
        </w:tc>
      </w:tr>
      <w:tr w14:paraId="4585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pct"/>
            <w:noWrap w:val="0"/>
            <w:vAlign w:val="center"/>
          </w:tcPr>
          <w:p w14:paraId="4B35B8DD">
            <w:pPr>
              <w:spacing w:line="360" w:lineRule="auto"/>
              <w:jc w:val="center"/>
            </w:pPr>
            <w:r>
              <w:rPr>
                <w:rFonts w:hint="eastAsia"/>
              </w:rPr>
              <w:t>服务要求</w:t>
            </w:r>
          </w:p>
        </w:tc>
        <w:tc>
          <w:tcPr>
            <w:tcW w:w="4308" w:type="pct"/>
            <w:noWrap w:val="0"/>
            <w:vAlign w:val="center"/>
          </w:tcPr>
          <w:p w14:paraId="3033E39C">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重要时期安全保障服务是在国家重要活动、会议时期为活动组织单位、监管单位关键信息系统提供重保组织架构设计、安全检查、积极防御、实时检测、响应处置、攻击预测等安全服务，发现重要保障时期被保障单位信息系统可能存在的安全风险，安全防御体系可能存在的薄弱环节，指导修复，提升安全防御能力，保障重要活动、会议从筹备到执行期间的关键信息系统和数据资产安全，确保重大活动、会议顺利圆满完成。</w:t>
            </w:r>
          </w:p>
        </w:tc>
      </w:tr>
      <w:tr w14:paraId="6077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pct"/>
            <w:noWrap w:val="0"/>
            <w:vAlign w:val="center"/>
          </w:tcPr>
          <w:p w14:paraId="60EAA03E">
            <w:pPr>
              <w:spacing w:line="360" w:lineRule="auto"/>
              <w:jc w:val="center"/>
            </w:pPr>
            <w:r>
              <w:rPr>
                <w:rFonts w:hint="eastAsia"/>
              </w:rPr>
              <w:t>服务方案</w:t>
            </w:r>
          </w:p>
        </w:tc>
        <w:tc>
          <w:tcPr>
            <w:tcW w:w="4308" w:type="pct"/>
            <w:noWrap w:val="0"/>
            <w:vAlign w:val="center"/>
          </w:tcPr>
          <w:p w14:paraId="4D898B30">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重保服务整体工作分成备战阶段服务、临战阶段服务、实战阶段服务、决战阶段服务四个阶段服务，其中备战阶段服务、临战阶段服务是在重大活动或者会议开始前为安全保障工作做准备，主要负责重保期间队伍组建、重保方案设计、重保单位安全检查等工作；实战阶段服务和决战阶段服务是为重大活动或者会议过程中安全保障工作提供技术支撑。</w:t>
            </w:r>
          </w:p>
        </w:tc>
      </w:tr>
    </w:tbl>
    <w:p w14:paraId="79B5D60E">
      <w:pPr>
        <w:rPr>
          <w:rFonts w:hint="eastAsia"/>
        </w:rPr>
      </w:pPr>
    </w:p>
    <w:p w14:paraId="489E369D">
      <w:pPr>
        <w:pStyle w:val="3"/>
        <w:numPr>
          <w:ilvl w:val="0"/>
          <w:numId w:val="3"/>
        </w:numPr>
        <w:ind w:firstLine="422"/>
        <w:rPr>
          <w:rFonts w:hint="eastAsia"/>
        </w:rPr>
      </w:pPr>
      <w:r>
        <w:rPr>
          <w:rFonts w:hint="eastAsia"/>
        </w:rPr>
        <w:t>零信任系统</w:t>
      </w:r>
    </w:p>
    <w:tbl>
      <w:tblPr>
        <w:tblStyle w:val="9"/>
        <w:tblW w:w="47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86"/>
        <w:gridCol w:w="6063"/>
      </w:tblGrid>
      <w:tr w14:paraId="6CD7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45" w:type="dxa"/>
            <w:gridSpan w:val="2"/>
            <w:noWrap/>
            <w:vAlign w:val="center"/>
          </w:tcPr>
          <w:p w14:paraId="37BC0D26">
            <w:pPr>
              <w:rPr>
                <w:rFonts w:hint="eastAsia"/>
                <w:b/>
                <w:bCs/>
                <w:lang w:eastAsia="zh-Hans"/>
              </w:rPr>
            </w:pPr>
            <w:r>
              <w:rPr>
                <w:rFonts w:hint="eastAsia"/>
                <w:b/>
                <w:bCs/>
              </w:rPr>
              <w:t>技术指标</w:t>
            </w:r>
          </w:p>
        </w:tc>
        <w:tc>
          <w:tcPr>
            <w:tcW w:w="6063" w:type="dxa"/>
            <w:noWrap/>
            <w:vAlign w:val="center"/>
          </w:tcPr>
          <w:p w14:paraId="64BBF311">
            <w:pPr>
              <w:rPr>
                <w:rFonts w:hint="eastAsia"/>
                <w:b/>
                <w:bCs/>
                <w:lang w:eastAsia="zh-Hans"/>
              </w:rPr>
            </w:pPr>
            <w:r>
              <w:rPr>
                <w:rFonts w:hint="eastAsia"/>
                <w:b/>
                <w:bCs/>
              </w:rPr>
              <w:t>指标要求</w:t>
            </w:r>
          </w:p>
        </w:tc>
      </w:tr>
      <w:tr w14:paraId="3FA9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845" w:type="dxa"/>
            <w:gridSpan w:val="2"/>
            <w:noWrap/>
            <w:vAlign w:val="center"/>
          </w:tcPr>
          <w:p w14:paraId="69762CD6">
            <w:pPr>
              <w:spacing w:line="360" w:lineRule="auto"/>
              <w:contextualSpacing/>
              <w:rPr>
                <w:rFonts w:hint="eastAsia" w:ascii="宋体" w:hAnsi="宋体" w:cs="宋体"/>
                <w:bCs/>
                <w:color w:val="000000"/>
                <w:szCs w:val="21"/>
              </w:rPr>
            </w:pPr>
            <w:r>
              <w:rPr>
                <w:rFonts w:hint="eastAsia"/>
              </w:rPr>
              <w:t>配置要求</w:t>
            </w:r>
          </w:p>
        </w:tc>
        <w:tc>
          <w:tcPr>
            <w:tcW w:w="6063" w:type="dxa"/>
            <w:noWrap w:val="0"/>
            <w:vAlign w:val="center"/>
          </w:tcPr>
          <w:p w14:paraId="1D5999AA">
            <w:pPr>
              <w:spacing w:line="360" w:lineRule="auto"/>
              <w:contextualSpacing/>
              <w:rPr>
                <w:rFonts w:ascii="宋体" w:hAnsi="宋体" w:cs="宋体"/>
                <w:bCs/>
                <w:color w:val="000000"/>
                <w:szCs w:val="21"/>
              </w:rPr>
            </w:pPr>
            <w:r>
              <w:rPr>
                <w:rFonts w:hint="eastAsia" w:ascii="宋体" w:hAnsi="宋体" w:cs="宋体"/>
                <w:bCs/>
                <w:color w:val="000000"/>
                <w:szCs w:val="21"/>
              </w:rPr>
              <w:t>1个零信任控制中心+1个零信任安全网关+在终端上为不少于700个用户提供零信任接入入口，支持Windows/Mac/iOS/Android操作系统，具备在线容灾功能，当主控中心宕机后，备份中心能及时接管，</w:t>
            </w:r>
            <w:bookmarkStart w:id="2" w:name="_GoBack"/>
            <w:r>
              <w:rPr>
                <w:rFonts w:hint="eastAsia" w:ascii="宋体" w:hAnsi="宋体" w:cs="宋体"/>
                <w:b/>
                <w:color w:val="000000"/>
                <w:szCs w:val="21"/>
              </w:rPr>
              <w:t>三年质保及规则库升级</w:t>
            </w:r>
            <w:bookmarkEnd w:id="2"/>
            <w:r>
              <w:rPr>
                <w:rFonts w:hint="eastAsia" w:ascii="宋体" w:hAnsi="宋体" w:cs="宋体"/>
                <w:bCs/>
                <w:color w:val="000000"/>
                <w:szCs w:val="21"/>
              </w:rPr>
              <w:t>。</w:t>
            </w:r>
          </w:p>
        </w:tc>
      </w:tr>
      <w:tr w14:paraId="677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845" w:type="dxa"/>
            <w:gridSpan w:val="2"/>
            <w:noWrap/>
            <w:vAlign w:val="center"/>
          </w:tcPr>
          <w:p w14:paraId="0FFEAA9A">
            <w:pPr>
              <w:spacing w:line="360" w:lineRule="auto"/>
              <w:contextualSpacing/>
              <w:rPr>
                <w:rFonts w:hint="eastAsia" w:ascii="宋体" w:hAnsi="宋体" w:cs="宋体"/>
                <w:bCs/>
                <w:color w:val="000000"/>
                <w:szCs w:val="21"/>
              </w:rPr>
            </w:pPr>
            <w:r>
              <w:rPr>
                <w:rFonts w:hint="eastAsia"/>
              </w:rPr>
              <w:t>部署与终端环境要求</w:t>
            </w:r>
          </w:p>
        </w:tc>
        <w:tc>
          <w:tcPr>
            <w:tcW w:w="6063" w:type="dxa"/>
            <w:noWrap w:val="0"/>
            <w:vAlign w:val="center"/>
          </w:tcPr>
          <w:p w14:paraId="13CE7D83">
            <w:pPr>
              <w:spacing w:line="360" w:lineRule="auto"/>
              <w:contextualSpacing/>
              <w:rPr>
                <w:rFonts w:hint="eastAsia" w:ascii="宋体" w:hAnsi="宋体" w:cs="宋体"/>
                <w:bCs/>
                <w:color w:val="000000"/>
                <w:szCs w:val="21"/>
              </w:rPr>
            </w:pPr>
            <w:r>
              <w:rPr>
                <w:rFonts w:hint="eastAsia" w:ascii="宋体" w:hAnsi="宋体" w:cs="宋体"/>
                <w:bCs/>
                <w:color w:val="000000"/>
                <w:szCs w:val="21"/>
              </w:rPr>
              <w:t>为便于扩容，要求零信任产品后台纯软化部署，并支持零信任管理控制台与网关平台分离部署。</w:t>
            </w:r>
            <w:r>
              <w:rPr>
                <w:rFonts w:hint="eastAsia" w:ascii="宋体" w:hAnsi="宋体" w:cs="宋体"/>
                <w:bCs/>
                <w:color w:val="000000"/>
                <w:szCs w:val="21"/>
              </w:rPr>
              <w:br w:type="textWrapping"/>
            </w:r>
            <w:r>
              <w:rPr>
                <w:rFonts w:hint="eastAsia" w:ascii="宋体" w:hAnsi="宋体" w:cs="宋体"/>
                <w:bCs/>
                <w:color w:val="000000"/>
                <w:szCs w:val="21"/>
              </w:rPr>
              <w:t>支持多种终端操作系统支持，包括但不限于：Windows、MacOS、Android 、iOS等</w:t>
            </w:r>
          </w:p>
        </w:tc>
      </w:tr>
      <w:tr w14:paraId="2EAF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45" w:type="dxa"/>
            <w:gridSpan w:val="2"/>
            <w:vMerge w:val="restart"/>
            <w:noWrap/>
            <w:vAlign w:val="center"/>
          </w:tcPr>
          <w:p w14:paraId="057414FF">
            <w:pPr>
              <w:spacing w:line="360" w:lineRule="auto"/>
              <w:contextualSpacing/>
              <w:rPr>
                <w:rFonts w:hint="eastAsia" w:ascii="宋体" w:hAnsi="宋体" w:cs="宋体"/>
                <w:bCs/>
                <w:color w:val="000000"/>
                <w:szCs w:val="21"/>
              </w:rPr>
            </w:pPr>
            <w:r>
              <w:rPr>
                <w:rFonts w:hint="eastAsia"/>
              </w:rPr>
              <w:t>客户端部署要求</w:t>
            </w:r>
          </w:p>
        </w:tc>
        <w:tc>
          <w:tcPr>
            <w:tcW w:w="6063" w:type="dxa"/>
            <w:noWrap w:val="0"/>
            <w:vAlign w:val="center"/>
          </w:tcPr>
          <w:p w14:paraId="289F993F">
            <w:pPr>
              <w:spacing w:line="360" w:lineRule="auto"/>
              <w:contextualSpacing/>
              <w:rPr>
                <w:rFonts w:hint="eastAsia" w:ascii="宋体" w:hAnsi="宋体" w:cs="宋体"/>
                <w:bCs/>
                <w:color w:val="000000"/>
                <w:szCs w:val="21"/>
              </w:rPr>
            </w:pPr>
            <w:r>
              <w:rPr>
                <w:rFonts w:hint="eastAsia" w:ascii="宋体" w:hAnsi="宋体" w:cs="宋体"/>
                <w:bCs/>
                <w:color w:val="000000"/>
                <w:szCs w:val="21"/>
              </w:rPr>
              <w:t>管理员可以通知终端用户到指定网页下载安装包进行安装，适用于终端能连通控制中心的情况</w:t>
            </w:r>
          </w:p>
        </w:tc>
      </w:tr>
      <w:tr w14:paraId="7ED9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845" w:type="dxa"/>
            <w:gridSpan w:val="2"/>
            <w:vMerge w:val="continue"/>
            <w:noWrap/>
            <w:vAlign w:val="center"/>
          </w:tcPr>
          <w:p w14:paraId="27AD65AF">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09CB31E6">
            <w:pPr>
              <w:spacing w:line="360" w:lineRule="auto"/>
              <w:contextualSpacing/>
              <w:rPr>
                <w:rFonts w:hint="eastAsia" w:ascii="宋体" w:hAnsi="宋体" w:cs="宋体"/>
                <w:bCs/>
                <w:color w:val="000000"/>
                <w:szCs w:val="21"/>
              </w:rPr>
            </w:pPr>
            <w:r>
              <w:rPr>
                <w:rFonts w:hint="eastAsia" w:ascii="宋体" w:hAnsi="宋体" w:cs="宋体"/>
                <w:bCs/>
                <w:color w:val="000000"/>
                <w:szCs w:val="21"/>
              </w:rPr>
              <w:t>管理员可自行下载为离线安装包，再拷贝到终端上进行安装，适用于终端无法连通控制中心的情况</w:t>
            </w:r>
          </w:p>
        </w:tc>
      </w:tr>
      <w:tr w14:paraId="7BE3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45" w:type="dxa"/>
            <w:gridSpan w:val="2"/>
            <w:vMerge w:val="continue"/>
            <w:noWrap/>
            <w:vAlign w:val="center"/>
          </w:tcPr>
          <w:p w14:paraId="7541D440">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7963C18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支持通过域进行统一推送安装</w:t>
            </w:r>
          </w:p>
        </w:tc>
      </w:tr>
      <w:tr w14:paraId="3FEF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45" w:type="dxa"/>
            <w:gridSpan w:val="2"/>
            <w:vMerge w:val="continue"/>
            <w:noWrap/>
            <w:vAlign w:val="center"/>
          </w:tcPr>
          <w:p w14:paraId="0552BCDD">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700C4A0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支持第三方软件推送平台进行统一推送安装</w:t>
            </w:r>
          </w:p>
        </w:tc>
      </w:tr>
      <w:tr w14:paraId="6DB2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845" w:type="dxa"/>
            <w:gridSpan w:val="2"/>
            <w:vMerge w:val="continue"/>
            <w:noWrap/>
            <w:vAlign w:val="center"/>
          </w:tcPr>
          <w:p w14:paraId="5AAFFFBE">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005869B0">
            <w:pPr>
              <w:spacing w:line="360" w:lineRule="auto"/>
              <w:contextualSpacing/>
              <w:rPr>
                <w:rFonts w:hint="eastAsia" w:ascii="宋体" w:hAnsi="宋体" w:cs="宋体"/>
                <w:bCs/>
                <w:color w:val="000000"/>
                <w:szCs w:val="21"/>
              </w:rPr>
            </w:pPr>
            <w:r>
              <w:rPr>
                <w:rFonts w:hint="eastAsia" w:ascii="宋体" w:hAnsi="宋体" w:cs="宋体"/>
                <w:bCs/>
                <w:color w:val="000000"/>
                <w:szCs w:val="21"/>
              </w:rPr>
              <w:t>第三方推广下载：通过浏览器访问指定页面，该页面检测终端是否安装零信任客户端，如果没有，页面重定向到零信任客户端下载页面</w:t>
            </w:r>
          </w:p>
        </w:tc>
      </w:tr>
      <w:tr w14:paraId="0ABC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vMerge w:val="restart"/>
            <w:noWrap w:val="0"/>
            <w:vAlign w:val="center"/>
          </w:tcPr>
          <w:p w14:paraId="0BB15262">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用户与授权管理</w:t>
            </w:r>
          </w:p>
        </w:tc>
        <w:tc>
          <w:tcPr>
            <w:tcW w:w="1886" w:type="dxa"/>
            <w:noWrap w:val="0"/>
            <w:vAlign w:val="center"/>
          </w:tcPr>
          <w:p w14:paraId="3B7831B5">
            <w:pPr>
              <w:spacing w:line="360" w:lineRule="auto"/>
              <w:contextualSpacing/>
              <w:rPr>
                <w:rFonts w:hint="eastAsia" w:ascii="宋体" w:hAnsi="宋体" w:cs="宋体"/>
                <w:bCs/>
                <w:color w:val="000000"/>
                <w:szCs w:val="21"/>
              </w:rPr>
            </w:pPr>
            <w:r>
              <w:rPr>
                <w:rFonts w:hint="eastAsia"/>
              </w:rPr>
              <w:t>目录与用户源管理</w:t>
            </w:r>
          </w:p>
        </w:tc>
        <w:tc>
          <w:tcPr>
            <w:tcW w:w="6063" w:type="dxa"/>
            <w:noWrap w:val="0"/>
            <w:vAlign w:val="center"/>
          </w:tcPr>
          <w:p w14:paraId="0B632079">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用户目录与用户源的创建。支持自建用户源的管理，支持在平台自建用户、支持对自建用户的增删查改操作；支持单个创建及批量导入；支持账号管理列表的显示列重排；支持对自建用户与组织架构管理、支持通过账户/姓名、按用户组及组织架构等方式筛选用户。</w:t>
            </w:r>
          </w:p>
        </w:tc>
      </w:tr>
      <w:tr w14:paraId="1F3E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7964B66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C001136">
            <w:pPr>
              <w:spacing w:line="360" w:lineRule="auto"/>
              <w:contextualSpacing/>
              <w:rPr>
                <w:rFonts w:hint="eastAsia" w:ascii="宋体" w:hAnsi="宋体" w:cs="宋体"/>
                <w:bCs/>
                <w:color w:val="000000"/>
                <w:szCs w:val="21"/>
              </w:rPr>
            </w:pPr>
            <w:r>
              <w:rPr>
                <w:rFonts w:hint="eastAsia" w:ascii="宋体" w:hAnsi="宋体" w:cs="宋体"/>
                <w:bCs/>
                <w:color w:val="000000"/>
                <w:szCs w:val="21"/>
              </w:rPr>
              <w:t>外部用户源管理</w:t>
            </w:r>
          </w:p>
        </w:tc>
        <w:tc>
          <w:tcPr>
            <w:tcW w:w="6063" w:type="dxa"/>
            <w:noWrap w:val="0"/>
            <w:vAlign w:val="center"/>
          </w:tcPr>
          <w:p w14:paraId="02BBA921">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支持SCIM2.0、WindowsAD、钉钉、飞书、企业微信、政务微信、LDAP等；</w:t>
            </w:r>
          </w:p>
          <w:p w14:paraId="6685668E">
            <w:pPr>
              <w:spacing w:line="360" w:lineRule="auto"/>
              <w:contextualSpacing/>
              <w:rPr>
                <w:rFonts w:hint="eastAsia" w:ascii="宋体" w:hAnsi="宋体" w:cs="宋体"/>
                <w:bCs/>
                <w:color w:val="000000"/>
                <w:szCs w:val="21"/>
              </w:rPr>
            </w:pPr>
            <w:r>
              <w:rPr>
                <w:rFonts w:hint="eastAsia" w:ascii="宋体" w:hAnsi="宋体" w:cs="宋体"/>
                <w:b/>
                <w:color w:val="FF0000"/>
                <w:szCs w:val="21"/>
              </w:rPr>
              <w:t>原生支持企业微信</w:t>
            </w:r>
            <w:r>
              <w:rPr>
                <w:rFonts w:hint="eastAsia" w:ascii="宋体" w:hAnsi="宋体" w:cs="宋体"/>
                <w:b/>
                <w:color w:val="000000"/>
                <w:szCs w:val="21"/>
              </w:rPr>
              <w:t>。</w:t>
            </w:r>
          </w:p>
        </w:tc>
      </w:tr>
      <w:tr w14:paraId="1B86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11D0CF4C">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16B97706">
            <w:pPr>
              <w:spacing w:line="360" w:lineRule="auto"/>
              <w:contextualSpacing/>
              <w:rPr>
                <w:rFonts w:hint="eastAsia" w:ascii="宋体" w:hAnsi="宋体" w:cs="宋体"/>
                <w:bCs/>
                <w:color w:val="000000"/>
                <w:szCs w:val="21"/>
              </w:rPr>
            </w:pPr>
            <w:r>
              <w:rPr>
                <w:rFonts w:hint="eastAsia" w:ascii="宋体" w:hAnsi="宋体" w:cs="宋体"/>
                <w:bCs/>
                <w:color w:val="000000"/>
                <w:szCs w:val="21"/>
              </w:rPr>
              <w:t>账户信息管理</w:t>
            </w:r>
          </w:p>
        </w:tc>
        <w:tc>
          <w:tcPr>
            <w:tcW w:w="6063" w:type="dxa"/>
            <w:noWrap w:val="0"/>
            <w:vAlign w:val="center"/>
          </w:tcPr>
          <w:p w14:paraId="44F504B8">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用户锁定：支持禁用用户，被禁用的用户无法登录客户端；支持对账户设置有效期，有效期截止后，账户将禁用</w:t>
            </w:r>
          </w:p>
        </w:tc>
      </w:tr>
      <w:tr w14:paraId="110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59" w:type="dxa"/>
            <w:vMerge w:val="continue"/>
            <w:noWrap w:val="0"/>
            <w:vAlign w:val="center"/>
          </w:tcPr>
          <w:p w14:paraId="7FB7C189">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FB3F8A0">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用户画像</w:t>
            </w:r>
          </w:p>
        </w:tc>
        <w:tc>
          <w:tcPr>
            <w:tcW w:w="6063" w:type="dxa"/>
            <w:noWrap w:val="0"/>
            <w:vAlign w:val="center"/>
          </w:tcPr>
          <w:p w14:paraId="720B135B">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支持用户画像，能清楚的查看到该用户相关联的资源访问权限和策略。展示策略信息与license联动</w:t>
            </w:r>
          </w:p>
        </w:tc>
      </w:tr>
      <w:tr w14:paraId="140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15857014">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784E54A5">
            <w:pPr>
              <w:spacing w:line="360" w:lineRule="auto"/>
              <w:contextualSpacing/>
              <w:rPr>
                <w:rFonts w:hint="eastAsia" w:ascii="宋体" w:hAnsi="宋体" w:cs="宋体"/>
                <w:bCs/>
                <w:color w:val="000000"/>
                <w:szCs w:val="21"/>
              </w:rPr>
            </w:pPr>
            <w:r>
              <w:rPr>
                <w:rFonts w:hint="eastAsia" w:ascii="宋体" w:hAnsi="宋体" w:cs="宋体"/>
                <w:bCs/>
                <w:color w:val="000000"/>
                <w:szCs w:val="21"/>
              </w:rPr>
              <w:t>业务资源</w:t>
            </w:r>
          </w:p>
        </w:tc>
        <w:tc>
          <w:tcPr>
            <w:tcW w:w="6063" w:type="dxa"/>
            <w:noWrap w:val="0"/>
            <w:vAlign w:val="center"/>
          </w:tcPr>
          <w:p w14:paraId="3CF737D6">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对某个组织架构节点/自定义分组节点进行零信任办公的业务资源进行访问授权，资源对应展示的是零信任办公的业务资源；授权支持两种类型设置：1是继承父组（仅上级）、2是当前分组；支持授权有效期设置。</w:t>
            </w:r>
          </w:p>
        </w:tc>
      </w:tr>
      <w:tr w14:paraId="12A4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25705C34">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51E1C13">
            <w:pPr>
              <w:spacing w:line="360" w:lineRule="auto"/>
              <w:contextualSpacing/>
              <w:rPr>
                <w:rFonts w:hint="eastAsia" w:ascii="宋体" w:hAnsi="宋体" w:cs="宋体"/>
                <w:bCs/>
                <w:color w:val="000000"/>
                <w:szCs w:val="21"/>
              </w:rPr>
            </w:pPr>
            <w:r>
              <w:rPr>
                <w:rFonts w:hint="eastAsia" w:ascii="宋体" w:hAnsi="宋体" w:cs="宋体"/>
                <w:bCs/>
                <w:color w:val="000000"/>
                <w:szCs w:val="21"/>
              </w:rPr>
              <w:t>关联策略</w:t>
            </w:r>
          </w:p>
        </w:tc>
        <w:tc>
          <w:tcPr>
            <w:tcW w:w="6063" w:type="dxa"/>
            <w:noWrap w:val="0"/>
            <w:vAlign w:val="center"/>
          </w:tcPr>
          <w:p w14:paraId="5DF4340B">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支持基于某个组织架构节点/自定义分组查看与其关联的终端相关策略、身份相关策略与访问相关策略。展示策略信息与license联动</w:t>
            </w:r>
          </w:p>
        </w:tc>
      </w:tr>
      <w:tr w14:paraId="20CC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14A65CF4">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50EAD8D2">
            <w:pPr>
              <w:spacing w:line="360" w:lineRule="auto"/>
              <w:contextualSpacing/>
              <w:rPr>
                <w:rFonts w:hint="eastAsia" w:ascii="宋体" w:hAnsi="宋体" w:cs="宋体"/>
                <w:bCs/>
                <w:color w:val="000000"/>
                <w:szCs w:val="21"/>
              </w:rPr>
            </w:pPr>
            <w:r>
              <w:rPr>
                <w:rFonts w:hint="eastAsia" w:ascii="宋体" w:hAnsi="宋体" w:cs="宋体"/>
                <w:bCs/>
                <w:color w:val="000000"/>
                <w:szCs w:val="21"/>
              </w:rPr>
              <w:t>自定义分组</w:t>
            </w:r>
          </w:p>
        </w:tc>
        <w:tc>
          <w:tcPr>
            <w:tcW w:w="6063" w:type="dxa"/>
            <w:noWrap w:val="0"/>
            <w:vAlign w:val="center"/>
          </w:tcPr>
          <w:p w14:paraId="3557F7A4">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支持创建和管理“自定义分组”，可对同一外部用户源的账户重新分组</w:t>
            </w:r>
          </w:p>
        </w:tc>
      </w:tr>
      <w:tr w14:paraId="7539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59" w:type="dxa"/>
            <w:vMerge w:val="restart"/>
            <w:noWrap w:val="0"/>
            <w:vAlign w:val="center"/>
          </w:tcPr>
          <w:p w14:paraId="653A6C02">
            <w:pPr>
              <w:spacing w:line="360" w:lineRule="auto"/>
              <w:contextualSpacing/>
              <w:rPr>
                <w:rFonts w:hint="eastAsia" w:ascii="宋体" w:hAnsi="宋体" w:cs="宋体"/>
                <w:bCs/>
                <w:color w:val="000000"/>
                <w:szCs w:val="21"/>
              </w:rPr>
            </w:pPr>
            <w:r>
              <w:rPr>
                <w:rFonts w:hint="eastAsia" w:ascii="宋体" w:hAnsi="宋体" w:cs="宋体"/>
                <w:bCs/>
                <w:color w:val="000000"/>
                <w:szCs w:val="21"/>
              </w:rPr>
              <w:t>身份认证安全</w:t>
            </w:r>
          </w:p>
        </w:tc>
        <w:tc>
          <w:tcPr>
            <w:tcW w:w="1886" w:type="dxa"/>
            <w:noWrap w:val="0"/>
            <w:vAlign w:val="center"/>
          </w:tcPr>
          <w:p w14:paraId="3D047BFC">
            <w:pPr>
              <w:spacing w:line="360" w:lineRule="auto"/>
              <w:contextualSpacing/>
              <w:rPr>
                <w:rFonts w:hint="eastAsia" w:ascii="宋体" w:hAnsi="宋体" w:cs="宋体"/>
                <w:bCs/>
                <w:color w:val="000000"/>
                <w:szCs w:val="21"/>
              </w:rPr>
            </w:pPr>
            <w:r>
              <w:rPr>
                <w:rFonts w:hint="eastAsia" w:ascii="宋体" w:hAnsi="宋体" w:cs="宋体"/>
                <w:bCs/>
                <w:color w:val="000000"/>
                <w:szCs w:val="21"/>
              </w:rPr>
              <w:t>认证策略</w:t>
            </w:r>
          </w:p>
        </w:tc>
        <w:tc>
          <w:tcPr>
            <w:tcW w:w="6063" w:type="dxa"/>
            <w:noWrap w:val="0"/>
            <w:vAlign w:val="center"/>
          </w:tcPr>
          <w:p w14:paraId="40447EB6">
            <w:pPr>
              <w:spacing w:line="360" w:lineRule="auto"/>
              <w:contextualSpacing/>
              <w:rPr>
                <w:rFonts w:hint="eastAsia" w:ascii="宋体" w:hAnsi="宋体" w:cs="宋体"/>
                <w:bCs/>
                <w:color w:val="000000"/>
                <w:szCs w:val="21"/>
              </w:rPr>
            </w:pPr>
            <w:r>
              <w:rPr>
                <w:rFonts w:hint="eastAsia" w:ascii="宋体" w:hAnsi="宋体" w:cs="宋体"/>
                <w:bCs/>
                <w:color w:val="000000"/>
                <w:szCs w:val="21"/>
              </w:rPr>
              <w:t>为满足不同登录场景需要用到的认证策略和组合，平台应支持按用户维度、部门维度、自定义分组维度下发差异化的认证方式组合与认证策略</w:t>
            </w:r>
            <w:r>
              <w:rPr>
                <w:rFonts w:hint="eastAsia" w:ascii="宋体" w:hAnsi="宋体" w:cs="宋体"/>
                <w:bCs/>
                <w:color w:val="000000"/>
                <w:szCs w:val="21"/>
              </w:rPr>
              <w:br w:type="textWrapping"/>
            </w:r>
            <w:r>
              <w:rPr>
                <w:rFonts w:hint="eastAsia" w:ascii="宋体" w:hAnsi="宋体" w:cs="宋体"/>
                <w:bCs/>
                <w:color w:val="000000"/>
                <w:szCs w:val="21"/>
              </w:rPr>
              <w:t>1、支持基于任意认证源（至少包括账密认证、扫码认证、短信认证、邮箱认证、IAM认证、AD认证、Token认证），给不同的组织域分配不同的主认证方式</w:t>
            </w:r>
            <w:r>
              <w:rPr>
                <w:rFonts w:hint="eastAsia" w:ascii="宋体" w:hAnsi="宋体" w:cs="宋体"/>
                <w:bCs/>
                <w:color w:val="000000"/>
                <w:szCs w:val="21"/>
              </w:rPr>
              <w:br w:type="textWrapping"/>
            </w:r>
            <w:r>
              <w:rPr>
                <w:rFonts w:hint="eastAsia" w:ascii="宋体" w:hAnsi="宋体" w:cs="宋体"/>
                <w:bCs/>
                <w:color w:val="000000"/>
                <w:szCs w:val="21"/>
              </w:rPr>
              <w:t>2、支持针对不同的组织域、部门、自定义分组或者用户选择是否开启双因素认证</w:t>
            </w:r>
            <w:r>
              <w:rPr>
                <w:rFonts w:hint="eastAsia" w:ascii="宋体" w:hAnsi="宋体" w:cs="宋体"/>
                <w:bCs/>
                <w:color w:val="000000"/>
                <w:szCs w:val="21"/>
              </w:rPr>
              <w:br w:type="textWrapping"/>
            </w:r>
            <w:r>
              <w:rPr>
                <w:rFonts w:hint="eastAsia" w:ascii="宋体" w:hAnsi="宋体" w:cs="宋体"/>
                <w:bCs/>
                <w:color w:val="000000"/>
                <w:szCs w:val="21"/>
              </w:rPr>
              <w:t>3、支持基于任意认证源，给不同的组织域、部门、自定义分组或用户分配不同的主认证方式</w:t>
            </w:r>
            <w:r>
              <w:rPr>
                <w:rFonts w:hint="eastAsia" w:ascii="宋体" w:hAnsi="宋体" w:cs="宋体"/>
                <w:bCs/>
                <w:color w:val="000000"/>
                <w:szCs w:val="21"/>
              </w:rPr>
              <w:br w:type="textWrapping"/>
            </w:r>
            <w:r>
              <w:rPr>
                <w:rFonts w:hint="eastAsia" w:ascii="宋体" w:hAnsi="宋体" w:cs="宋体"/>
                <w:bCs/>
                <w:color w:val="000000"/>
                <w:szCs w:val="21"/>
              </w:rPr>
              <w:t>5、指定主认证登录豁免双因素认证</w:t>
            </w:r>
            <w:r>
              <w:rPr>
                <w:rFonts w:hint="eastAsia" w:ascii="宋体" w:hAnsi="宋体" w:cs="宋体"/>
                <w:bCs/>
                <w:color w:val="000000"/>
                <w:szCs w:val="21"/>
              </w:rPr>
              <w:br w:type="textWrapping"/>
            </w:r>
            <w:r>
              <w:rPr>
                <w:rFonts w:hint="eastAsia" w:ascii="宋体" w:hAnsi="宋体" w:cs="宋体"/>
                <w:bCs/>
                <w:color w:val="000000"/>
                <w:szCs w:val="21"/>
              </w:rPr>
              <w:t>6、设备首次登录场景的增强认证开启</w:t>
            </w:r>
          </w:p>
        </w:tc>
      </w:tr>
      <w:tr w14:paraId="5DCB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9" w:type="dxa"/>
            <w:vMerge w:val="continue"/>
            <w:noWrap w:val="0"/>
            <w:vAlign w:val="center"/>
          </w:tcPr>
          <w:p w14:paraId="787C3FB2">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CA3238F">
            <w:pPr>
              <w:spacing w:line="360" w:lineRule="auto"/>
              <w:contextualSpacing/>
              <w:rPr>
                <w:rFonts w:hint="eastAsia" w:ascii="宋体" w:hAnsi="宋体" w:cs="宋体"/>
                <w:bCs/>
                <w:color w:val="000000"/>
                <w:szCs w:val="21"/>
              </w:rPr>
            </w:pPr>
            <w:r>
              <w:rPr>
                <w:rFonts w:hint="eastAsia" w:ascii="宋体" w:hAnsi="宋体" w:cs="宋体"/>
                <w:bCs/>
                <w:color w:val="000000"/>
                <w:szCs w:val="21"/>
              </w:rPr>
              <w:t>认证源配置</w:t>
            </w:r>
          </w:p>
        </w:tc>
        <w:tc>
          <w:tcPr>
            <w:tcW w:w="6063" w:type="dxa"/>
            <w:noWrap w:val="0"/>
            <w:vAlign w:val="center"/>
          </w:tcPr>
          <w:p w14:paraId="77624BEA">
            <w:pPr>
              <w:spacing w:line="360" w:lineRule="auto"/>
              <w:contextualSpacing/>
              <w:rPr>
                <w:rFonts w:hint="eastAsia" w:ascii="宋体" w:hAnsi="宋体" w:cs="宋体"/>
                <w:bCs/>
                <w:color w:val="000000"/>
                <w:szCs w:val="21"/>
              </w:rPr>
            </w:pPr>
            <w:r>
              <w:rPr>
                <w:rFonts w:hint="eastAsia" w:ascii="宋体" w:hAnsi="宋体" w:cs="宋体"/>
                <w:bCs/>
                <w:color w:val="000000"/>
                <w:szCs w:val="21"/>
              </w:rPr>
              <w:t>要求至少支持对接以下认证源类型：</w:t>
            </w:r>
            <w:r>
              <w:rPr>
                <w:rFonts w:hint="eastAsia" w:ascii="宋体" w:hAnsi="宋体" w:cs="宋体"/>
                <w:bCs/>
                <w:color w:val="000000"/>
                <w:szCs w:val="21"/>
              </w:rPr>
              <w:br w:type="textWrapping"/>
            </w:r>
            <w:r>
              <w:rPr>
                <w:rFonts w:hint="eastAsia" w:ascii="宋体" w:hAnsi="宋体" w:cs="宋体"/>
                <w:bCs/>
                <w:color w:val="000000"/>
                <w:szCs w:val="21"/>
              </w:rPr>
              <w:t>- SaaS认证源：企微、飞书、钉钉</w:t>
            </w:r>
            <w:r>
              <w:rPr>
                <w:rFonts w:hint="eastAsia" w:ascii="宋体" w:hAnsi="宋体" w:cs="宋体"/>
                <w:bCs/>
                <w:color w:val="000000"/>
                <w:szCs w:val="21"/>
              </w:rPr>
              <w:br w:type="textWrapping"/>
            </w:r>
            <w:r>
              <w:rPr>
                <w:rFonts w:hint="eastAsia" w:ascii="宋体" w:hAnsi="宋体" w:cs="宋体"/>
                <w:bCs/>
                <w:color w:val="000000"/>
                <w:szCs w:val="21"/>
              </w:rPr>
              <w:t>- 邮件认证源：腾讯云邮件、阿里云邮件、腾讯企业邮箱、阿里企业邮箱、SMTP</w:t>
            </w:r>
            <w:r>
              <w:rPr>
                <w:rFonts w:hint="eastAsia" w:ascii="宋体" w:hAnsi="宋体" w:cs="宋体"/>
                <w:bCs/>
                <w:color w:val="000000"/>
                <w:szCs w:val="21"/>
              </w:rPr>
              <w:br w:type="textWrapping"/>
            </w:r>
            <w:r>
              <w:rPr>
                <w:rFonts w:hint="eastAsia" w:ascii="宋体" w:hAnsi="宋体" w:cs="宋体"/>
                <w:bCs/>
                <w:color w:val="000000"/>
                <w:szCs w:val="21"/>
              </w:rPr>
              <w:t>- 短信认证源：阿里云短信、腾讯云短信</w:t>
            </w:r>
            <w:r>
              <w:rPr>
                <w:rFonts w:hint="eastAsia" w:ascii="宋体" w:hAnsi="宋体" w:cs="宋体"/>
                <w:bCs/>
                <w:color w:val="000000"/>
                <w:szCs w:val="21"/>
              </w:rPr>
              <w:br w:type="textWrapping"/>
            </w:r>
            <w:r>
              <w:rPr>
                <w:rFonts w:hint="eastAsia" w:ascii="宋体" w:hAnsi="宋体" w:cs="宋体"/>
                <w:bCs/>
                <w:color w:val="000000"/>
                <w:szCs w:val="21"/>
              </w:rPr>
              <w:t>- LDAP认证源：AD域、OepnLDAP</w:t>
            </w:r>
            <w:r>
              <w:rPr>
                <w:rFonts w:hint="eastAsia" w:ascii="宋体" w:hAnsi="宋体" w:cs="宋体"/>
                <w:bCs/>
                <w:color w:val="000000"/>
                <w:szCs w:val="21"/>
              </w:rPr>
              <w:br w:type="textWrapping"/>
            </w:r>
            <w:r>
              <w:rPr>
                <w:rFonts w:hint="eastAsia" w:ascii="宋体" w:hAnsi="宋体" w:cs="宋体"/>
                <w:bCs/>
                <w:color w:val="000000"/>
                <w:szCs w:val="21"/>
              </w:rPr>
              <w:t>- Token认证源：Radius</w:t>
            </w:r>
            <w:r>
              <w:rPr>
                <w:rFonts w:hint="eastAsia" w:ascii="宋体" w:hAnsi="宋体" w:cs="宋体"/>
                <w:bCs/>
                <w:color w:val="000000"/>
                <w:szCs w:val="21"/>
              </w:rPr>
              <w:br w:type="textWrapping"/>
            </w:r>
            <w:r>
              <w:rPr>
                <w:rFonts w:hint="eastAsia" w:ascii="宋体" w:hAnsi="宋体" w:cs="宋体"/>
                <w:bCs/>
                <w:color w:val="000000"/>
                <w:szCs w:val="21"/>
              </w:rPr>
              <w:t>- SSO认证源：Oauth2、OIDC、CAS</w:t>
            </w:r>
            <w:r>
              <w:rPr>
                <w:rFonts w:hint="eastAsia" w:ascii="宋体" w:hAnsi="宋体" w:cs="宋体"/>
                <w:bCs/>
                <w:color w:val="000000"/>
                <w:szCs w:val="21"/>
              </w:rPr>
              <w:br w:type="textWrapping"/>
            </w:r>
            <w:r>
              <w:rPr>
                <w:rFonts w:hint="eastAsia" w:ascii="宋体" w:hAnsi="宋体" w:cs="宋体"/>
                <w:bCs/>
                <w:color w:val="000000"/>
                <w:szCs w:val="21"/>
              </w:rPr>
              <w:t>【内置的认证源】</w:t>
            </w:r>
            <w:r>
              <w:rPr>
                <w:rFonts w:hint="eastAsia" w:ascii="宋体" w:hAnsi="宋体" w:cs="宋体"/>
                <w:bCs/>
                <w:color w:val="000000"/>
                <w:szCs w:val="21"/>
              </w:rPr>
              <w:br w:type="textWrapping"/>
            </w:r>
            <w:r>
              <w:rPr>
                <w:rFonts w:hint="eastAsia" w:ascii="宋体" w:hAnsi="宋体" w:cs="宋体"/>
                <w:bCs/>
                <w:color w:val="000000"/>
                <w:szCs w:val="21"/>
              </w:rPr>
              <w:t>- 零信任本地账号密码</w:t>
            </w:r>
            <w:r>
              <w:rPr>
                <w:rFonts w:hint="eastAsia" w:ascii="宋体" w:hAnsi="宋体" w:cs="宋体"/>
                <w:bCs/>
                <w:color w:val="000000"/>
                <w:szCs w:val="21"/>
              </w:rPr>
              <w:br w:type="textWrapping"/>
            </w:r>
            <w:r>
              <w:rPr>
                <w:rFonts w:hint="eastAsia" w:ascii="宋体" w:hAnsi="宋体" w:cs="宋体"/>
                <w:bCs/>
                <w:color w:val="000000"/>
                <w:szCs w:val="21"/>
              </w:rPr>
              <w:t>- 内置MFA：OTP、零信任APP 扫码</w:t>
            </w:r>
          </w:p>
        </w:tc>
      </w:tr>
      <w:tr w14:paraId="008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68A11860">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48142B73">
            <w:pPr>
              <w:spacing w:line="360" w:lineRule="auto"/>
              <w:contextualSpacing/>
              <w:rPr>
                <w:rFonts w:hint="eastAsia" w:ascii="宋体" w:hAnsi="宋体" w:cs="宋体"/>
                <w:bCs/>
                <w:color w:val="000000"/>
                <w:szCs w:val="21"/>
              </w:rPr>
            </w:pPr>
            <w:r>
              <w:rPr>
                <w:rFonts w:hint="eastAsia" w:ascii="宋体" w:hAnsi="宋体" w:cs="宋体"/>
                <w:bCs/>
                <w:color w:val="000000"/>
                <w:szCs w:val="21"/>
              </w:rPr>
              <w:t>SSO管理</w:t>
            </w:r>
          </w:p>
        </w:tc>
        <w:tc>
          <w:tcPr>
            <w:tcW w:w="6063" w:type="dxa"/>
            <w:noWrap w:val="0"/>
            <w:vAlign w:val="center"/>
          </w:tcPr>
          <w:p w14:paraId="18391119">
            <w:pPr>
              <w:spacing w:line="360" w:lineRule="auto"/>
              <w:contextualSpacing/>
              <w:rPr>
                <w:rFonts w:hint="eastAsia" w:ascii="宋体" w:hAnsi="宋体" w:cs="宋体"/>
                <w:bCs/>
                <w:color w:val="000000"/>
                <w:szCs w:val="21"/>
              </w:rPr>
            </w:pPr>
            <w:r>
              <w:rPr>
                <w:rFonts w:hint="eastAsia" w:ascii="宋体" w:hAnsi="宋体" w:cs="宋体"/>
                <w:bCs/>
                <w:color w:val="000000"/>
                <w:szCs w:val="21"/>
              </w:rPr>
              <w:t>1、客户端SSO证书导入</w:t>
            </w:r>
            <w:r>
              <w:rPr>
                <w:rFonts w:hint="eastAsia" w:ascii="宋体" w:hAnsi="宋体" w:cs="宋体"/>
                <w:bCs/>
                <w:color w:val="000000"/>
                <w:szCs w:val="21"/>
              </w:rPr>
              <w:br w:type="textWrapping"/>
            </w:r>
            <w:r>
              <w:rPr>
                <w:rFonts w:hint="eastAsia" w:ascii="宋体" w:hAnsi="宋体" w:cs="宋体"/>
                <w:bCs/>
                <w:color w:val="000000"/>
                <w:szCs w:val="21"/>
              </w:rPr>
              <w:t>2、客户端SSO服务对接应用设置</w:t>
            </w:r>
          </w:p>
        </w:tc>
      </w:tr>
      <w:tr w14:paraId="0E5C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9" w:type="dxa"/>
            <w:vMerge w:val="continue"/>
            <w:noWrap w:val="0"/>
            <w:vAlign w:val="center"/>
          </w:tcPr>
          <w:p w14:paraId="2317493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7151B634">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★用户行为分析</w:t>
            </w:r>
          </w:p>
        </w:tc>
        <w:tc>
          <w:tcPr>
            <w:tcW w:w="6063" w:type="dxa"/>
            <w:noWrap w:val="0"/>
            <w:vAlign w:val="center"/>
          </w:tcPr>
          <w:p w14:paraId="4A05A57F">
            <w:pPr>
              <w:spacing w:line="360" w:lineRule="auto"/>
              <w:contextualSpacing/>
              <w:rPr>
                <w:rFonts w:hint="eastAsia" w:ascii="宋体" w:hAnsi="宋体" w:cs="宋体"/>
                <w:bCs/>
                <w:color w:val="000000"/>
                <w:szCs w:val="21"/>
              </w:rPr>
            </w:pPr>
            <w:r>
              <w:rPr>
                <w:rFonts w:hint="eastAsia" w:ascii="宋体" w:hAnsi="宋体" w:cs="宋体"/>
                <w:bCs/>
                <w:color w:val="000000"/>
                <w:szCs w:val="21"/>
              </w:rPr>
              <w:t>为确保用户业务访问场景下的异常行为可以被感知，需支持从以下几个维度发现异常的用户业务访问行为：</w:t>
            </w:r>
            <w:r>
              <w:rPr>
                <w:rFonts w:hint="eastAsia" w:ascii="宋体" w:hAnsi="宋体" w:cs="宋体"/>
                <w:bCs/>
                <w:color w:val="000000"/>
                <w:szCs w:val="21"/>
              </w:rPr>
              <w:br w:type="textWrapping"/>
            </w:r>
            <w:r>
              <w:rPr>
                <w:rFonts w:hint="eastAsia" w:ascii="宋体" w:hAnsi="宋体" w:cs="宋体"/>
                <w:bCs/>
                <w:color w:val="000000"/>
                <w:szCs w:val="21"/>
              </w:rPr>
              <w:t>1、账户连续身份认证次数（可自行设定阈值）</w:t>
            </w:r>
            <w:r>
              <w:rPr>
                <w:rFonts w:hint="eastAsia" w:ascii="宋体" w:hAnsi="宋体" w:cs="宋体"/>
                <w:bCs/>
                <w:color w:val="000000"/>
                <w:szCs w:val="21"/>
              </w:rPr>
              <w:br w:type="textWrapping"/>
            </w:r>
            <w:r>
              <w:rPr>
                <w:rFonts w:hint="eastAsia" w:ascii="宋体" w:hAnsi="宋体" w:cs="宋体"/>
                <w:bCs/>
                <w:color w:val="000000"/>
                <w:szCs w:val="21"/>
              </w:rPr>
              <w:t>2、是否异地访问（需在控制台上支持设定异常判断的归并条件，例如以一个月/两个月/三个月内数据作为统计异常的标准）</w:t>
            </w:r>
            <w:r>
              <w:rPr>
                <w:rFonts w:hint="eastAsia" w:ascii="宋体" w:hAnsi="宋体" w:cs="宋体"/>
                <w:bCs/>
                <w:color w:val="000000"/>
                <w:szCs w:val="21"/>
              </w:rPr>
              <w:br w:type="textWrapping"/>
            </w:r>
            <w:r>
              <w:rPr>
                <w:rFonts w:hint="eastAsia" w:ascii="宋体" w:hAnsi="宋体" w:cs="宋体"/>
                <w:bCs/>
                <w:color w:val="000000"/>
                <w:szCs w:val="21"/>
              </w:rPr>
              <w:t>3、是否非工作时间访问</w:t>
            </w:r>
            <w:r>
              <w:rPr>
                <w:rFonts w:hint="eastAsia" w:ascii="宋体" w:hAnsi="宋体" w:cs="宋体"/>
                <w:bCs/>
                <w:color w:val="000000"/>
                <w:szCs w:val="21"/>
              </w:rPr>
              <w:br w:type="textWrapping"/>
            </w:r>
            <w:r>
              <w:rPr>
                <w:rFonts w:hint="eastAsia" w:ascii="宋体" w:hAnsi="宋体" w:cs="宋体"/>
                <w:bCs/>
                <w:color w:val="000000"/>
                <w:szCs w:val="21"/>
              </w:rPr>
              <w:t>4、访问敏感业务时间（需在控制台上支持自行设定阈值）</w:t>
            </w:r>
            <w:r>
              <w:rPr>
                <w:rFonts w:hint="eastAsia" w:ascii="宋体" w:hAnsi="宋体" w:cs="宋体"/>
                <w:bCs/>
                <w:color w:val="000000"/>
                <w:szCs w:val="21"/>
              </w:rPr>
              <w:br w:type="textWrapping"/>
            </w:r>
            <w:r>
              <w:rPr>
                <w:rFonts w:hint="eastAsia" w:ascii="宋体" w:hAnsi="宋体" w:cs="宋体"/>
                <w:bCs/>
                <w:color w:val="000000"/>
                <w:szCs w:val="21"/>
              </w:rPr>
              <w:t>5、多次尝试访问无权业务（需在控制台上支持自行设定阈值）</w:t>
            </w:r>
            <w:r>
              <w:rPr>
                <w:rFonts w:hint="eastAsia" w:ascii="宋体" w:hAnsi="宋体" w:cs="宋体"/>
                <w:bCs/>
                <w:color w:val="000000"/>
                <w:szCs w:val="21"/>
              </w:rPr>
              <w:br w:type="textWrapping"/>
            </w:r>
            <w:r>
              <w:rPr>
                <w:rFonts w:hint="eastAsia" w:ascii="宋体" w:hAnsi="宋体" w:cs="宋体"/>
                <w:bCs/>
                <w:color w:val="000000"/>
                <w:szCs w:val="21"/>
              </w:rPr>
              <w:t>6、账号上传流量（需在控制台上支持自行设定阈值）</w:t>
            </w:r>
            <w:r>
              <w:rPr>
                <w:rFonts w:hint="eastAsia" w:ascii="宋体" w:hAnsi="宋体" w:cs="宋体"/>
                <w:bCs/>
                <w:color w:val="000000"/>
                <w:szCs w:val="21"/>
              </w:rPr>
              <w:br w:type="textWrapping"/>
            </w:r>
            <w:r>
              <w:rPr>
                <w:rFonts w:hint="eastAsia" w:ascii="宋体" w:hAnsi="宋体" w:cs="宋体"/>
                <w:bCs/>
                <w:color w:val="000000"/>
                <w:szCs w:val="21"/>
              </w:rPr>
              <w:t>7、账号下载流量（需在控制台上支持自行设定阈值）</w:t>
            </w:r>
            <w:r>
              <w:rPr>
                <w:rFonts w:hint="eastAsia" w:ascii="宋体" w:hAnsi="宋体" w:cs="宋体"/>
                <w:bCs/>
                <w:color w:val="000000"/>
                <w:szCs w:val="21"/>
              </w:rPr>
              <w:br w:type="textWrapping"/>
            </w:r>
            <w:r>
              <w:rPr>
                <w:rFonts w:hint="eastAsia" w:ascii="宋体" w:hAnsi="宋体" w:cs="宋体"/>
                <w:bCs/>
                <w:color w:val="000000"/>
                <w:szCs w:val="21"/>
              </w:rPr>
              <w:t>（以上能力要求提供产品功能界面截图，保留中标后现场验证权利）</w:t>
            </w:r>
          </w:p>
        </w:tc>
      </w:tr>
      <w:tr w14:paraId="5E9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59" w:type="dxa"/>
            <w:vMerge w:val="continue"/>
            <w:noWrap w:val="0"/>
            <w:vAlign w:val="center"/>
          </w:tcPr>
          <w:p w14:paraId="7A943818">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20AA345">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用户异常行为评分规则自定义</w:t>
            </w:r>
          </w:p>
        </w:tc>
        <w:tc>
          <w:tcPr>
            <w:tcW w:w="6063" w:type="dxa"/>
            <w:noWrap w:val="0"/>
            <w:vAlign w:val="center"/>
          </w:tcPr>
          <w:p w14:paraId="14D1BD2F">
            <w:pPr>
              <w:spacing w:line="360" w:lineRule="auto"/>
              <w:contextualSpacing/>
              <w:rPr>
                <w:rFonts w:hint="eastAsia" w:ascii="宋体" w:hAnsi="宋体" w:cs="宋体"/>
                <w:bCs/>
                <w:color w:val="000000"/>
                <w:szCs w:val="21"/>
              </w:rPr>
            </w:pPr>
            <w:r>
              <w:rPr>
                <w:rFonts w:hint="eastAsia" w:ascii="宋体" w:hAnsi="宋体" w:cs="宋体"/>
                <w:bCs/>
                <w:color w:val="000000"/>
                <w:szCs w:val="21"/>
              </w:rPr>
              <w:t>平台应提供用户异常行为评分的默认规则，同时为提升用户异常行为检测判定的行业特性适配能力，平台需支持开放默认规则给到企业管理员进行自定义编辑</w:t>
            </w:r>
            <w:r>
              <w:rPr>
                <w:rFonts w:hint="eastAsia" w:ascii="宋体" w:hAnsi="宋体" w:cs="宋体"/>
                <w:bCs/>
                <w:color w:val="000000"/>
                <w:szCs w:val="21"/>
              </w:rPr>
              <w:br w:type="textWrapping"/>
            </w:r>
            <w:r>
              <w:rPr>
                <w:rFonts w:hint="eastAsia" w:ascii="宋体" w:hAnsi="宋体" w:cs="宋体"/>
                <w:bCs/>
                <w:color w:val="000000"/>
                <w:szCs w:val="21"/>
              </w:rPr>
              <w:t>1、区分“登录行为风险场景”、“访问行为风险场景”与“用户整体异常行为风险”，</w:t>
            </w:r>
            <w:r>
              <w:rPr>
                <w:rFonts w:hint="eastAsia" w:ascii="宋体" w:hAnsi="宋体" w:cs="宋体"/>
                <w:bCs/>
                <w:color w:val="000000"/>
                <w:szCs w:val="21"/>
              </w:rPr>
              <w:br w:type="textWrapping"/>
            </w:r>
            <w:r>
              <w:rPr>
                <w:rFonts w:hint="eastAsia" w:ascii="宋体" w:hAnsi="宋体" w:cs="宋体"/>
                <w:bCs/>
                <w:color w:val="000000"/>
                <w:szCs w:val="21"/>
              </w:rPr>
              <w:t>2、在不同场景下区分“高”、“中”、“低”三种风险等级，平台需提供对应匹配的异常用户行为检测推荐规则，并允许管理员自定义编辑</w:t>
            </w:r>
            <w:r>
              <w:rPr>
                <w:rFonts w:hint="eastAsia" w:ascii="宋体" w:hAnsi="宋体" w:cs="宋体"/>
                <w:bCs/>
                <w:color w:val="000000"/>
                <w:szCs w:val="21"/>
              </w:rPr>
              <w:br w:type="textWrapping"/>
            </w:r>
            <w:r>
              <w:rPr>
                <w:rFonts w:hint="eastAsia" w:ascii="宋体" w:hAnsi="宋体" w:cs="宋体"/>
                <w:bCs/>
                <w:color w:val="000000"/>
                <w:szCs w:val="21"/>
              </w:rPr>
              <w:t>（以上能力要求提供产品功能界面截图，保留中标后现场验证权利）</w:t>
            </w:r>
          </w:p>
        </w:tc>
      </w:tr>
      <w:tr w14:paraId="0A94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74DE1C59">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32EB1CB">
            <w:pPr>
              <w:spacing w:line="360" w:lineRule="auto"/>
              <w:ind w:firstLine="420" w:firstLineChars="200"/>
              <w:contextualSpacing/>
              <w:rPr>
                <w:rFonts w:hint="eastAsia" w:ascii="宋体" w:hAnsi="宋体" w:cs="宋体"/>
                <w:bCs/>
                <w:color w:val="000000"/>
                <w:szCs w:val="21"/>
              </w:rPr>
            </w:pPr>
            <w:r>
              <w:rPr>
                <w:rFonts w:hint="eastAsia" w:ascii="宋体" w:hAnsi="宋体" w:cs="宋体"/>
                <w:bCs/>
                <w:color w:val="000000"/>
                <w:szCs w:val="21"/>
              </w:rPr>
              <w:t>账号安全策略</w:t>
            </w:r>
          </w:p>
        </w:tc>
        <w:tc>
          <w:tcPr>
            <w:tcW w:w="6063" w:type="dxa"/>
            <w:noWrap w:val="0"/>
            <w:vAlign w:val="center"/>
          </w:tcPr>
          <w:p w14:paraId="2F9FFA18">
            <w:pPr>
              <w:spacing w:line="360" w:lineRule="auto"/>
              <w:contextualSpacing/>
              <w:rPr>
                <w:rFonts w:hint="eastAsia" w:ascii="宋体" w:hAnsi="宋体" w:cs="宋体"/>
                <w:bCs/>
                <w:color w:val="000000"/>
                <w:szCs w:val="21"/>
              </w:rPr>
            </w:pPr>
            <w:r>
              <w:rPr>
                <w:rFonts w:hint="eastAsia" w:ascii="宋体" w:hAnsi="宋体" w:cs="宋体"/>
                <w:bCs/>
                <w:color w:val="000000"/>
                <w:szCs w:val="21"/>
              </w:rPr>
              <w:t>1、账户在线会话时长上限配置（支持内外网分别设置）</w:t>
            </w:r>
            <w:r>
              <w:rPr>
                <w:rFonts w:hint="eastAsia" w:ascii="宋体" w:hAnsi="宋体" w:cs="宋体"/>
                <w:bCs/>
                <w:color w:val="000000"/>
                <w:szCs w:val="21"/>
              </w:rPr>
              <w:br w:type="textWrapping"/>
            </w:r>
            <w:r>
              <w:rPr>
                <w:rFonts w:hint="eastAsia" w:ascii="宋体" w:hAnsi="宋体" w:cs="宋体"/>
                <w:bCs/>
                <w:color w:val="000000"/>
                <w:szCs w:val="21"/>
              </w:rPr>
              <w:t>2、终端重启后自动登录（支持内外网分别设置）</w:t>
            </w:r>
            <w:r>
              <w:rPr>
                <w:rFonts w:hint="eastAsia" w:ascii="宋体" w:hAnsi="宋体" w:cs="宋体"/>
                <w:bCs/>
                <w:color w:val="000000"/>
                <w:szCs w:val="21"/>
              </w:rPr>
              <w:br w:type="textWrapping"/>
            </w:r>
            <w:r>
              <w:rPr>
                <w:rFonts w:hint="eastAsia" w:ascii="宋体" w:hAnsi="宋体" w:cs="宋体"/>
                <w:bCs/>
                <w:color w:val="000000"/>
                <w:szCs w:val="21"/>
              </w:rPr>
              <w:t>3、PC端锁屏超过XX分钟后自动注销账户（支持内外网分别设置）</w:t>
            </w:r>
            <w:r>
              <w:rPr>
                <w:rFonts w:hint="eastAsia" w:ascii="宋体" w:hAnsi="宋体" w:cs="宋体"/>
                <w:bCs/>
                <w:color w:val="000000"/>
                <w:szCs w:val="21"/>
              </w:rPr>
              <w:br w:type="textWrapping"/>
            </w:r>
            <w:r>
              <w:rPr>
                <w:rFonts w:hint="eastAsia" w:ascii="宋体" w:hAnsi="宋体" w:cs="宋体"/>
                <w:bCs/>
                <w:color w:val="000000"/>
                <w:szCs w:val="21"/>
              </w:rPr>
              <w:t>4、支持账号绑定设备数量设置</w:t>
            </w:r>
          </w:p>
        </w:tc>
      </w:tr>
      <w:tr w14:paraId="6970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vMerge w:val="restart"/>
            <w:noWrap w:val="0"/>
            <w:vAlign w:val="center"/>
          </w:tcPr>
          <w:p w14:paraId="71B55FCF">
            <w:pPr>
              <w:spacing w:line="360" w:lineRule="auto"/>
              <w:contextualSpacing/>
              <w:rPr>
                <w:rFonts w:hint="eastAsia" w:ascii="宋体" w:hAnsi="宋体" w:cs="宋体"/>
                <w:bCs/>
                <w:color w:val="000000"/>
                <w:szCs w:val="21"/>
              </w:rPr>
            </w:pPr>
            <w:r>
              <w:rPr>
                <w:rFonts w:hint="eastAsia" w:ascii="宋体" w:hAnsi="宋体" w:cs="宋体"/>
                <w:bCs/>
                <w:color w:val="000000"/>
                <w:szCs w:val="21"/>
              </w:rPr>
              <w:t>个性化配置</w:t>
            </w:r>
          </w:p>
        </w:tc>
        <w:tc>
          <w:tcPr>
            <w:tcW w:w="1886" w:type="dxa"/>
            <w:noWrap w:val="0"/>
            <w:vAlign w:val="center"/>
          </w:tcPr>
          <w:p w14:paraId="1020F03E">
            <w:pPr>
              <w:spacing w:line="360" w:lineRule="auto"/>
              <w:contextualSpacing/>
              <w:rPr>
                <w:rFonts w:hint="eastAsia" w:ascii="宋体" w:hAnsi="宋体" w:cs="宋体"/>
                <w:bCs/>
                <w:color w:val="000000"/>
                <w:szCs w:val="21"/>
              </w:rPr>
            </w:pPr>
            <w:r>
              <w:rPr>
                <w:rFonts w:hint="eastAsia" w:ascii="宋体" w:hAnsi="宋体" w:cs="宋体"/>
                <w:bCs/>
                <w:color w:val="000000"/>
                <w:szCs w:val="21"/>
              </w:rPr>
              <w:t>客户端首页配置</w:t>
            </w:r>
          </w:p>
        </w:tc>
        <w:tc>
          <w:tcPr>
            <w:tcW w:w="6063" w:type="dxa"/>
            <w:noWrap w:val="0"/>
            <w:vAlign w:val="center"/>
          </w:tcPr>
          <w:p w14:paraId="6608A2FE">
            <w:pPr>
              <w:spacing w:line="360" w:lineRule="auto"/>
              <w:contextualSpacing/>
              <w:rPr>
                <w:rFonts w:hint="eastAsia" w:ascii="宋体" w:hAnsi="宋体" w:cs="宋体"/>
                <w:bCs/>
                <w:color w:val="000000"/>
                <w:szCs w:val="21"/>
              </w:rPr>
            </w:pPr>
            <w:r>
              <w:rPr>
                <w:rFonts w:hint="eastAsia" w:ascii="宋体" w:hAnsi="宋体" w:cs="宋体"/>
                <w:bCs/>
                <w:color w:val="000000"/>
                <w:szCs w:val="21"/>
              </w:rPr>
              <w:t>可统一管理常用办公工具（应用/URL），支持针对全网用户下发常用工具清单，集成企业常用工具入口，提供系统url/应用快捷方式。支持业务资源快捷访问下发至客户端。支持公告新增、内容编辑和下发至客户端。支持设置客户端登录前和登录后的展示文案。支持设置客户端登录前和登录后的展示文案</w:t>
            </w:r>
          </w:p>
        </w:tc>
      </w:tr>
      <w:tr w14:paraId="67A0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0D4F6ADC">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1D7E9035">
            <w:pPr>
              <w:spacing w:line="360" w:lineRule="auto"/>
              <w:contextualSpacing/>
              <w:rPr>
                <w:rFonts w:hint="eastAsia" w:ascii="宋体" w:hAnsi="宋体" w:cs="宋体"/>
                <w:bCs/>
                <w:color w:val="000000"/>
                <w:szCs w:val="21"/>
              </w:rPr>
            </w:pPr>
            <w:r>
              <w:rPr>
                <w:rFonts w:hint="eastAsia" w:ascii="宋体" w:hAnsi="宋体" w:cs="宋体"/>
                <w:bCs/>
                <w:color w:val="000000"/>
                <w:szCs w:val="21"/>
              </w:rPr>
              <w:t>自定义品牌设置</w:t>
            </w:r>
          </w:p>
        </w:tc>
        <w:tc>
          <w:tcPr>
            <w:tcW w:w="6063" w:type="dxa"/>
            <w:noWrap w:val="0"/>
            <w:vAlign w:val="center"/>
          </w:tcPr>
          <w:p w14:paraId="10087C3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支持控制台和客户端的个性化品牌名和Logo设置</w:t>
            </w:r>
          </w:p>
        </w:tc>
      </w:tr>
      <w:tr w14:paraId="5922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235B0D37">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78EE619">
            <w:pPr>
              <w:spacing w:line="360" w:lineRule="auto"/>
              <w:contextualSpacing/>
              <w:rPr>
                <w:rFonts w:hint="eastAsia" w:ascii="宋体" w:hAnsi="宋体" w:cs="宋体"/>
                <w:bCs/>
                <w:color w:val="000000"/>
                <w:szCs w:val="21"/>
              </w:rPr>
            </w:pPr>
            <w:r>
              <w:rPr>
                <w:rFonts w:hint="eastAsia" w:ascii="宋体" w:hAnsi="宋体" w:cs="宋体"/>
                <w:bCs/>
                <w:color w:val="000000"/>
                <w:szCs w:val="21"/>
              </w:rPr>
              <w:t>客户端其他配置</w:t>
            </w:r>
          </w:p>
        </w:tc>
        <w:tc>
          <w:tcPr>
            <w:tcW w:w="6063" w:type="dxa"/>
            <w:noWrap w:val="0"/>
            <w:vAlign w:val="center"/>
          </w:tcPr>
          <w:p w14:paraId="6A16393D">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支持客户端自定义服务条款、自定义创建图标和自定义显示托盘态</w:t>
            </w:r>
          </w:p>
        </w:tc>
      </w:tr>
      <w:tr w14:paraId="218C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59" w:type="dxa"/>
            <w:vMerge w:val="continue"/>
            <w:noWrap w:val="0"/>
            <w:vAlign w:val="center"/>
          </w:tcPr>
          <w:p w14:paraId="53C6E93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51D8F9A8">
            <w:pPr>
              <w:spacing w:line="360" w:lineRule="auto"/>
              <w:contextualSpacing/>
              <w:rPr>
                <w:rFonts w:hint="eastAsia" w:ascii="宋体" w:hAnsi="宋体" w:cs="宋体"/>
                <w:bCs/>
                <w:color w:val="000000"/>
                <w:szCs w:val="21"/>
              </w:rPr>
            </w:pPr>
            <w:r>
              <w:rPr>
                <w:rFonts w:hint="eastAsia" w:ascii="宋体" w:hAnsi="宋体" w:cs="宋体"/>
                <w:bCs/>
                <w:color w:val="000000"/>
                <w:szCs w:val="21"/>
              </w:rPr>
              <w:t>★电脑工具</w:t>
            </w:r>
          </w:p>
        </w:tc>
        <w:tc>
          <w:tcPr>
            <w:tcW w:w="6063" w:type="dxa"/>
            <w:noWrap w:val="0"/>
            <w:vAlign w:val="center"/>
          </w:tcPr>
          <w:p w14:paraId="6880B86A">
            <w:pPr>
              <w:spacing w:line="360" w:lineRule="auto"/>
              <w:contextualSpacing/>
              <w:rPr>
                <w:rFonts w:hint="eastAsia" w:ascii="宋体" w:hAnsi="宋体" w:cs="宋体"/>
                <w:bCs/>
                <w:color w:val="000000"/>
                <w:szCs w:val="21"/>
              </w:rPr>
            </w:pPr>
            <w:r>
              <w:rPr>
                <w:rFonts w:hint="eastAsia" w:ascii="宋体" w:hAnsi="宋体" w:cs="宋体"/>
                <w:bCs/>
                <w:color w:val="000000"/>
                <w:szCs w:val="21"/>
              </w:rPr>
              <w:t>为确保用户使用便利性，要求支持多种电脑小工具，包含垃圾清理、弹窗拦截、启动项管理等功能；（提供产品配置界面截图，保留中标后现场验证权利）</w:t>
            </w:r>
          </w:p>
        </w:tc>
      </w:tr>
      <w:tr w14:paraId="77D2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12AA5AB7">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77B2048D">
            <w:pPr>
              <w:spacing w:line="360" w:lineRule="auto"/>
              <w:contextualSpacing/>
              <w:rPr>
                <w:rFonts w:hint="eastAsia" w:ascii="宋体" w:hAnsi="宋体" w:cs="宋体"/>
                <w:bCs/>
                <w:color w:val="000000"/>
                <w:szCs w:val="21"/>
              </w:rPr>
            </w:pPr>
            <w:r>
              <w:rPr>
                <w:rFonts w:hint="eastAsia" w:ascii="宋体" w:hAnsi="宋体" w:cs="宋体"/>
                <w:bCs/>
                <w:color w:val="000000"/>
                <w:szCs w:val="21"/>
              </w:rPr>
              <w:t>特权模式</w:t>
            </w:r>
          </w:p>
        </w:tc>
        <w:tc>
          <w:tcPr>
            <w:tcW w:w="6063" w:type="dxa"/>
            <w:noWrap w:val="0"/>
            <w:vAlign w:val="center"/>
          </w:tcPr>
          <w:p w14:paraId="7101C964">
            <w:pPr>
              <w:spacing w:line="360" w:lineRule="auto"/>
              <w:contextualSpacing/>
              <w:rPr>
                <w:rFonts w:hint="eastAsia" w:ascii="宋体" w:hAnsi="宋体" w:cs="宋体"/>
                <w:bCs/>
                <w:color w:val="000000"/>
                <w:szCs w:val="21"/>
              </w:rPr>
            </w:pPr>
            <w:r>
              <w:rPr>
                <w:rFonts w:hint="eastAsia" w:ascii="宋体" w:hAnsi="宋体" w:cs="宋体"/>
                <w:bCs/>
                <w:color w:val="000000"/>
                <w:szCs w:val="21"/>
              </w:rPr>
              <w:t>进入特权模式后，所有终端的客户端策略失效，用于技术人员深度排障</w:t>
            </w:r>
          </w:p>
        </w:tc>
      </w:tr>
      <w:tr w14:paraId="7860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959" w:type="dxa"/>
            <w:vMerge w:val="restart"/>
            <w:noWrap/>
            <w:vAlign w:val="center"/>
          </w:tcPr>
          <w:p w14:paraId="64694294">
            <w:pPr>
              <w:spacing w:line="360" w:lineRule="auto"/>
              <w:contextualSpacing/>
              <w:rPr>
                <w:rFonts w:hint="eastAsia" w:ascii="宋体" w:hAnsi="宋体" w:cs="宋体"/>
                <w:bCs/>
                <w:color w:val="000000"/>
                <w:szCs w:val="21"/>
              </w:rPr>
            </w:pPr>
            <w:r>
              <w:rPr>
                <w:rFonts w:hint="eastAsia" w:ascii="宋体" w:hAnsi="宋体" w:cs="宋体"/>
                <w:bCs/>
                <w:color w:val="000000"/>
                <w:szCs w:val="21"/>
              </w:rPr>
              <w:t>网络安全</w:t>
            </w:r>
          </w:p>
        </w:tc>
        <w:tc>
          <w:tcPr>
            <w:tcW w:w="1886" w:type="dxa"/>
            <w:noWrap w:val="0"/>
            <w:vAlign w:val="center"/>
          </w:tcPr>
          <w:p w14:paraId="01B5D212">
            <w:pPr>
              <w:spacing w:line="360" w:lineRule="auto"/>
              <w:contextualSpacing/>
              <w:rPr>
                <w:rFonts w:hint="eastAsia" w:ascii="宋体" w:hAnsi="宋体" w:cs="宋体"/>
                <w:bCs/>
                <w:color w:val="000000"/>
                <w:szCs w:val="21"/>
              </w:rPr>
            </w:pPr>
            <w:r>
              <w:rPr>
                <w:rFonts w:hint="eastAsia" w:ascii="宋体" w:hAnsi="宋体" w:cs="宋体"/>
                <w:bCs/>
                <w:color w:val="000000"/>
                <w:szCs w:val="21"/>
              </w:rPr>
              <w:t>★服务隐藏</w:t>
            </w:r>
          </w:p>
        </w:tc>
        <w:tc>
          <w:tcPr>
            <w:tcW w:w="6063" w:type="dxa"/>
            <w:noWrap w:val="0"/>
            <w:vAlign w:val="center"/>
          </w:tcPr>
          <w:p w14:paraId="3B4EC6D9">
            <w:pPr>
              <w:spacing w:line="360" w:lineRule="auto"/>
              <w:contextualSpacing/>
              <w:rPr>
                <w:rFonts w:hint="eastAsia" w:ascii="宋体" w:hAnsi="宋体" w:cs="宋体"/>
                <w:bCs/>
                <w:color w:val="000000"/>
                <w:szCs w:val="21"/>
              </w:rPr>
            </w:pPr>
            <w:r>
              <w:rPr>
                <w:rFonts w:hint="eastAsia" w:ascii="宋体" w:hAnsi="宋体" w:cs="宋体"/>
                <w:bCs/>
                <w:color w:val="000000"/>
                <w:szCs w:val="21"/>
              </w:rPr>
              <w:t>为保障系统对外安全性，确保只有安全的客户端才能访问服务，要求支持SPA服务隐藏能力，支持控制平面和数据转发平面的全量隐身，SPA敲门包至少支持TCP、UDP、ICMP、DTLS等4种协议。（提供产品配置界面截图，保留中标后现场验证权利）</w:t>
            </w:r>
          </w:p>
        </w:tc>
      </w:tr>
      <w:tr w14:paraId="4DBA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ign w:val="center"/>
          </w:tcPr>
          <w:p w14:paraId="31EE8D1C">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5F7959A8">
            <w:pPr>
              <w:spacing w:line="360" w:lineRule="auto"/>
              <w:contextualSpacing/>
              <w:rPr>
                <w:rFonts w:hint="eastAsia" w:ascii="宋体" w:hAnsi="宋体" w:cs="宋体"/>
                <w:bCs/>
                <w:color w:val="000000"/>
                <w:szCs w:val="21"/>
              </w:rPr>
            </w:pPr>
            <w:r>
              <w:rPr>
                <w:rFonts w:hint="eastAsia" w:ascii="宋体" w:hAnsi="宋体" w:cs="宋体"/>
                <w:bCs/>
                <w:color w:val="000000"/>
                <w:szCs w:val="21"/>
              </w:rPr>
              <w:t>白名单列表</w:t>
            </w:r>
          </w:p>
        </w:tc>
        <w:tc>
          <w:tcPr>
            <w:tcW w:w="6063" w:type="dxa"/>
            <w:noWrap w:val="0"/>
            <w:vAlign w:val="center"/>
          </w:tcPr>
          <w:p w14:paraId="401F95D2">
            <w:pPr>
              <w:spacing w:line="360" w:lineRule="auto"/>
              <w:contextualSpacing/>
              <w:rPr>
                <w:rFonts w:hint="eastAsia" w:ascii="宋体" w:hAnsi="宋体" w:cs="宋体"/>
                <w:bCs/>
                <w:color w:val="000000"/>
                <w:szCs w:val="21"/>
              </w:rPr>
            </w:pPr>
            <w:r>
              <w:rPr>
                <w:rFonts w:hint="eastAsia" w:ascii="宋体" w:hAnsi="宋体" w:cs="宋体"/>
                <w:bCs/>
                <w:color w:val="000000"/>
                <w:szCs w:val="21"/>
              </w:rPr>
              <w:t>为确保便利性，支持配置接入ip/ip段白名单，白名单内请求无需单包认证直接通过。</w:t>
            </w:r>
          </w:p>
        </w:tc>
      </w:tr>
      <w:tr w14:paraId="3FB7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ign w:val="center"/>
          </w:tcPr>
          <w:p w14:paraId="5550FEE4">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433486AD">
            <w:pPr>
              <w:spacing w:line="360" w:lineRule="auto"/>
              <w:contextualSpacing/>
              <w:rPr>
                <w:rFonts w:hint="eastAsia" w:ascii="宋体" w:hAnsi="宋体" w:cs="宋体"/>
                <w:bCs/>
                <w:color w:val="000000"/>
                <w:szCs w:val="21"/>
              </w:rPr>
            </w:pPr>
            <w:r>
              <w:rPr>
                <w:rFonts w:hint="eastAsia" w:ascii="宋体" w:hAnsi="宋体" w:cs="宋体"/>
                <w:bCs/>
                <w:color w:val="000000"/>
                <w:szCs w:val="21"/>
              </w:rPr>
              <w:t>访问行为列表</w:t>
            </w:r>
          </w:p>
        </w:tc>
        <w:tc>
          <w:tcPr>
            <w:tcW w:w="6063" w:type="dxa"/>
            <w:noWrap w:val="0"/>
            <w:vAlign w:val="center"/>
          </w:tcPr>
          <w:p w14:paraId="5C4D7BE1">
            <w:pPr>
              <w:spacing w:line="360" w:lineRule="auto"/>
              <w:contextualSpacing/>
              <w:rPr>
                <w:rFonts w:hint="eastAsia" w:ascii="宋体" w:hAnsi="宋体" w:cs="宋体"/>
                <w:bCs/>
                <w:color w:val="000000"/>
                <w:szCs w:val="21"/>
              </w:rPr>
            </w:pPr>
            <w:r>
              <w:rPr>
                <w:rFonts w:hint="eastAsia" w:ascii="宋体" w:hAnsi="宋体" w:cs="宋体"/>
                <w:bCs/>
                <w:color w:val="000000"/>
                <w:szCs w:val="21"/>
              </w:rPr>
              <w:t>为更好展示外部接入安全状态，要求支持将SPA敲门结果分为审计类、阻断类、白名单类并可视化列表展示。</w:t>
            </w:r>
          </w:p>
        </w:tc>
      </w:tr>
      <w:tr w14:paraId="6832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9" w:type="dxa"/>
            <w:vMerge w:val="restart"/>
            <w:noWrap w:val="0"/>
            <w:vAlign w:val="center"/>
          </w:tcPr>
          <w:p w14:paraId="7F2DA1F4">
            <w:pPr>
              <w:spacing w:line="360" w:lineRule="auto"/>
              <w:contextualSpacing/>
              <w:rPr>
                <w:rFonts w:hint="eastAsia" w:ascii="宋体" w:hAnsi="宋体" w:cs="宋体"/>
                <w:bCs/>
                <w:color w:val="000000"/>
                <w:szCs w:val="21"/>
              </w:rPr>
            </w:pPr>
            <w:r>
              <w:rPr>
                <w:rFonts w:hint="eastAsia" w:ascii="宋体" w:hAnsi="宋体" w:cs="宋体"/>
                <w:bCs/>
                <w:color w:val="000000"/>
                <w:szCs w:val="21"/>
              </w:rPr>
              <w:t>安全接入资源</w:t>
            </w:r>
          </w:p>
        </w:tc>
        <w:tc>
          <w:tcPr>
            <w:tcW w:w="1886" w:type="dxa"/>
            <w:vMerge w:val="restart"/>
            <w:noWrap w:val="0"/>
            <w:vAlign w:val="center"/>
          </w:tcPr>
          <w:p w14:paraId="2149A3D1">
            <w:pPr>
              <w:spacing w:line="360" w:lineRule="auto"/>
              <w:contextualSpacing/>
              <w:rPr>
                <w:rFonts w:hint="eastAsia" w:ascii="宋体" w:hAnsi="宋体" w:cs="宋体"/>
                <w:bCs/>
                <w:color w:val="000000"/>
                <w:szCs w:val="21"/>
              </w:rPr>
            </w:pPr>
            <w:r>
              <w:rPr>
                <w:rFonts w:hint="eastAsia" w:ascii="宋体" w:hAnsi="宋体" w:cs="宋体"/>
                <w:bCs/>
                <w:color w:val="000000"/>
                <w:szCs w:val="21"/>
              </w:rPr>
              <w:t>资源管理</w:t>
            </w:r>
          </w:p>
        </w:tc>
        <w:tc>
          <w:tcPr>
            <w:tcW w:w="6063" w:type="dxa"/>
            <w:noWrap w:val="0"/>
            <w:vAlign w:val="center"/>
          </w:tcPr>
          <w:p w14:paraId="4691AD3A">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支持全流量协议包括TCP/UDP/ICMP等。</w:t>
            </w:r>
          </w:p>
        </w:tc>
      </w:tr>
      <w:tr w14:paraId="4ED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E57B812">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5D12D703">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45F4AFB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支持资源的增删查改；支持资源/资源组的多级关联信息一键导入。</w:t>
            </w:r>
          </w:p>
        </w:tc>
      </w:tr>
      <w:tr w14:paraId="476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3F3C1BA8">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2471DB71">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3375281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支持资源组管理</w:t>
            </w:r>
          </w:p>
        </w:tc>
      </w:tr>
      <w:tr w14:paraId="6F05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2B0AB396">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0F845F7E">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0C996A20">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支持添加IP、IP段、域名等资源，支持泛域名，支持指定端口或全端口开放，支持内网直连开关。支持TCP和UDP协议。支持针对业务系统做网关的设置，网关访问优先级排序和说明，支持网关优先级冲突检测。</w:t>
            </w:r>
          </w:p>
        </w:tc>
      </w:tr>
      <w:tr w14:paraId="5787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CDE5A78">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4E7925F3">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2165528E">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支持直连白名单的配置。访问覆盖网段将经由精准路由访问，不走代理。</w:t>
            </w:r>
          </w:p>
        </w:tc>
      </w:tr>
      <w:tr w14:paraId="704F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03344F8E">
            <w:pPr>
              <w:spacing w:line="360" w:lineRule="auto"/>
              <w:ind w:firstLine="420" w:firstLineChars="200"/>
              <w:contextualSpacing/>
              <w:rPr>
                <w:rFonts w:hint="eastAsia" w:ascii="宋体" w:hAnsi="宋体" w:cs="宋体"/>
                <w:bCs/>
                <w:color w:val="000000"/>
                <w:szCs w:val="21"/>
              </w:rPr>
            </w:pPr>
          </w:p>
        </w:tc>
        <w:tc>
          <w:tcPr>
            <w:tcW w:w="1886" w:type="dxa"/>
            <w:vMerge w:val="restart"/>
            <w:noWrap w:val="0"/>
            <w:vAlign w:val="center"/>
          </w:tcPr>
          <w:p w14:paraId="0AE20E4F">
            <w:pPr>
              <w:spacing w:line="360" w:lineRule="auto"/>
              <w:contextualSpacing/>
              <w:rPr>
                <w:rFonts w:hint="eastAsia" w:ascii="宋体" w:hAnsi="宋体" w:cs="宋体"/>
                <w:bCs/>
                <w:color w:val="000000"/>
                <w:szCs w:val="21"/>
              </w:rPr>
            </w:pPr>
            <w:r>
              <w:rPr>
                <w:rFonts w:hint="eastAsia" w:ascii="宋体" w:hAnsi="宋体" w:cs="宋体"/>
                <w:bCs/>
                <w:color w:val="000000"/>
                <w:szCs w:val="21"/>
              </w:rPr>
              <w:t>策略管理</w:t>
            </w:r>
          </w:p>
        </w:tc>
        <w:tc>
          <w:tcPr>
            <w:tcW w:w="6063" w:type="dxa"/>
            <w:noWrap w:val="0"/>
            <w:vAlign w:val="center"/>
          </w:tcPr>
          <w:p w14:paraId="33633F28">
            <w:pPr>
              <w:spacing w:line="360" w:lineRule="auto"/>
              <w:contextualSpacing/>
              <w:rPr>
                <w:rFonts w:hint="eastAsia" w:ascii="宋体" w:hAnsi="宋体" w:cs="宋体"/>
                <w:bCs/>
                <w:color w:val="000000"/>
                <w:szCs w:val="21"/>
              </w:rPr>
            </w:pPr>
            <w:r>
              <w:rPr>
                <w:rFonts w:hint="eastAsia" w:ascii="宋体" w:hAnsi="宋体" w:cs="宋体"/>
                <w:bCs/>
                <w:color w:val="000000"/>
                <w:szCs w:val="21"/>
              </w:rPr>
              <w:t>针对用户/用户组设置资源访问策略，确保用户在接入系统后按职能访问到被授权的应用，非授权的应用完全不可见，做到最小授权的需求。</w:t>
            </w:r>
          </w:p>
        </w:tc>
      </w:tr>
      <w:tr w14:paraId="033B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59" w:type="dxa"/>
            <w:vMerge w:val="continue"/>
            <w:noWrap w:val="0"/>
            <w:vAlign w:val="center"/>
          </w:tcPr>
          <w:p w14:paraId="49EC1AFD">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51AD4296">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622DBF1D">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支持针对终端类型、可信应用进行资源的访问控制，确保最小授权原则。</w:t>
            </w:r>
          </w:p>
        </w:tc>
      </w:tr>
      <w:tr w14:paraId="3D76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1A2413D2">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4C91D54A">
            <w:pPr>
              <w:spacing w:line="360" w:lineRule="auto"/>
              <w:contextualSpacing/>
              <w:rPr>
                <w:rFonts w:hint="eastAsia" w:ascii="宋体" w:hAnsi="宋体" w:cs="宋体"/>
                <w:bCs/>
                <w:color w:val="000000"/>
                <w:szCs w:val="21"/>
              </w:rPr>
            </w:pPr>
            <w:r>
              <w:rPr>
                <w:rFonts w:hint="eastAsia" w:ascii="宋体" w:hAnsi="宋体" w:cs="宋体"/>
                <w:bCs/>
                <w:color w:val="000000"/>
                <w:szCs w:val="21"/>
              </w:rPr>
              <w:t>链路安全</w:t>
            </w:r>
          </w:p>
        </w:tc>
        <w:tc>
          <w:tcPr>
            <w:tcW w:w="6063" w:type="dxa"/>
            <w:noWrap w:val="0"/>
            <w:vAlign w:val="center"/>
          </w:tcPr>
          <w:p w14:paraId="35395B9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支持传输安全方面采用TLS加密认证传输模式，以此来提升网络传输安全性。</w:t>
            </w:r>
          </w:p>
        </w:tc>
      </w:tr>
      <w:tr w14:paraId="194C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A6358ED">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12359B57">
            <w:pPr>
              <w:spacing w:line="360" w:lineRule="auto"/>
              <w:contextualSpacing/>
              <w:rPr>
                <w:rFonts w:hint="eastAsia" w:ascii="宋体" w:hAnsi="宋体" w:cs="宋体"/>
                <w:bCs/>
                <w:color w:val="000000"/>
                <w:szCs w:val="21"/>
              </w:rPr>
            </w:pPr>
            <w:r>
              <w:rPr>
                <w:rFonts w:hint="eastAsia" w:ascii="宋体" w:hAnsi="宋体" w:cs="宋体"/>
                <w:bCs/>
                <w:color w:val="000000"/>
                <w:szCs w:val="21"/>
              </w:rPr>
              <w:t>访问审计</w:t>
            </w:r>
          </w:p>
        </w:tc>
        <w:tc>
          <w:tcPr>
            <w:tcW w:w="6063" w:type="dxa"/>
            <w:noWrap w:val="0"/>
            <w:vAlign w:val="center"/>
          </w:tcPr>
          <w:p w14:paraId="29110C9D">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支持从人-&gt;设备-&gt;资源访问的全行为审计</w:t>
            </w:r>
          </w:p>
        </w:tc>
      </w:tr>
      <w:tr w14:paraId="3B45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3E426E9F">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7A635A46">
            <w:pPr>
              <w:spacing w:line="360" w:lineRule="auto"/>
              <w:contextualSpacing/>
              <w:rPr>
                <w:rFonts w:hint="eastAsia" w:ascii="宋体" w:hAnsi="宋体" w:cs="宋体"/>
                <w:bCs/>
                <w:color w:val="000000"/>
                <w:szCs w:val="21"/>
              </w:rPr>
            </w:pPr>
            <w:r>
              <w:rPr>
                <w:rFonts w:hint="eastAsia" w:ascii="宋体" w:hAnsi="宋体" w:cs="宋体"/>
                <w:bCs/>
                <w:color w:val="000000"/>
                <w:szCs w:val="21"/>
              </w:rPr>
              <w:t>★权限治理-最小化按需模型推荐</w:t>
            </w:r>
          </w:p>
        </w:tc>
        <w:tc>
          <w:tcPr>
            <w:tcW w:w="6063" w:type="dxa"/>
            <w:noWrap w:val="0"/>
            <w:vAlign w:val="center"/>
          </w:tcPr>
          <w:p w14:paraId="00940ADB">
            <w:pPr>
              <w:spacing w:line="360" w:lineRule="auto"/>
              <w:contextualSpacing/>
              <w:rPr>
                <w:rFonts w:hint="eastAsia" w:ascii="宋体" w:hAnsi="宋体" w:cs="宋体"/>
                <w:bCs/>
                <w:color w:val="000000"/>
                <w:szCs w:val="21"/>
              </w:rPr>
            </w:pPr>
            <w:r>
              <w:rPr>
                <w:rFonts w:hint="eastAsia" w:ascii="宋体" w:hAnsi="宋体" w:cs="宋体"/>
                <w:bCs/>
                <w:color w:val="000000"/>
                <w:szCs w:val="21"/>
              </w:rPr>
              <w:t>为更好地提升管理员对业务资源访问权限的管理水平和维护效率，平台应支持：</w:t>
            </w:r>
            <w:r>
              <w:rPr>
                <w:rFonts w:hint="eastAsia" w:ascii="宋体" w:hAnsi="宋体" w:cs="宋体"/>
                <w:bCs/>
                <w:color w:val="000000"/>
                <w:szCs w:val="21"/>
              </w:rPr>
              <w:br w:type="textWrapping"/>
            </w:r>
            <w:r>
              <w:rPr>
                <w:rFonts w:hint="eastAsia" w:ascii="宋体" w:hAnsi="宋体" w:cs="宋体"/>
                <w:bCs/>
                <w:color w:val="000000"/>
                <w:szCs w:val="21"/>
              </w:rPr>
              <w:t>1、支持对授权模型进行评分，评分维度需要至少包括“用户体验”与“授权安全”两个维度；</w:t>
            </w:r>
            <w:r>
              <w:rPr>
                <w:rFonts w:hint="eastAsia" w:ascii="宋体" w:hAnsi="宋体" w:cs="宋体"/>
                <w:bCs/>
                <w:color w:val="000000"/>
                <w:szCs w:val="21"/>
              </w:rPr>
              <w:br w:type="textWrapping"/>
            </w:r>
            <w:r>
              <w:rPr>
                <w:rFonts w:hint="eastAsia" w:ascii="宋体" w:hAnsi="宋体" w:cs="宋体"/>
                <w:bCs/>
                <w:color w:val="000000"/>
                <w:szCs w:val="21"/>
              </w:rPr>
              <w:t>2、支持基于全网访问行为学习的结果，推荐最优的授权模型组合；</w:t>
            </w:r>
            <w:r>
              <w:rPr>
                <w:rFonts w:hint="eastAsia" w:ascii="宋体" w:hAnsi="宋体" w:cs="宋体"/>
                <w:bCs/>
                <w:color w:val="000000"/>
                <w:szCs w:val="21"/>
              </w:rPr>
              <w:br w:type="textWrapping"/>
            </w:r>
            <w:r>
              <w:rPr>
                <w:rFonts w:hint="eastAsia" w:ascii="宋体" w:hAnsi="宋体" w:cs="宋体"/>
                <w:bCs/>
                <w:color w:val="000000"/>
                <w:szCs w:val="21"/>
              </w:rPr>
              <w:t>（以上功能要求提供产品配置界面截图，保留中标后现场验证权利）</w:t>
            </w:r>
          </w:p>
        </w:tc>
      </w:tr>
      <w:tr w14:paraId="1777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959" w:type="dxa"/>
            <w:vMerge w:val="continue"/>
            <w:noWrap w:val="0"/>
            <w:vAlign w:val="center"/>
          </w:tcPr>
          <w:p w14:paraId="658E9886">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DFBD4DD">
            <w:pPr>
              <w:spacing w:line="360" w:lineRule="auto"/>
              <w:contextualSpacing/>
              <w:rPr>
                <w:rFonts w:hint="eastAsia" w:ascii="宋体" w:hAnsi="宋体" w:cs="宋体"/>
                <w:bCs/>
                <w:color w:val="000000"/>
                <w:szCs w:val="21"/>
              </w:rPr>
            </w:pPr>
            <w:r>
              <w:rPr>
                <w:rFonts w:hint="eastAsia" w:ascii="宋体" w:hAnsi="宋体" w:cs="宋体"/>
                <w:bCs/>
                <w:color w:val="000000"/>
                <w:szCs w:val="21"/>
              </w:rPr>
              <w:t>★权限治理-僵尸权限回收</w:t>
            </w:r>
          </w:p>
        </w:tc>
        <w:tc>
          <w:tcPr>
            <w:tcW w:w="6063" w:type="dxa"/>
            <w:noWrap w:val="0"/>
            <w:vAlign w:val="center"/>
          </w:tcPr>
          <w:p w14:paraId="48DAC5EA">
            <w:pPr>
              <w:spacing w:line="360" w:lineRule="auto"/>
              <w:contextualSpacing/>
              <w:rPr>
                <w:rFonts w:hint="eastAsia" w:ascii="宋体" w:hAnsi="宋体" w:cs="宋体"/>
                <w:bCs/>
                <w:color w:val="000000"/>
                <w:szCs w:val="21"/>
              </w:rPr>
            </w:pPr>
            <w:r>
              <w:rPr>
                <w:rFonts w:hint="eastAsia" w:ascii="宋体" w:hAnsi="宋体" w:cs="宋体"/>
                <w:bCs/>
                <w:color w:val="000000"/>
                <w:szCs w:val="21"/>
              </w:rPr>
              <w:t>为避免系统长时间运行后出现权限腐化和僵尸权限的问题，平台应支持：</w:t>
            </w:r>
            <w:r>
              <w:rPr>
                <w:rFonts w:hint="eastAsia" w:ascii="宋体" w:hAnsi="宋体" w:cs="宋体"/>
                <w:bCs/>
                <w:color w:val="000000"/>
                <w:szCs w:val="21"/>
              </w:rPr>
              <w:br w:type="textWrapping"/>
            </w:r>
            <w:r>
              <w:rPr>
                <w:rFonts w:hint="eastAsia" w:ascii="宋体" w:hAnsi="宋体" w:cs="宋体"/>
                <w:bCs/>
                <w:color w:val="000000"/>
                <w:szCs w:val="21"/>
              </w:rPr>
              <w:t>1、支持针对不同用户与不同资源的权限交集设置不同的权限收敛策略，权限收敛策略的设置至少需要包括：权限最长闲置周期、豁免审计的日期、僵尸权限的自动响应手段（仅记录/直接回收）</w:t>
            </w:r>
            <w:r>
              <w:rPr>
                <w:rFonts w:hint="eastAsia" w:ascii="宋体" w:hAnsi="宋体" w:cs="宋体"/>
                <w:bCs/>
                <w:color w:val="000000"/>
                <w:szCs w:val="21"/>
              </w:rPr>
              <w:br w:type="textWrapping"/>
            </w:r>
            <w:r>
              <w:rPr>
                <w:rFonts w:hint="eastAsia" w:ascii="宋体" w:hAnsi="宋体" w:cs="宋体"/>
                <w:bCs/>
                <w:color w:val="000000"/>
                <w:szCs w:val="21"/>
              </w:rPr>
              <w:t>2、支持展示当前权限收敛策略的“覆盖用户数”，“覆盖资源数”与“已发现的僵尸权限数”</w:t>
            </w:r>
            <w:r>
              <w:rPr>
                <w:rFonts w:hint="eastAsia" w:ascii="宋体" w:hAnsi="宋体" w:cs="宋体"/>
                <w:bCs/>
                <w:color w:val="000000"/>
                <w:szCs w:val="21"/>
              </w:rPr>
              <w:br w:type="textWrapping"/>
            </w:r>
            <w:r>
              <w:rPr>
                <w:rFonts w:hint="eastAsia" w:ascii="宋体" w:hAnsi="宋体" w:cs="宋体"/>
                <w:bCs/>
                <w:color w:val="000000"/>
                <w:szCs w:val="21"/>
              </w:rPr>
              <w:t>3、支持查看权限收敛的详情，可以分别查看“已冻结”、“未冻结”和“已豁免”的僵尸权限，并分别可以在对应页面执行对应的批量管理操作，包括“批量解冻”、“批量豁免”、“批量冻结”和“批量取消豁免”</w:t>
            </w:r>
            <w:r>
              <w:rPr>
                <w:rFonts w:hint="eastAsia" w:ascii="宋体" w:hAnsi="宋体" w:cs="宋体"/>
                <w:bCs/>
                <w:color w:val="000000"/>
                <w:szCs w:val="21"/>
              </w:rPr>
              <w:br w:type="textWrapping"/>
            </w:r>
            <w:r>
              <w:rPr>
                <w:rFonts w:hint="eastAsia" w:ascii="宋体" w:hAnsi="宋体" w:cs="宋体"/>
                <w:bCs/>
                <w:color w:val="000000"/>
                <w:szCs w:val="21"/>
              </w:rPr>
              <w:t>4、在权限收敛详情的“已冻结”和“未冻结”面板下，支持展示僵尸权限按“资源”、“资源组”、“组织架构”和“自定义分组”的分布情况，并支持按“僵尸权限总数”和“僵尸权限占比”两种纬度来进行排序</w:t>
            </w:r>
            <w:r>
              <w:rPr>
                <w:rFonts w:hint="eastAsia" w:ascii="宋体" w:hAnsi="宋体" w:cs="宋体"/>
                <w:bCs/>
                <w:color w:val="000000"/>
                <w:szCs w:val="21"/>
              </w:rPr>
              <w:br w:type="textWrapping"/>
            </w:r>
          </w:p>
        </w:tc>
      </w:tr>
      <w:tr w14:paraId="22A2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75254553">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4DE4B96D">
            <w:pPr>
              <w:spacing w:line="360" w:lineRule="auto"/>
              <w:contextualSpacing/>
              <w:rPr>
                <w:rFonts w:hint="eastAsia" w:ascii="宋体" w:hAnsi="宋体" w:cs="宋体"/>
                <w:bCs/>
                <w:color w:val="000000"/>
                <w:szCs w:val="21"/>
              </w:rPr>
            </w:pPr>
            <w:r>
              <w:rPr>
                <w:rFonts w:hint="eastAsia" w:ascii="宋体" w:hAnsi="宋体" w:cs="宋体"/>
                <w:bCs/>
                <w:color w:val="000000"/>
                <w:szCs w:val="21"/>
              </w:rPr>
              <w:t>客户端直连-指定进程免代理直连</w:t>
            </w:r>
          </w:p>
        </w:tc>
        <w:tc>
          <w:tcPr>
            <w:tcW w:w="6063" w:type="dxa"/>
            <w:noWrap w:val="0"/>
            <w:vAlign w:val="center"/>
          </w:tcPr>
          <w:p w14:paraId="4574DB08">
            <w:pPr>
              <w:spacing w:line="360" w:lineRule="auto"/>
              <w:contextualSpacing/>
              <w:rPr>
                <w:rFonts w:hint="eastAsia" w:ascii="宋体" w:hAnsi="宋体" w:cs="宋体"/>
                <w:bCs/>
                <w:color w:val="000000"/>
                <w:szCs w:val="21"/>
              </w:rPr>
            </w:pPr>
            <w:r>
              <w:rPr>
                <w:rFonts w:hint="eastAsia" w:ascii="宋体" w:hAnsi="宋体" w:cs="宋体"/>
                <w:bCs/>
                <w:color w:val="000000"/>
                <w:szCs w:val="21"/>
              </w:rPr>
              <w:t>为避免影响特定应用进程的业务流量，平台需支持针对特定设备的特定进程请求默认直连放通</w:t>
            </w:r>
            <w:r>
              <w:rPr>
                <w:rFonts w:hint="eastAsia" w:ascii="宋体" w:hAnsi="宋体" w:cs="宋体"/>
                <w:bCs/>
                <w:color w:val="000000"/>
                <w:szCs w:val="21"/>
              </w:rPr>
              <w:br w:type="textWrapping"/>
            </w:r>
            <w:r>
              <w:rPr>
                <w:rFonts w:hint="eastAsia" w:ascii="宋体" w:hAnsi="宋体" w:cs="宋体"/>
                <w:bCs/>
                <w:color w:val="000000"/>
                <w:szCs w:val="21"/>
              </w:rPr>
              <w:t>1、支持根据终端树、终端自定义分组和特定终端选择需要进行“指定进程免代理直连”的设备范围</w:t>
            </w:r>
            <w:r>
              <w:rPr>
                <w:rFonts w:hint="eastAsia" w:ascii="宋体" w:hAnsi="宋体" w:cs="宋体"/>
                <w:bCs/>
                <w:color w:val="000000"/>
                <w:szCs w:val="21"/>
              </w:rPr>
              <w:br w:type="textWrapping"/>
            </w:r>
            <w:r>
              <w:rPr>
                <w:rFonts w:hint="eastAsia" w:ascii="宋体" w:hAnsi="宋体" w:cs="宋体"/>
                <w:bCs/>
                <w:color w:val="000000"/>
                <w:szCs w:val="21"/>
              </w:rPr>
              <w:t>2、支持设置指定进程的流量，客户端将不引流至网关而是直接走本地互联网通道</w:t>
            </w:r>
            <w:r>
              <w:rPr>
                <w:rFonts w:hint="eastAsia" w:ascii="宋体" w:hAnsi="宋体" w:cs="宋体"/>
                <w:bCs/>
                <w:color w:val="000000"/>
                <w:szCs w:val="21"/>
              </w:rPr>
              <w:br w:type="textWrapping"/>
            </w:r>
          </w:p>
        </w:tc>
      </w:tr>
      <w:tr w14:paraId="5E0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73E9991F">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B39EC36">
            <w:pPr>
              <w:spacing w:line="360" w:lineRule="auto"/>
              <w:contextualSpacing/>
              <w:rPr>
                <w:rFonts w:hint="eastAsia" w:ascii="宋体" w:hAnsi="宋体" w:cs="宋体"/>
                <w:bCs/>
                <w:color w:val="000000"/>
                <w:szCs w:val="21"/>
              </w:rPr>
            </w:pPr>
            <w:r>
              <w:rPr>
                <w:rFonts w:hint="eastAsia" w:ascii="宋体" w:hAnsi="宋体" w:cs="宋体"/>
                <w:bCs/>
                <w:color w:val="000000"/>
                <w:szCs w:val="21"/>
              </w:rPr>
              <w:t>客户端直连-指定IP段免代理直连</w:t>
            </w:r>
          </w:p>
        </w:tc>
        <w:tc>
          <w:tcPr>
            <w:tcW w:w="6063" w:type="dxa"/>
            <w:noWrap w:val="0"/>
            <w:vAlign w:val="center"/>
          </w:tcPr>
          <w:p w14:paraId="740C60F7">
            <w:pPr>
              <w:spacing w:line="360" w:lineRule="auto"/>
              <w:contextualSpacing/>
              <w:rPr>
                <w:rFonts w:hint="eastAsia" w:ascii="宋体" w:hAnsi="宋体" w:cs="宋体"/>
                <w:bCs/>
                <w:color w:val="000000"/>
                <w:szCs w:val="21"/>
              </w:rPr>
            </w:pPr>
            <w:r>
              <w:rPr>
                <w:rFonts w:hint="eastAsia" w:ascii="宋体" w:hAnsi="宋体" w:cs="宋体"/>
                <w:bCs/>
                <w:color w:val="000000"/>
                <w:szCs w:val="21"/>
              </w:rPr>
              <w:t>为避免影响特定资源下所处网络区域某些特殊网段的业务流量，平台需支持针对特定IP的请求默认直连放通</w:t>
            </w:r>
            <w:r>
              <w:rPr>
                <w:rFonts w:hint="eastAsia" w:ascii="宋体" w:hAnsi="宋体" w:cs="宋体"/>
                <w:bCs/>
                <w:color w:val="000000"/>
                <w:szCs w:val="21"/>
              </w:rPr>
              <w:br w:type="textWrapping"/>
            </w:r>
            <w:r>
              <w:rPr>
                <w:rFonts w:hint="eastAsia" w:ascii="宋体" w:hAnsi="宋体" w:cs="宋体"/>
                <w:bCs/>
                <w:color w:val="000000"/>
                <w:szCs w:val="21"/>
              </w:rPr>
              <w:t>1、支持设置指定IP段作为白名单访问区域</w:t>
            </w:r>
            <w:r>
              <w:rPr>
                <w:rFonts w:hint="eastAsia" w:ascii="宋体" w:hAnsi="宋体" w:cs="宋体"/>
                <w:bCs/>
                <w:color w:val="000000"/>
                <w:szCs w:val="21"/>
              </w:rPr>
              <w:br w:type="textWrapping"/>
            </w:r>
            <w:r>
              <w:rPr>
                <w:rFonts w:hint="eastAsia" w:ascii="宋体" w:hAnsi="宋体" w:cs="宋体"/>
                <w:bCs/>
                <w:color w:val="000000"/>
                <w:szCs w:val="21"/>
              </w:rPr>
              <w:t>2、支持基于组织架构添加需要进行直连白名单的IP段</w:t>
            </w:r>
            <w:r>
              <w:rPr>
                <w:rFonts w:hint="eastAsia" w:ascii="宋体" w:hAnsi="宋体" w:cs="宋体"/>
                <w:bCs/>
                <w:color w:val="000000"/>
                <w:szCs w:val="21"/>
              </w:rPr>
              <w:br w:type="textWrapping"/>
            </w:r>
          </w:p>
        </w:tc>
      </w:tr>
      <w:tr w14:paraId="2EE8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vMerge w:val="continue"/>
            <w:noWrap w:val="0"/>
            <w:vAlign w:val="center"/>
          </w:tcPr>
          <w:p w14:paraId="2C4ECD77">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44AE8634">
            <w:pPr>
              <w:spacing w:line="360" w:lineRule="auto"/>
              <w:contextualSpacing/>
              <w:rPr>
                <w:rFonts w:hint="eastAsia" w:ascii="宋体" w:hAnsi="宋体" w:cs="宋体"/>
                <w:bCs/>
                <w:color w:val="000000"/>
                <w:szCs w:val="21"/>
              </w:rPr>
            </w:pPr>
            <w:r>
              <w:rPr>
                <w:rFonts w:hint="eastAsia" w:ascii="宋体" w:hAnsi="宋体" w:cs="宋体"/>
                <w:bCs/>
                <w:color w:val="000000"/>
                <w:szCs w:val="21"/>
              </w:rPr>
              <w:t>网关流量控制</w:t>
            </w:r>
          </w:p>
        </w:tc>
        <w:tc>
          <w:tcPr>
            <w:tcW w:w="6063" w:type="dxa"/>
            <w:noWrap w:val="0"/>
            <w:vAlign w:val="center"/>
          </w:tcPr>
          <w:p w14:paraId="38112502">
            <w:pPr>
              <w:spacing w:line="360" w:lineRule="auto"/>
              <w:contextualSpacing/>
              <w:rPr>
                <w:rFonts w:hint="eastAsia" w:ascii="宋体" w:hAnsi="宋体" w:cs="宋体"/>
                <w:bCs/>
                <w:color w:val="000000"/>
                <w:szCs w:val="21"/>
              </w:rPr>
            </w:pPr>
            <w:r>
              <w:rPr>
                <w:rFonts w:hint="eastAsia" w:ascii="宋体" w:hAnsi="宋体" w:cs="宋体"/>
                <w:bCs/>
                <w:color w:val="000000"/>
                <w:szCs w:val="21"/>
              </w:rPr>
              <w:t>为满足公平限流，流量控制功能可以对网关流量进行干涉，流量公平；</w:t>
            </w:r>
            <w:r>
              <w:rPr>
                <w:rFonts w:hint="eastAsia" w:ascii="宋体" w:hAnsi="宋体" w:cs="宋体"/>
                <w:bCs/>
                <w:color w:val="000000"/>
                <w:szCs w:val="21"/>
              </w:rPr>
              <w:br w:type="textWrapping"/>
            </w:r>
            <w:r>
              <w:rPr>
                <w:rFonts w:hint="eastAsia" w:ascii="宋体" w:hAnsi="宋体" w:cs="宋体"/>
                <w:bCs/>
                <w:color w:val="000000"/>
                <w:szCs w:val="21"/>
              </w:rPr>
              <w:t>调度基于用户设置带宽占用优先级:在公平限流基础上，设置用户使用带宽的优先顺序。</w:t>
            </w:r>
            <w:r>
              <w:rPr>
                <w:rFonts w:hint="eastAsia" w:ascii="宋体" w:hAnsi="宋体" w:cs="宋体"/>
                <w:bCs/>
                <w:color w:val="000000"/>
                <w:szCs w:val="21"/>
              </w:rPr>
              <w:br w:type="textWrapping"/>
            </w:r>
          </w:p>
        </w:tc>
      </w:tr>
      <w:tr w14:paraId="1103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59" w:type="dxa"/>
            <w:vMerge w:val="continue"/>
            <w:noWrap w:val="0"/>
            <w:vAlign w:val="center"/>
          </w:tcPr>
          <w:p w14:paraId="030CEB28">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0B97055">
            <w:pPr>
              <w:spacing w:line="360" w:lineRule="auto"/>
              <w:contextualSpacing/>
              <w:rPr>
                <w:rFonts w:hint="eastAsia" w:ascii="宋体" w:hAnsi="宋体" w:cs="宋体"/>
                <w:bCs/>
                <w:color w:val="000000"/>
                <w:szCs w:val="21"/>
              </w:rPr>
            </w:pPr>
            <w:r>
              <w:rPr>
                <w:rFonts w:hint="eastAsia" w:ascii="宋体" w:hAnsi="宋体" w:cs="宋体"/>
                <w:bCs/>
                <w:color w:val="000000"/>
                <w:szCs w:val="21"/>
              </w:rPr>
              <w:t>★IAM收敛</w:t>
            </w:r>
          </w:p>
        </w:tc>
        <w:tc>
          <w:tcPr>
            <w:tcW w:w="6063" w:type="dxa"/>
            <w:noWrap w:val="0"/>
            <w:vAlign w:val="center"/>
          </w:tcPr>
          <w:p w14:paraId="6E1F2AF1">
            <w:pPr>
              <w:spacing w:line="360" w:lineRule="auto"/>
              <w:contextualSpacing/>
              <w:rPr>
                <w:rFonts w:hint="eastAsia" w:ascii="宋体" w:hAnsi="宋体" w:cs="宋体"/>
                <w:bCs/>
                <w:color w:val="000000"/>
                <w:szCs w:val="21"/>
              </w:rPr>
            </w:pPr>
            <w:r>
              <w:rPr>
                <w:rFonts w:hint="eastAsia" w:ascii="宋体" w:hAnsi="宋体" w:cs="宋体"/>
                <w:bCs/>
                <w:color w:val="000000"/>
                <w:szCs w:val="21"/>
              </w:rPr>
              <w:t>为更好的保护IAM系统支持无边界办公接入落地时的安全性，要求支持IAM收敛能力：</w:t>
            </w:r>
            <w:r>
              <w:rPr>
                <w:rFonts w:hint="eastAsia" w:ascii="宋体" w:hAnsi="宋体" w:cs="宋体"/>
                <w:bCs/>
                <w:color w:val="000000"/>
                <w:szCs w:val="21"/>
              </w:rPr>
              <w:br w:type="textWrapping"/>
            </w:r>
            <w:r>
              <w:rPr>
                <w:rFonts w:hint="eastAsia" w:ascii="宋体" w:hAnsi="宋体" w:cs="宋体"/>
                <w:bCs/>
                <w:color w:val="000000"/>
                <w:szCs w:val="21"/>
              </w:rPr>
              <w:t>1、通过OAth2、OIDC、CAS协议作为认证源对接的IAM系统，支持通过网关实现IAM对外大力发布；</w:t>
            </w:r>
            <w:r>
              <w:rPr>
                <w:rFonts w:hint="eastAsia" w:ascii="宋体" w:hAnsi="宋体" w:cs="宋体"/>
                <w:bCs/>
                <w:color w:val="000000"/>
                <w:szCs w:val="21"/>
              </w:rPr>
              <w:br w:type="textWrapping"/>
            </w:r>
            <w:r>
              <w:rPr>
                <w:rFonts w:hint="eastAsia" w:ascii="宋体" w:hAnsi="宋体" w:cs="宋体"/>
                <w:bCs/>
                <w:color w:val="000000"/>
                <w:szCs w:val="21"/>
              </w:rPr>
              <w:t>2、对于使用外置浏览器拉起认证的IAM，在未登录客户端的情况下，支持仅允许用户在安装了零信任VPN客户端的终端上，利用零信任客户端拉起浏览器访问IAM；</w:t>
            </w:r>
            <w:r>
              <w:rPr>
                <w:rFonts w:hint="eastAsia" w:ascii="宋体" w:hAnsi="宋体" w:cs="宋体"/>
                <w:bCs/>
                <w:color w:val="000000"/>
                <w:szCs w:val="21"/>
              </w:rPr>
              <w:br w:type="textWrapping"/>
            </w:r>
            <w:r>
              <w:rPr>
                <w:rFonts w:hint="eastAsia" w:ascii="宋体" w:hAnsi="宋体" w:cs="宋体"/>
                <w:bCs/>
                <w:color w:val="000000"/>
                <w:szCs w:val="21"/>
              </w:rPr>
              <w:t>3、可以启动SPA防护后，收敛代理网关自身的端口，实现IAM暴露面收敛；</w:t>
            </w:r>
            <w:r>
              <w:rPr>
                <w:rFonts w:hint="eastAsia" w:ascii="宋体" w:hAnsi="宋体" w:cs="宋体"/>
                <w:bCs/>
                <w:color w:val="000000"/>
                <w:szCs w:val="21"/>
              </w:rPr>
              <w:br w:type="textWrapping"/>
            </w:r>
          </w:p>
        </w:tc>
      </w:tr>
      <w:tr w14:paraId="3990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633EEE96">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22336B21">
            <w:pPr>
              <w:spacing w:line="360" w:lineRule="auto"/>
              <w:contextualSpacing/>
              <w:rPr>
                <w:rFonts w:hint="eastAsia" w:ascii="宋体" w:hAnsi="宋体" w:cs="宋体"/>
                <w:bCs/>
                <w:color w:val="000000"/>
                <w:szCs w:val="21"/>
              </w:rPr>
            </w:pPr>
            <w:r>
              <w:rPr>
                <w:rFonts w:hint="eastAsia" w:ascii="宋体" w:hAnsi="宋体" w:cs="宋体"/>
                <w:bCs/>
                <w:color w:val="000000"/>
                <w:szCs w:val="21"/>
              </w:rPr>
              <w:t>IM对接</w:t>
            </w:r>
          </w:p>
        </w:tc>
        <w:tc>
          <w:tcPr>
            <w:tcW w:w="6063" w:type="dxa"/>
            <w:noWrap w:val="0"/>
            <w:vAlign w:val="center"/>
          </w:tcPr>
          <w:p w14:paraId="0CE1B3A1">
            <w:pPr>
              <w:spacing w:line="360" w:lineRule="auto"/>
              <w:contextualSpacing/>
              <w:rPr>
                <w:rFonts w:hint="eastAsia" w:ascii="宋体" w:hAnsi="宋体" w:cs="宋体"/>
                <w:bCs/>
                <w:color w:val="000000"/>
                <w:szCs w:val="21"/>
              </w:rPr>
            </w:pPr>
            <w:r>
              <w:rPr>
                <w:rFonts w:hint="eastAsia" w:ascii="宋体" w:hAnsi="宋体" w:cs="宋体"/>
                <w:bCs/>
                <w:color w:val="000000"/>
                <w:szCs w:val="21"/>
              </w:rPr>
              <w:t>要求支持对接企业微信、钉钉等主流IM软件工作台，形成一体化协同办公方案；</w:t>
            </w:r>
            <w:r>
              <w:rPr>
                <w:rFonts w:hint="eastAsia" w:ascii="宋体" w:hAnsi="宋体" w:cs="宋体"/>
                <w:bCs/>
                <w:color w:val="000000"/>
                <w:szCs w:val="21"/>
              </w:rPr>
              <w:br w:type="textWrapping"/>
            </w:r>
            <w:r>
              <w:rPr>
                <w:rFonts w:hint="eastAsia" w:ascii="宋体" w:hAnsi="宋体" w:cs="宋体"/>
                <w:bCs/>
                <w:color w:val="000000"/>
                <w:szCs w:val="21"/>
              </w:rPr>
              <w:t>1、要求无需安装APP客户端，即可实现IM工作台通过零信任安全接入访问内网业务系统；</w:t>
            </w:r>
            <w:r>
              <w:rPr>
                <w:rFonts w:hint="eastAsia" w:ascii="宋体" w:hAnsi="宋体" w:cs="宋体"/>
                <w:bCs/>
                <w:color w:val="000000"/>
                <w:szCs w:val="21"/>
              </w:rPr>
              <w:br w:type="textWrapping"/>
            </w:r>
            <w:r>
              <w:rPr>
                <w:rFonts w:hint="eastAsia" w:ascii="宋体" w:hAnsi="宋体" w:cs="宋体"/>
                <w:bCs/>
                <w:color w:val="000000"/>
                <w:szCs w:val="21"/>
              </w:rPr>
              <w:t>2、支持与主流IM软件身份信息同步及认证源对接，方便用户快速登录，保障用户体验；</w:t>
            </w:r>
            <w:r>
              <w:rPr>
                <w:rFonts w:hint="eastAsia" w:ascii="宋体" w:hAnsi="宋体" w:cs="宋体"/>
                <w:bCs/>
                <w:color w:val="000000"/>
                <w:szCs w:val="21"/>
              </w:rPr>
              <w:br w:type="textWrapping"/>
            </w:r>
            <w:r>
              <w:rPr>
                <w:rFonts w:hint="eastAsia" w:ascii="宋体" w:hAnsi="宋体" w:cs="宋体"/>
                <w:bCs/>
                <w:color w:val="000000"/>
                <w:szCs w:val="21"/>
              </w:rPr>
              <w:t>（以上功能要求提供产品配置界面截图）</w:t>
            </w:r>
          </w:p>
        </w:tc>
      </w:tr>
      <w:tr w14:paraId="4FFF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59" w:type="dxa"/>
            <w:vMerge w:val="restart"/>
            <w:noWrap w:val="0"/>
            <w:vAlign w:val="center"/>
          </w:tcPr>
          <w:p w14:paraId="2834FBBC">
            <w:pPr>
              <w:spacing w:line="360" w:lineRule="auto"/>
              <w:contextualSpacing/>
              <w:rPr>
                <w:rFonts w:hint="eastAsia" w:ascii="宋体" w:hAnsi="宋体" w:cs="宋体"/>
                <w:bCs/>
                <w:color w:val="000000"/>
                <w:szCs w:val="21"/>
              </w:rPr>
            </w:pPr>
            <w:r>
              <w:rPr>
                <w:rFonts w:hint="eastAsia" w:ascii="宋体" w:hAnsi="宋体" w:cs="宋体"/>
                <w:bCs/>
                <w:color w:val="000000"/>
                <w:szCs w:val="21"/>
              </w:rPr>
              <w:t>终端信息</w:t>
            </w:r>
          </w:p>
        </w:tc>
        <w:tc>
          <w:tcPr>
            <w:tcW w:w="1886" w:type="dxa"/>
            <w:noWrap w:val="0"/>
            <w:vAlign w:val="center"/>
          </w:tcPr>
          <w:p w14:paraId="2DD245DB">
            <w:pPr>
              <w:spacing w:line="360" w:lineRule="auto"/>
              <w:contextualSpacing/>
              <w:rPr>
                <w:rFonts w:hint="eastAsia" w:ascii="宋体" w:hAnsi="宋体" w:cs="宋体"/>
                <w:bCs/>
                <w:color w:val="000000"/>
                <w:szCs w:val="21"/>
              </w:rPr>
            </w:pPr>
            <w:r>
              <w:rPr>
                <w:rFonts w:hint="eastAsia" w:ascii="宋体" w:hAnsi="宋体" w:cs="宋体"/>
                <w:bCs/>
                <w:color w:val="000000"/>
                <w:szCs w:val="21"/>
              </w:rPr>
              <w:t>终端信息管理</w:t>
            </w:r>
          </w:p>
        </w:tc>
        <w:tc>
          <w:tcPr>
            <w:tcW w:w="6063" w:type="dxa"/>
            <w:noWrap w:val="0"/>
            <w:vAlign w:val="center"/>
          </w:tcPr>
          <w:p w14:paraId="629003AE">
            <w:pPr>
              <w:spacing w:line="360" w:lineRule="auto"/>
              <w:contextualSpacing/>
              <w:rPr>
                <w:rFonts w:hint="eastAsia" w:ascii="宋体" w:hAnsi="宋体" w:cs="宋体"/>
                <w:bCs/>
                <w:color w:val="000000"/>
                <w:szCs w:val="21"/>
              </w:rPr>
            </w:pPr>
            <w:r>
              <w:rPr>
                <w:rFonts w:hint="eastAsia" w:ascii="宋体" w:hAnsi="宋体" w:cs="宋体"/>
                <w:bCs/>
                <w:color w:val="000000"/>
                <w:szCs w:val="21"/>
              </w:rPr>
              <w:t>1、支持全网与特定分组内的终端信息情况，包括不限于终端名、用户名、最近登录账号、已绑定账号、SN序列号、主板序列号、IP地址、最后一次在线时间、未修复高危漏洞、漏洞库版本、卸载码、特权码等；</w:t>
            </w:r>
            <w:r>
              <w:rPr>
                <w:rFonts w:hint="eastAsia" w:ascii="宋体" w:hAnsi="宋体" w:cs="宋体"/>
                <w:bCs/>
                <w:color w:val="000000"/>
                <w:szCs w:val="21"/>
              </w:rPr>
              <w:br w:type="textWrapping"/>
            </w:r>
            <w:r>
              <w:rPr>
                <w:rFonts w:hint="eastAsia" w:ascii="宋体" w:hAnsi="宋体" w:cs="宋体"/>
                <w:bCs/>
                <w:color w:val="000000"/>
                <w:szCs w:val="21"/>
              </w:rPr>
              <w:t>2、单击终端名可展示计算机的基本信息以及管控策略，进程列表等信息。</w:t>
            </w:r>
            <w:r>
              <w:rPr>
                <w:rFonts w:hint="eastAsia" w:ascii="宋体" w:hAnsi="宋体" w:cs="宋体"/>
                <w:bCs/>
                <w:color w:val="000000"/>
                <w:szCs w:val="21"/>
              </w:rPr>
              <w:br w:type="textWrapping"/>
            </w:r>
            <w:r>
              <w:rPr>
                <w:rFonts w:hint="eastAsia" w:ascii="宋体" w:hAnsi="宋体" w:cs="宋体"/>
                <w:bCs/>
                <w:color w:val="000000"/>
                <w:szCs w:val="21"/>
              </w:rPr>
              <w:t>3、支持定义终端的组织架构，支持增删查改、锁定分组，支持导入账户组织架构并实现与用户目录的同步。</w:t>
            </w:r>
            <w:r>
              <w:rPr>
                <w:rFonts w:hint="eastAsia" w:ascii="宋体" w:hAnsi="宋体" w:cs="宋体"/>
                <w:bCs/>
                <w:color w:val="000000"/>
                <w:szCs w:val="21"/>
              </w:rPr>
              <w:br w:type="textWrapping"/>
            </w:r>
            <w:r>
              <w:rPr>
                <w:rFonts w:hint="eastAsia" w:ascii="宋体" w:hAnsi="宋体" w:cs="宋体"/>
                <w:bCs/>
                <w:color w:val="000000"/>
                <w:szCs w:val="21"/>
              </w:rPr>
              <w:t>4、支持用户与终端的人机绑定。</w:t>
            </w:r>
            <w:r>
              <w:rPr>
                <w:rFonts w:hint="eastAsia" w:ascii="宋体" w:hAnsi="宋体" w:cs="宋体"/>
                <w:bCs/>
                <w:color w:val="000000"/>
                <w:szCs w:val="21"/>
              </w:rPr>
              <w:br w:type="textWrapping"/>
            </w:r>
            <w:r>
              <w:rPr>
                <w:rFonts w:hint="eastAsia" w:ascii="宋体" w:hAnsi="宋体" w:cs="宋体"/>
                <w:bCs/>
                <w:color w:val="000000"/>
                <w:szCs w:val="21"/>
              </w:rPr>
              <w:t>5、支持创建和管理“自定义分组”，支持通过策略名称和策略描述搜索终端。</w:t>
            </w:r>
          </w:p>
        </w:tc>
      </w:tr>
      <w:tr w14:paraId="6BB2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59" w:type="dxa"/>
            <w:vMerge w:val="continue"/>
            <w:noWrap w:val="0"/>
            <w:vAlign w:val="center"/>
          </w:tcPr>
          <w:p w14:paraId="1AB68832">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BE61411">
            <w:pPr>
              <w:spacing w:line="360" w:lineRule="auto"/>
              <w:contextualSpacing/>
              <w:rPr>
                <w:rFonts w:hint="eastAsia" w:ascii="宋体" w:hAnsi="宋体" w:cs="宋体"/>
                <w:bCs/>
                <w:color w:val="000000"/>
                <w:szCs w:val="21"/>
              </w:rPr>
            </w:pPr>
            <w:r>
              <w:rPr>
                <w:rFonts w:hint="eastAsia" w:ascii="宋体" w:hAnsi="宋体" w:cs="宋体"/>
                <w:bCs/>
                <w:color w:val="000000"/>
                <w:szCs w:val="21"/>
              </w:rPr>
              <w:t>★终端自定义字段</w:t>
            </w:r>
          </w:p>
        </w:tc>
        <w:tc>
          <w:tcPr>
            <w:tcW w:w="6063" w:type="dxa"/>
            <w:noWrap w:val="0"/>
            <w:vAlign w:val="center"/>
          </w:tcPr>
          <w:p w14:paraId="79E3EF7F">
            <w:pPr>
              <w:spacing w:line="360" w:lineRule="auto"/>
              <w:contextualSpacing/>
              <w:rPr>
                <w:rFonts w:hint="eastAsia" w:ascii="宋体" w:hAnsi="宋体" w:cs="宋体"/>
                <w:bCs/>
                <w:color w:val="000000"/>
                <w:szCs w:val="21"/>
              </w:rPr>
            </w:pPr>
            <w:r>
              <w:rPr>
                <w:rFonts w:hint="eastAsia" w:ascii="宋体" w:hAnsi="宋体" w:cs="宋体"/>
                <w:bCs/>
                <w:color w:val="000000"/>
                <w:szCs w:val="21"/>
              </w:rPr>
              <w:t>为了精准的进行企业终端资产的分级分类管理与资产基本运营，平台应支持对终端进行自动化、批量的打标签能力与灵活的标签规则配置能力：</w:t>
            </w:r>
            <w:r>
              <w:rPr>
                <w:rFonts w:hint="eastAsia" w:ascii="宋体" w:hAnsi="宋体" w:cs="宋体"/>
                <w:bCs/>
                <w:color w:val="000000"/>
                <w:szCs w:val="21"/>
              </w:rPr>
              <w:br w:type="textWrapping"/>
            </w:r>
            <w:r>
              <w:rPr>
                <w:rFonts w:hint="eastAsia" w:ascii="宋体" w:hAnsi="宋体" w:cs="宋体"/>
                <w:bCs/>
                <w:color w:val="000000"/>
                <w:szCs w:val="21"/>
              </w:rPr>
              <w:t>1、支持通过规则匹配终端列表字段指定的值批量为终端打上指定标签</w:t>
            </w:r>
            <w:r>
              <w:rPr>
                <w:rFonts w:hint="eastAsia" w:ascii="宋体" w:hAnsi="宋体" w:cs="宋体"/>
                <w:bCs/>
                <w:color w:val="000000"/>
                <w:szCs w:val="21"/>
              </w:rPr>
              <w:br w:type="textWrapping"/>
            </w:r>
            <w:r>
              <w:rPr>
                <w:rFonts w:hint="eastAsia" w:ascii="宋体" w:hAnsi="宋体" w:cs="宋体"/>
                <w:bCs/>
                <w:color w:val="000000"/>
                <w:szCs w:val="21"/>
              </w:rPr>
              <w:t>2、可支持的字段包含:端名、已绑定账号、终端用户名、IP地址、MAC地址、登录域、状态、分组信息等</w:t>
            </w:r>
            <w:r>
              <w:rPr>
                <w:rFonts w:hint="eastAsia" w:ascii="宋体" w:hAnsi="宋体" w:cs="宋体"/>
                <w:bCs/>
                <w:color w:val="000000"/>
                <w:szCs w:val="21"/>
              </w:rPr>
              <w:br w:type="textWrapping"/>
            </w:r>
            <w:r>
              <w:rPr>
                <w:rFonts w:hint="eastAsia" w:ascii="宋体" w:hAnsi="宋体" w:cs="宋体"/>
                <w:bCs/>
                <w:color w:val="000000"/>
                <w:szCs w:val="21"/>
              </w:rPr>
              <w:t>3、支持通过excel、API接口等方式导入指定字段的匹配值进行批量打标签</w:t>
            </w:r>
            <w:r>
              <w:rPr>
                <w:rFonts w:hint="eastAsia" w:ascii="宋体" w:hAnsi="宋体" w:cs="宋体"/>
                <w:bCs/>
                <w:color w:val="000000"/>
                <w:szCs w:val="21"/>
              </w:rPr>
              <w:br w:type="textWrapping"/>
            </w:r>
            <w:r>
              <w:rPr>
                <w:rFonts w:hint="eastAsia" w:ascii="宋体" w:hAnsi="宋体" w:cs="宋体"/>
                <w:bCs/>
                <w:color w:val="000000"/>
                <w:szCs w:val="21"/>
              </w:rPr>
              <w:t>4、终端的自定义标签支持用于自定义分组条件使用</w:t>
            </w:r>
            <w:r>
              <w:rPr>
                <w:rFonts w:hint="eastAsia" w:ascii="宋体" w:hAnsi="宋体" w:cs="宋体"/>
                <w:bCs/>
                <w:color w:val="000000"/>
                <w:szCs w:val="21"/>
              </w:rPr>
              <w:br w:type="textWrapping"/>
            </w:r>
            <w:r>
              <w:rPr>
                <w:rFonts w:hint="eastAsia" w:ascii="宋体" w:hAnsi="宋体" w:cs="宋体"/>
                <w:bCs/>
                <w:color w:val="000000"/>
                <w:szCs w:val="21"/>
              </w:rPr>
              <w:t>（提供产品配置界面截图）</w:t>
            </w:r>
          </w:p>
        </w:tc>
      </w:tr>
      <w:tr w14:paraId="0AED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9" w:type="dxa"/>
            <w:vMerge w:val="continue"/>
            <w:noWrap w:val="0"/>
            <w:vAlign w:val="center"/>
          </w:tcPr>
          <w:p w14:paraId="7E26026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D17691F">
            <w:pPr>
              <w:spacing w:line="360" w:lineRule="auto"/>
              <w:contextualSpacing/>
              <w:rPr>
                <w:rFonts w:hint="eastAsia" w:ascii="宋体" w:hAnsi="宋体" w:cs="宋体"/>
                <w:bCs/>
                <w:color w:val="000000"/>
                <w:szCs w:val="21"/>
              </w:rPr>
            </w:pPr>
            <w:r>
              <w:rPr>
                <w:rFonts w:hint="eastAsia" w:ascii="宋体" w:hAnsi="宋体" w:cs="宋体"/>
                <w:bCs/>
                <w:color w:val="000000"/>
                <w:szCs w:val="21"/>
              </w:rPr>
              <w:t>软件统计</w:t>
            </w:r>
          </w:p>
        </w:tc>
        <w:tc>
          <w:tcPr>
            <w:tcW w:w="6063" w:type="dxa"/>
            <w:noWrap w:val="0"/>
            <w:vAlign w:val="center"/>
          </w:tcPr>
          <w:p w14:paraId="1FD64481">
            <w:pPr>
              <w:spacing w:line="360" w:lineRule="auto"/>
              <w:contextualSpacing/>
              <w:rPr>
                <w:rFonts w:hint="eastAsia" w:ascii="宋体" w:hAnsi="宋体" w:cs="宋体"/>
                <w:bCs/>
                <w:color w:val="000000"/>
                <w:szCs w:val="21"/>
              </w:rPr>
            </w:pPr>
            <w:r>
              <w:rPr>
                <w:rFonts w:hint="eastAsia" w:ascii="宋体" w:hAnsi="宋体" w:cs="宋体"/>
                <w:bCs/>
                <w:color w:val="000000"/>
                <w:szCs w:val="21"/>
              </w:rPr>
              <w:t>1、支持按软件名称展示全网软件安装情况，包括软件名称、版本、已安装终端、安装率；支持软件正版化授权管理（支持授权数量自定义）；支持对已安装终端进行提醒卸载操作</w:t>
            </w:r>
            <w:r>
              <w:rPr>
                <w:rFonts w:hint="eastAsia" w:ascii="宋体" w:hAnsi="宋体" w:cs="宋体"/>
                <w:bCs/>
                <w:color w:val="000000"/>
                <w:szCs w:val="21"/>
              </w:rPr>
              <w:br w:type="textWrapping"/>
            </w:r>
            <w:r>
              <w:rPr>
                <w:rFonts w:hint="eastAsia" w:ascii="宋体" w:hAnsi="宋体" w:cs="宋体"/>
                <w:bCs/>
                <w:color w:val="000000"/>
                <w:szCs w:val="21"/>
              </w:rPr>
              <w:t>2、按终端展示全网软件安装情况，包括计算机名、IP地址、已安装软件数量，支持对终端已安装的软件进行提醒卸载操作</w:t>
            </w:r>
          </w:p>
        </w:tc>
      </w:tr>
      <w:tr w14:paraId="1717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4E6907AA">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7875D8F">
            <w:pPr>
              <w:spacing w:line="360" w:lineRule="auto"/>
              <w:contextualSpacing/>
              <w:rPr>
                <w:rFonts w:hint="eastAsia" w:ascii="宋体" w:hAnsi="宋体" w:cs="宋体"/>
                <w:bCs/>
                <w:color w:val="000000"/>
                <w:szCs w:val="21"/>
              </w:rPr>
            </w:pPr>
            <w:r>
              <w:rPr>
                <w:rFonts w:hint="eastAsia" w:ascii="宋体" w:hAnsi="宋体" w:cs="宋体"/>
                <w:bCs/>
                <w:color w:val="000000"/>
                <w:szCs w:val="21"/>
              </w:rPr>
              <w:t>软件分发</w:t>
            </w:r>
          </w:p>
        </w:tc>
        <w:tc>
          <w:tcPr>
            <w:tcW w:w="6063" w:type="dxa"/>
            <w:noWrap w:val="0"/>
            <w:vAlign w:val="center"/>
          </w:tcPr>
          <w:p w14:paraId="1A3257BB">
            <w:pPr>
              <w:spacing w:line="360" w:lineRule="auto"/>
              <w:ind w:firstLine="420" w:firstLineChars="200"/>
              <w:contextualSpacing/>
              <w:rPr>
                <w:rFonts w:hint="eastAsia" w:ascii="宋体" w:hAnsi="宋体" w:cs="宋体"/>
                <w:bCs/>
                <w:color w:val="000000"/>
                <w:szCs w:val="21"/>
              </w:rPr>
            </w:pPr>
            <w:r>
              <w:rPr>
                <w:rFonts w:hint="eastAsia" w:ascii="宋体" w:hAnsi="宋体" w:cs="宋体"/>
                <w:bCs/>
                <w:color w:val="000000"/>
                <w:szCs w:val="21"/>
              </w:rPr>
              <w:t>支持用户自定义上传文件、软件、壁纸、脚本（支持类型：bat、cmd、vbs、js、exe）、补丁（msi、msu、msp、exe），并分发到指定终端/终端组/自定义分组，支持失败重试，弹窗提醒等功能</w:t>
            </w:r>
          </w:p>
        </w:tc>
      </w:tr>
      <w:tr w14:paraId="06AC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restart"/>
            <w:noWrap w:val="0"/>
            <w:vAlign w:val="center"/>
          </w:tcPr>
          <w:p w14:paraId="166D2DCF">
            <w:pPr>
              <w:spacing w:line="360" w:lineRule="auto"/>
              <w:contextualSpacing/>
              <w:rPr>
                <w:rFonts w:hint="eastAsia" w:ascii="宋体" w:hAnsi="宋体" w:cs="宋体"/>
                <w:bCs/>
                <w:color w:val="000000"/>
                <w:szCs w:val="21"/>
              </w:rPr>
            </w:pPr>
            <w:r>
              <w:rPr>
                <w:rFonts w:hint="eastAsia" w:ascii="宋体" w:hAnsi="宋体" w:cs="宋体"/>
                <w:bCs/>
                <w:color w:val="000000"/>
                <w:szCs w:val="21"/>
              </w:rPr>
              <w:t>日志与报表</w:t>
            </w:r>
          </w:p>
        </w:tc>
        <w:tc>
          <w:tcPr>
            <w:tcW w:w="1886" w:type="dxa"/>
            <w:noWrap w:val="0"/>
            <w:vAlign w:val="center"/>
          </w:tcPr>
          <w:p w14:paraId="42D29439">
            <w:pPr>
              <w:spacing w:line="360" w:lineRule="auto"/>
              <w:contextualSpacing/>
              <w:rPr>
                <w:rFonts w:hint="eastAsia" w:ascii="宋体" w:hAnsi="宋体" w:cs="宋体"/>
                <w:bCs/>
                <w:color w:val="000000"/>
                <w:szCs w:val="21"/>
              </w:rPr>
            </w:pPr>
            <w:r>
              <w:rPr>
                <w:rFonts w:hint="eastAsia" w:ascii="宋体" w:hAnsi="宋体" w:cs="宋体"/>
                <w:bCs/>
                <w:color w:val="000000"/>
                <w:szCs w:val="21"/>
              </w:rPr>
              <w:t>系统分布</w:t>
            </w:r>
          </w:p>
        </w:tc>
        <w:tc>
          <w:tcPr>
            <w:tcW w:w="6063" w:type="dxa"/>
            <w:noWrap w:val="0"/>
            <w:vAlign w:val="center"/>
          </w:tcPr>
          <w:p w14:paraId="68A73560">
            <w:pPr>
              <w:spacing w:line="360" w:lineRule="auto"/>
              <w:ind w:firstLine="420" w:firstLineChars="200"/>
              <w:contextualSpacing/>
              <w:rPr>
                <w:rFonts w:hint="eastAsia" w:ascii="宋体" w:hAnsi="宋体" w:cs="宋体"/>
                <w:bCs/>
                <w:color w:val="000000"/>
                <w:szCs w:val="21"/>
              </w:rPr>
            </w:pPr>
            <w:r>
              <w:rPr>
                <w:rFonts w:hint="eastAsia" w:ascii="宋体" w:hAnsi="宋体" w:cs="宋体"/>
                <w:bCs/>
                <w:color w:val="000000"/>
                <w:szCs w:val="21"/>
              </w:rPr>
              <w:t>支持展示全网终端的操作系统、产品版本的分布情况及占比展示</w:t>
            </w:r>
          </w:p>
        </w:tc>
      </w:tr>
      <w:tr w14:paraId="7141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4A4C09E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36DF027A">
            <w:pPr>
              <w:spacing w:line="360" w:lineRule="auto"/>
              <w:contextualSpacing/>
              <w:rPr>
                <w:rFonts w:hint="eastAsia" w:ascii="宋体" w:hAnsi="宋体" w:cs="宋体"/>
                <w:bCs/>
                <w:color w:val="000000"/>
                <w:szCs w:val="21"/>
              </w:rPr>
            </w:pPr>
            <w:r>
              <w:rPr>
                <w:rFonts w:hint="eastAsia" w:ascii="宋体" w:hAnsi="宋体" w:cs="宋体"/>
                <w:bCs/>
                <w:color w:val="000000"/>
                <w:szCs w:val="21"/>
              </w:rPr>
              <w:t>任务管理</w:t>
            </w:r>
          </w:p>
        </w:tc>
        <w:tc>
          <w:tcPr>
            <w:tcW w:w="6063" w:type="dxa"/>
            <w:noWrap w:val="0"/>
            <w:vAlign w:val="center"/>
          </w:tcPr>
          <w:p w14:paraId="3E224B6B">
            <w:pPr>
              <w:spacing w:line="360" w:lineRule="auto"/>
              <w:contextualSpacing/>
              <w:rPr>
                <w:rFonts w:hint="eastAsia" w:ascii="宋体" w:hAnsi="宋体" w:cs="宋体"/>
                <w:bCs/>
                <w:color w:val="000000"/>
                <w:szCs w:val="21"/>
              </w:rPr>
            </w:pPr>
            <w:r>
              <w:rPr>
                <w:rFonts w:hint="eastAsia" w:ascii="宋体" w:hAnsi="宋体" w:cs="宋体"/>
                <w:bCs/>
                <w:color w:val="000000"/>
                <w:szCs w:val="21"/>
              </w:rPr>
              <w:t>管理员所有任务的管理，支持查看当前最新任务的类型、状态、下发时间、进度，可取消发起的任务，支持查看历史任务类型、下发时间、进度，可删除历史任务</w:t>
            </w:r>
          </w:p>
        </w:tc>
      </w:tr>
      <w:tr w14:paraId="0643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044623E">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66A9253B">
            <w:pPr>
              <w:spacing w:line="360" w:lineRule="auto"/>
              <w:contextualSpacing/>
              <w:rPr>
                <w:rFonts w:hint="eastAsia" w:ascii="宋体" w:hAnsi="宋体" w:cs="宋体"/>
                <w:bCs/>
                <w:color w:val="000000"/>
                <w:szCs w:val="21"/>
              </w:rPr>
            </w:pPr>
            <w:r>
              <w:rPr>
                <w:rFonts w:hint="eastAsia" w:ascii="宋体" w:hAnsi="宋体" w:cs="宋体"/>
                <w:bCs/>
                <w:color w:val="000000"/>
                <w:szCs w:val="21"/>
              </w:rPr>
              <w:t>终端行为日志</w:t>
            </w:r>
          </w:p>
        </w:tc>
        <w:tc>
          <w:tcPr>
            <w:tcW w:w="6063" w:type="dxa"/>
            <w:noWrap w:val="0"/>
            <w:vAlign w:val="center"/>
          </w:tcPr>
          <w:p w14:paraId="25A3671E">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支持终端安装卸载、升级、开关机、预警、软件分发、登录注销等日志的统计与收集展示；</w:t>
            </w:r>
          </w:p>
        </w:tc>
      </w:tr>
      <w:tr w14:paraId="5566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03AABD5">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1D89BDB">
            <w:pPr>
              <w:spacing w:line="360" w:lineRule="auto"/>
              <w:contextualSpacing/>
              <w:rPr>
                <w:rFonts w:hint="eastAsia" w:ascii="宋体" w:hAnsi="宋体" w:cs="宋体"/>
                <w:bCs/>
                <w:color w:val="000000"/>
                <w:szCs w:val="21"/>
              </w:rPr>
            </w:pPr>
            <w:r>
              <w:rPr>
                <w:rFonts w:hint="eastAsia" w:ascii="宋体" w:hAnsi="宋体" w:cs="宋体"/>
                <w:bCs/>
                <w:color w:val="000000"/>
                <w:szCs w:val="21"/>
              </w:rPr>
              <w:t>管理员操作日志</w:t>
            </w:r>
          </w:p>
        </w:tc>
        <w:tc>
          <w:tcPr>
            <w:tcW w:w="6063" w:type="dxa"/>
            <w:noWrap w:val="0"/>
            <w:vAlign w:val="center"/>
          </w:tcPr>
          <w:p w14:paraId="36529951">
            <w:pPr>
              <w:spacing w:line="360" w:lineRule="auto"/>
              <w:contextualSpacing/>
              <w:rPr>
                <w:rFonts w:hint="eastAsia" w:ascii="宋体" w:hAnsi="宋体" w:cs="宋体"/>
                <w:bCs/>
                <w:color w:val="000000"/>
                <w:szCs w:val="21"/>
              </w:rPr>
            </w:pPr>
            <w:r>
              <w:rPr>
                <w:rFonts w:hint="eastAsia" w:ascii="宋体" w:hAnsi="宋体" w:cs="宋体"/>
                <w:bCs/>
                <w:color w:val="000000"/>
                <w:szCs w:val="21"/>
              </w:rPr>
              <w:t>记录管理员操作情况</w:t>
            </w:r>
          </w:p>
        </w:tc>
      </w:tr>
      <w:tr w14:paraId="54E0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Merge w:val="continue"/>
            <w:noWrap w:val="0"/>
            <w:vAlign w:val="center"/>
          </w:tcPr>
          <w:p w14:paraId="1E7453EB">
            <w:pPr>
              <w:spacing w:line="360" w:lineRule="auto"/>
              <w:ind w:firstLine="420" w:firstLineChars="200"/>
              <w:contextualSpacing/>
              <w:rPr>
                <w:rFonts w:hint="eastAsia" w:ascii="宋体" w:hAnsi="宋体" w:cs="宋体"/>
                <w:bCs/>
                <w:color w:val="000000"/>
                <w:szCs w:val="21"/>
              </w:rPr>
            </w:pPr>
          </w:p>
        </w:tc>
        <w:tc>
          <w:tcPr>
            <w:tcW w:w="1886" w:type="dxa"/>
            <w:vMerge w:val="restart"/>
            <w:noWrap w:val="0"/>
            <w:vAlign w:val="center"/>
          </w:tcPr>
          <w:p w14:paraId="57777DB0">
            <w:pPr>
              <w:spacing w:line="360" w:lineRule="auto"/>
              <w:contextualSpacing/>
              <w:rPr>
                <w:rFonts w:hint="eastAsia" w:ascii="宋体" w:hAnsi="宋体" w:cs="宋体"/>
                <w:bCs/>
                <w:color w:val="000000"/>
                <w:szCs w:val="21"/>
              </w:rPr>
            </w:pPr>
            <w:r>
              <w:rPr>
                <w:rFonts w:hint="eastAsia" w:ascii="宋体" w:hAnsi="宋体" w:cs="宋体"/>
                <w:bCs/>
                <w:color w:val="000000"/>
                <w:szCs w:val="21"/>
              </w:rPr>
              <w:t>远程接入报表</w:t>
            </w:r>
          </w:p>
        </w:tc>
        <w:tc>
          <w:tcPr>
            <w:tcW w:w="6063" w:type="dxa"/>
            <w:noWrap w:val="0"/>
            <w:vAlign w:val="center"/>
          </w:tcPr>
          <w:p w14:paraId="275E142A">
            <w:pPr>
              <w:spacing w:line="360" w:lineRule="auto"/>
              <w:contextualSpacing/>
              <w:rPr>
                <w:rFonts w:hint="eastAsia" w:ascii="宋体" w:hAnsi="宋体" w:cs="宋体"/>
                <w:bCs/>
                <w:color w:val="000000"/>
                <w:szCs w:val="21"/>
              </w:rPr>
            </w:pPr>
            <w:r>
              <w:rPr>
                <w:rFonts w:hint="eastAsia" w:ascii="宋体" w:hAnsi="宋体" w:cs="宋体"/>
                <w:bCs/>
                <w:color w:val="000000"/>
                <w:szCs w:val="21"/>
              </w:rPr>
              <w:t>上报用户使用客户端中所有生成的基于终端设备的请求信息，管理员可通过管理后台直接查看基于终端设备的访问日志</w:t>
            </w:r>
          </w:p>
        </w:tc>
      </w:tr>
      <w:tr w14:paraId="29EA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3F598ECA">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5C428607">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057386C9">
            <w:pPr>
              <w:spacing w:line="360" w:lineRule="auto"/>
              <w:contextualSpacing/>
              <w:rPr>
                <w:rFonts w:hint="eastAsia" w:ascii="宋体" w:hAnsi="宋体" w:cs="宋体"/>
                <w:bCs/>
                <w:color w:val="000000"/>
                <w:szCs w:val="21"/>
              </w:rPr>
            </w:pPr>
            <w:r>
              <w:rPr>
                <w:rFonts w:hint="eastAsia" w:ascii="宋体" w:hAnsi="宋体" w:cs="宋体"/>
                <w:bCs/>
                <w:color w:val="000000"/>
                <w:szCs w:val="21"/>
              </w:rPr>
              <w:t>上报用户使用客户端中所有生成的请求信息，管理员可通过管理后台直接查看所有访问日志</w:t>
            </w:r>
          </w:p>
        </w:tc>
      </w:tr>
      <w:tr w14:paraId="7F10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restart"/>
            <w:noWrap w:val="0"/>
            <w:vAlign w:val="center"/>
          </w:tcPr>
          <w:p w14:paraId="3219DBF9">
            <w:pPr>
              <w:spacing w:line="360" w:lineRule="auto"/>
              <w:contextualSpacing/>
              <w:rPr>
                <w:rFonts w:hint="eastAsia" w:ascii="宋体" w:hAnsi="宋体" w:cs="宋体"/>
                <w:bCs/>
                <w:color w:val="000000"/>
                <w:szCs w:val="21"/>
              </w:rPr>
            </w:pPr>
            <w:r>
              <w:rPr>
                <w:rFonts w:hint="eastAsia" w:ascii="宋体" w:hAnsi="宋体" w:cs="宋体"/>
                <w:bCs/>
                <w:color w:val="000000"/>
                <w:szCs w:val="21"/>
              </w:rPr>
              <w:t>资质与认证</w:t>
            </w:r>
          </w:p>
        </w:tc>
        <w:tc>
          <w:tcPr>
            <w:tcW w:w="1886" w:type="dxa"/>
            <w:noWrap w:val="0"/>
            <w:vAlign w:val="center"/>
          </w:tcPr>
          <w:p w14:paraId="0EFC6A29">
            <w:pPr>
              <w:spacing w:line="360" w:lineRule="auto"/>
              <w:contextualSpacing/>
              <w:rPr>
                <w:rFonts w:hint="eastAsia" w:ascii="宋体" w:hAnsi="宋体" w:cs="宋体"/>
                <w:bCs/>
                <w:color w:val="000000"/>
                <w:szCs w:val="21"/>
              </w:rPr>
            </w:pPr>
            <w:r>
              <w:rPr>
                <w:rFonts w:hint="eastAsia" w:ascii="宋体" w:hAnsi="宋体" w:cs="宋体"/>
                <w:bCs/>
                <w:color w:val="000000"/>
                <w:szCs w:val="21"/>
              </w:rPr>
              <w:t>销售许可证</w:t>
            </w:r>
          </w:p>
        </w:tc>
        <w:tc>
          <w:tcPr>
            <w:tcW w:w="6063" w:type="dxa"/>
            <w:noWrap w:val="0"/>
            <w:vAlign w:val="center"/>
          </w:tcPr>
          <w:p w14:paraId="5D310A24">
            <w:pPr>
              <w:spacing w:line="360" w:lineRule="auto"/>
              <w:contextualSpacing/>
              <w:rPr>
                <w:rFonts w:hint="eastAsia" w:ascii="宋体" w:hAnsi="宋体" w:cs="宋体"/>
                <w:bCs/>
                <w:color w:val="000000"/>
                <w:szCs w:val="21"/>
              </w:rPr>
            </w:pPr>
            <w:r>
              <w:rPr>
                <w:rFonts w:hint="eastAsia" w:ascii="宋体" w:hAnsi="宋体" w:cs="宋体"/>
                <w:bCs/>
                <w:color w:val="000000"/>
                <w:szCs w:val="21"/>
              </w:rPr>
              <w:t>产品获得公安部计算机信息系统安全专用产品《销售许可证》，并为一级品资质</w:t>
            </w:r>
          </w:p>
        </w:tc>
      </w:tr>
      <w:tr w14:paraId="4C81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9" w:type="dxa"/>
            <w:vMerge w:val="continue"/>
            <w:noWrap w:val="0"/>
            <w:vAlign w:val="center"/>
          </w:tcPr>
          <w:p w14:paraId="7403D06E">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7E0A742A">
            <w:pPr>
              <w:spacing w:line="360" w:lineRule="auto"/>
              <w:contextualSpacing/>
              <w:rPr>
                <w:rFonts w:hint="eastAsia" w:ascii="宋体" w:hAnsi="宋体" w:cs="宋体"/>
                <w:bCs/>
                <w:color w:val="000000"/>
                <w:szCs w:val="21"/>
              </w:rPr>
            </w:pPr>
            <w:r>
              <w:rPr>
                <w:rFonts w:hint="eastAsia" w:ascii="宋体" w:hAnsi="宋体" w:cs="宋体"/>
                <w:bCs/>
                <w:color w:val="000000"/>
                <w:szCs w:val="21"/>
              </w:rPr>
              <w:t>软件著作权</w:t>
            </w:r>
          </w:p>
        </w:tc>
        <w:tc>
          <w:tcPr>
            <w:tcW w:w="6063" w:type="dxa"/>
            <w:noWrap w:val="0"/>
            <w:vAlign w:val="center"/>
          </w:tcPr>
          <w:p w14:paraId="3F75CEC3">
            <w:pPr>
              <w:spacing w:line="360" w:lineRule="auto"/>
              <w:contextualSpacing/>
              <w:rPr>
                <w:rFonts w:hint="eastAsia" w:ascii="宋体" w:hAnsi="宋体" w:cs="宋体"/>
                <w:bCs/>
                <w:color w:val="000000"/>
                <w:szCs w:val="21"/>
              </w:rPr>
            </w:pPr>
            <w:r>
              <w:rPr>
                <w:rFonts w:hint="eastAsia" w:ascii="宋体" w:hAnsi="宋体" w:cs="宋体"/>
                <w:bCs/>
                <w:color w:val="000000"/>
                <w:szCs w:val="21"/>
              </w:rPr>
              <w:t>产品为厂商独立自研，并获得中华人民共和国国家版权局颁发的《计算机软件著作权登记》证书</w:t>
            </w:r>
          </w:p>
        </w:tc>
      </w:tr>
      <w:tr w14:paraId="28EC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7D90E63D">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73CE70B">
            <w:pPr>
              <w:spacing w:line="360" w:lineRule="auto"/>
              <w:contextualSpacing/>
              <w:rPr>
                <w:rFonts w:hint="eastAsia" w:ascii="宋体" w:hAnsi="宋体" w:cs="宋体"/>
                <w:bCs/>
                <w:color w:val="000000"/>
                <w:szCs w:val="21"/>
              </w:rPr>
            </w:pPr>
            <w:r>
              <w:rPr>
                <w:rFonts w:hint="eastAsia" w:ascii="宋体" w:hAnsi="宋体" w:cs="宋体"/>
                <w:bCs/>
                <w:color w:val="000000"/>
                <w:szCs w:val="21"/>
              </w:rPr>
              <w:t>零信任安全能力</w:t>
            </w:r>
          </w:p>
        </w:tc>
        <w:tc>
          <w:tcPr>
            <w:tcW w:w="6063" w:type="dxa"/>
            <w:noWrap w:val="0"/>
            <w:vAlign w:val="center"/>
          </w:tcPr>
          <w:p w14:paraId="781BD46A">
            <w:pPr>
              <w:spacing w:line="360" w:lineRule="auto"/>
              <w:contextualSpacing/>
              <w:rPr>
                <w:rFonts w:hint="eastAsia" w:ascii="宋体" w:hAnsi="宋体" w:cs="宋体"/>
                <w:bCs/>
                <w:color w:val="000000"/>
                <w:szCs w:val="21"/>
              </w:rPr>
            </w:pPr>
            <w:r>
              <w:rPr>
                <w:rFonts w:hint="eastAsia" w:ascii="宋体" w:hAnsi="宋体" w:cs="宋体"/>
                <w:bCs/>
                <w:color w:val="000000"/>
                <w:szCs w:val="21"/>
              </w:rPr>
              <w:t>产品满足中国信息通信研究院的零信任安全能力评估要求。</w:t>
            </w:r>
          </w:p>
        </w:tc>
      </w:tr>
      <w:tr w14:paraId="15C9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59" w:type="dxa"/>
            <w:vMerge w:val="continue"/>
            <w:noWrap w:val="0"/>
            <w:vAlign w:val="center"/>
          </w:tcPr>
          <w:p w14:paraId="63149E78">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135C3FBB">
            <w:pPr>
              <w:spacing w:line="360" w:lineRule="auto"/>
              <w:contextualSpacing/>
              <w:rPr>
                <w:rFonts w:hint="eastAsia" w:ascii="宋体" w:hAnsi="宋体" w:cs="宋体"/>
                <w:bCs/>
                <w:color w:val="000000"/>
                <w:szCs w:val="21"/>
              </w:rPr>
            </w:pPr>
            <w:r>
              <w:rPr>
                <w:rFonts w:hint="eastAsia" w:ascii="宋体" w:hAnsi="宋体" w:cs="宋体"/>
                <w:bCs/>
                <w:color w:val="000000"/>
                <w:szCs w:val="21"/>
              </w:rPr>
              <w:t>CCRC-IT产品信息安全认证</w:t>
            </w:r>
          </w:p>
        </w:tc>
        <w:tc>
          <w:tcPr>
            <w:tcW w:w="6063" w:type="dxa"/>
            <w:noWrap w:val="0"/>
            <w:vAlign w:val="center"/>
          </w:tcPr>
          <w:p w14:paraId="09B39C09">
            <w:pPr>
              <w:spacing w:line="360" w:lineRule="auto"/>
              <w:contextualSpacing/>
              <w:rPr>
                <w:rFonts w:hint="eastAsia" w:ascii="宋体" w:hAnsi="宋体" w:cs="宋体"/>
                <w:bCs/>
                <w:color w:val="000000"/>
                <w:szCs w:val="21"/>
              </w:rPr>
            </w:pPr>
            <w:r>
              <w:rPr>
                <w:rFonts w:hint="eastAsia" w:ascii="宋体" w:hAnsi="宋体" w:cs="宋体"/>
                <w:bCs/>
                <w:color w:val="000000"/>
                <w:szCs w:val="21"/>
              </w:rPr>
              <w:t>产品满足中国网络安全审查技术与认证中心的信息技术安全评估要求。</w:t>
            </w:r>
          </w:p>
        </w:tc>
      </w:tr>
      <w:tr w14:paraId="389E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326018FF">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168C69FA">
            <w:pPr>
              <w:spacing w:line="360" w:lineRule="auto"/>
              <w:contextualSpacing/>
              <w:rPr>
                <w:rFonts w:hint="eastAsia" w:ascii="宋体" w:hAnsi="宋体" w:cs="宋体"/>
                <w:bCs/>
                <w:color w:val="000000"/>
                <w:szCs w:val="21"/>
              </w:rPr>
            </w:pPr>
            <w:r>
              <w:rPr>
                <w:rFonts w:hint="eastAsia" w:ascii="宋体" w:hAnsi="宋体" w:cs="宋体"/>
                <w:bCs/>
                <w:color w:val="000000"/>
                <w:szCs w:val="21"/>
              </w:rPr>
              <w:t>漏洞挖掘能力</w:t>
            </w:r>
          </w:p>
        </w:tc>
        <w:tc>
          <w:tcPr>
            <w:tcW w:w="6063" w:type="dxa"/>
            <w:noWrap w:val="0"/>
            <w:vAlign w:val="center"/>
          </w:tcPr>
          <w:p w14:paraId="4B8DD36F">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厂商具备向国家信息安全漏洞库（CNNVD）提交漏洞的能力</w:t>
            </w:r>
          </w:p>
        </w:tc>
      </w:tr>
      <w:tr w14:paraId="41EE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9" w:type="dxa"/>
            <w:vMerge w:val="continue"/>
            <w:noWrap w:val="0"/>
            <w:vAlign w:val="center"/>
          </w:tcPr>
          <w:p w14:paraId="7426ED32">
            <w:pPr>
              <w:spacing w:line="360" w:lineRule="auto"/>
              <w:ind w:firstLine="420" w:firstLineChars="200"/>
              <w:contextualSpacing/>
              <w:rPr>
                <w:rFonts w:hint="eastAsia" w:ascii="宋体" w:hAnsi="宋体" w:cs="宋体"/>
                <w:bCs/>
                <w:color w:val="000000"/>
                <w:szCs w:val="21"/>
              </w:rPr>
            </w:pPr>
          </w:p>
        </w:tc>
        <w:tc>
          <w:tcPr>
            <w:tcW w:w="1886" w:type="dxa"/>
            <w:vMerge w:val="restart"/>
            <w:noWrap w:val="0"/>
            <w:vAlign w:val="center"/>
          </w:tcPr>
          <w:p w14:paraId="34A2D712">
            <w:pPr>
              <w:spacing w:line="360" w:lineRule="auto"/>
              <w:contextualSpacing/>
              <w:rPr>
                <w:rFonts w:hint="eastAsia" w:ascii="宋体" w:hAnsi="宋体" w:cs="宋体"/>
                <w:bCs/>
                <w:color w:val="000000"/>
                <w:szCs w:val="21"/>
              </w:rPr>
            </w:pPr>
            <w:r>
              <w:rPr>
                <w:rFonts w:hint="eastAsia" w:ascii="宋体" w:hAnsi="宋体" w:cs="宋体"/>
                <w:bCs/>
                <w:color w:val="000000"/>
                <w:szCs w:val="21"/>
              </w:rPr>
              <w:t>技术支撑单位</w:t>
            </w:r>
          </w:p>
        </w:tc>
        <w:tc>
          <w:tcPr>
            <w:tcW w:w="6063" w:type="dxa"/>
            <w:noWrap w:val="0"/>
            <w:vAlign w:val="center"/>
          </w:tcPr>
          <w:p w14:paraId="4074C110">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厂商为国家网络与信息安全信息通报中心技术支持单位</w:t>
            </w:r>
          </w:p>
        </w:tc>
      </w:tr>
      <w:tr w14:paraId="5D8B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60E2F5C9">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2816A883">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5C138590">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厂商为中国国家信息安全漏洞库支撑单位</w:t>
            </w:r>
          </w:p>
        </w:tc>
      </w:tr>
      <w:tr w14:paraId="4300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0958353A">
            <w:pPr>
              <w:spacing w:line="360" w:lineRule="auto"/>
              <w:ind w:firstLine="420" w:firstLineChars="200"/>
              <w:contextualSpacing/>
              <w:rPr>
                <w:rFonts w:hint="eastAsia" w:ascii="宋体" w:hAnsi="宋体" w:cs="宋体"/>
                <w:bCs/>
                <w:color w:val="000000"/>
                <w:szCs w:val="21"/>
              </w:rPr>
            </w:pPr>
          </w:p>
        </w:tc>
        <w:tc>
          <w:tcPr>
            <w:tcW w:w="1886" w:type="dxa"/>
            <w:vMerge w:val="continue"/>
            <w:noWrap w:val="0"/>
            <w:vAlign w:val="center"/>
          </w:tcPr>
          <w:p w14:paraId="3EC0AD73">
            <w:pPr>
              <w:spacing w:line="360" w:lineRule="auto"/>
              <w:ind w:firstLine="420" w:firstLineChars="200"/>
              <w:contextualSpacing/>
              <w:rPr>
                <w:rFonts w:hint="eastAsia" w:ascii="宋体" w:hAnsi="宋体" w:cs="宋体"/>
                <w:bCs/>
                <w:color w:val="000000"/>
                <w:szCs w:val="21"/>
              </w:rPr>
            </w:pPr>
          </w:p>
        </w:tc>
        <w:tc>
          <w:tcPr>
            <w:tcW w:w="6063" w:type="dxa"/>
            <w:noWrap w:val="0"/>
            <w:vAlign w:val="center"/>
          </w:tcPr>
          <w:p w14:paraId="18E30CFF">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厂商为国家信息安全漏洞共享平台技术组成员</w:t>
            </w:r>
          </w:p>
        </w:tc>
      </w:tr>
      <w:tr w14:paraId="4A1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4C8AFB3B">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026FB687">
            <w:pPr>
              <w:spacing w:line="360" w:lineRule="auto"/>
              <w:contextualSpacing/>
              <w:rPr>
                <w:rFonts w:hint="eastAsia" w:ascii="宋体" w:hAnsi="宋体" w:cs="宋体"/>
                <w:bCs/>
                <w:color w:val="000000"/>
                <w:szCs w:val="21"/>
              </w:rPr>
            </w:pPr>
            <w:r>
              <w:rPr>
                <w:rFonts w:hint="eastAsia" w:ascii="宋体" w:hAnsi="宋体" w:cs="宋体"/>
                <w:bCs/>
                <w:color w:val="000000"/>
                <w:szCs w:val="21"/>
              </w:rPr>
              <w:t>行业影响力</w:t>
            </w:r>
          </w:p>
        </w:tc>
        <w:tc>
          <w:tcPr>
            <w:tcW w:w="6063" w:type="dxa"/>
            <w:noWrap w:val="0"/>
            <w:vAlign w:val="center"/>
          </w:tcPr>
          <w:p w14:paraId="3A7C2FFF">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厂商在国际知名标准组织申请立项零信任相关标准</w:t>
            </w:r>
          </w:p>
        </w:tc>
      </w:tr>
      <w:tr w14:paraId="6BB8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vMerge w:val="continue"/>
            <w:noWrap w:val="0"/>
            <w:vAlign w:val="center"/>
          </w:tcPr>
          <w:p w14:paraId="02D34664">
            <w:pPr>
              <w:spacing w:line="360" w:lineRule="auto"/>
              <w:ind w:firstLine="420" w:firstLineChars="200"/>
              <w:contextualSpacing/>
              <w:rPr>
                <w:rFonts w:hint="eastAsia" w:ascii="宋体" w:hAnsi="宋体" w:cs="宋体"/>
                <w:bCs/>
                <w:color w:val="000000"/>
                <w:szCs w:val="21"/>
              </w:rPr>
            </w:pPr>
          </w:p>
        </w:tc>
        <w:tc>
          <w:tcPr>
            <w:tcW w:w="1886" w:type="dxa"/>
            <w:noWrap w:val="0"/>
            <w:vAlign w:val="center"/>
          </w:tcPr>
          <w:p w14:paraId="27C32702">
            <w:pPr>
              <w:spacing w:line="360" w:lineRule="auto"/>
              <w:contextualSpacing/>
              <w:rPr>
                <w:rFonts w:hint="eastAsia" w:ascii="宋体" w:hAnsi="宋体" w:cs="宋体"/>
                <w:bCs/>
                <w:color w:val="000000"/>
                <w:szCs w:val="21"/>
              </w:rPr>
            </w:pPr>
            <w:r>
              <w:rPr>
                <w:rFonts w:hint="eastAsia" w:ascii="宋体" w:hAnsi="宋体" w:cs="宋体"/>
                <w:bCs/>
                <w:color w:val="000000"/>
                <w:szCs w:val="21"/>
              </w:rPr>
              <w:t>第三方合作</w:t>
            </w:r>
          </w:p>
        </w:tc>
        <w:tc>
          <w:tcPr>
            <w:tcW w:w="6063" w:type="dxa"/>
            <w:noWrap w:val="0"/>
            <w:vAlign w:val="center"/>
          </w:tcPr>
          <w:p w14:paraId="592FB8D5">
            <w:pPr>
              <w:spacing w:line="360" w:lineRule="auto"/>
              <w:contextualSpacing/>
              <w:rPr>
                <w:rFonts w:hint="eastAsia" w:ascii="宋体" w:hAnsi="宋体" w:cs="宋体"/>
                <w:bCs/>
                <w:color w:val="000000"/>
                <w:szCs w:val="21"/>
              </w:rPr>
            </w:pPr>
            <w:r>
              <w:rPr>
                <w:rFonts w:hint="eastAsia" w:ascii="宋体" w:hAnsi="宋体" w:cs="宋体"/>
                <w:bCs/>
                <w:color w:val="000000"/>
                <w:szCs w:val="21"/>
              </w:rPr>
              <w:t>厂商为互联网安全工作组理事</w:t>
            </w:r>
          </w:p>
        </w:tc>
      </w:tr>
    </w:tbl>
    <w:p w14:paraId="2AAE9867">
      <w:pPr>
        <w:rPr>
          <w:rFonts w:hint="eastAsia"/>
        </w:rPr>
      </w:pPr>
    </w:p>
    <w:p w14:paraId="266747D9">
      <w:pPr>
        <w:pStyle w:val="3"/>
        <w:numPr>
          <w:ilvl w:val="0"/>
          <w:numId w:val="3"/>
        </w:numPr>
        <w:ind w:firstLine="422"/>
        <w:rPr>
          <w:rFonts w:hint="eastAsia"/>
        </w:rPr>
      </w:pPr>
      <w:r>
        <w:rPr>
          <w:rFonts w:hint="eastAsia"/>
        </w:rPr>
        <w:t>内网探针</w:t>
      </w:r>
    </w:p>
    <w:tbl>
      <w:tblPr>
        <w:tblStyle w:val="9"/>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026"/>
      </w:tblGrid>
      <w:tr w14:paraId="57F7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96" w:type="dxa"/>
            <w:noWrap w:val="0"/>
            <w:vAlign w:val="center"/>
          </w:tcPr>
          <w:p w14:paraId="76DB8E37">
            <w:pPr>
              <w:jc w:val="left"/>
              <w:rPr>
                <w:rFonts w:hint="eastAsia"/>
                <w:b/>
                <w:bCs/>
                <w:lang w:eastAsia="zh-Hans"/>
              </w:rPr>
            </w:pPr>
            <w:r>
              <w:rPr>
                <w:rFonts w:hint="eastAsia"/>
                <w:b/>
                <w:bCs/>
              </w:rPr>
              <w:t>技术指标</w:t>
            </w:r>
          </w:p>
        </w:tc>
        <w:tc>
          <w:tcPr>
            <w:tcW w:w="7026" w:type="dxa"/>
            <w:noWrap w:val="0"/>
            <w:vAlign w:val="center"/>
          </w:tcPr>
          <w:p w14:paraId="119D129C">
            <w:pPr>
              <w:jc w:val="left"/>
              <w:rPr>
                <w:rFonts w:hint="eastAsia"/>
                <w:b/>
                <w:bCs/>
                <w:lang w:eastAsia="zh-Hans"/>
              </w:rPr>
            </w:pPr>
            <w:r>
              <w:rPr>
                <w:rFonts w:hint="eastAsia"/>
                <w:b/>
                <w:bCs/>
              </w:rPr>
              <w:t>指标要求</w:t>
            </w:r>
          </w:p>
        </w:tc>
      </w:tr>
      <w:tr w14:paraId="4074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62" w:type="pct"/>
            <w:vMerge w:val="restart"/>
            <w:noWrap w:val="0"/>
            <w:vAlign w:val="center"/>
          </w:tcPr>
          <w:p w14:paraId="37B75728">
            <w:pPr>
              <w:spacing w:line="360" w:lineRule="auto"/>
              <w:contextualSpacing/>
              <w:rPr>
                <w:rFonts w:hint="eastAsia" w:ascii="宋体" w:hAnsi="宋体" w:cs="宋体"/>
                <w:bCs/>
                <w:color w:val="000000"/>
                <w:szCs w:val="21"/>
              </w:rPr>
            </w:pPr>
            <w:r>
              <w:rPr>
                <w:rFonts w:hint="eastAsia" w:ascii="宋体" w:hAnsi="宋体" w:cs="宋体"/>
                <w:bCs/>
                <w:color w:val="000000"/>
                <w:szCs w:val="21"/>
              </w:rPr>
              <w:t>▲硬件与性能要求</w:t>
            </w:r>
          </w:p>
        </w:tc>
        <w:tc>
          <w:tcPr>
            <w:tcW w:w="3937" w:type="pct"/>
            <w:vMerge w:val="restart"/>
            <w:noWrap w:val="0"/>
            <w:vAlign w:val="center"/>
          </w:tcPr>
          <w:p w14:paraId="4055CA6B">
            <w:pPr>
              <w:spacing w:line="360" w:lineRule="auto"/>
              <w:contextualSpacing/>
              <w:rPr>
                <w:rFonts w:hint="eastAsia" w:ascii="宋体" w:hAnsi="宋体" w:cs="宋体"/>
                <w:bCs/>
                <w:color w:val="000000"/>
                <w:szCs w:val="21"/>
              </w:rPr>
            </w:pPr>
            <w:r>
              <w:rPr>
                <w:rFonts w:hint="eastAsia" w:ascii="宋体" w:hAnsi="宋体" w:cs="宋体"/>
                <w:bCs/>
                <w:color w:val="000000"/>
                <w:szCs w:val="21"/>
              </w:rPr>
              <w:t>性能参数：网络层吞吐量：≥3Gbps，应用层吞吐量：≥1.2Gbps；硬件参数：规格：≥1U，内存大小：≥16G，硬盘容量：≥480G SSD，电源：单电源，接口：≥6千兆电口+2万兆光口SFP+；提供</w:t>
            </w:r>
            <w:r>
              <w:rPr>
                <w:rFonts w:hint="eastAsia" w:ascii="宋体" w:hAnsi="宋体" w:cs="宋体"/>
                <w:b/>
                <w:color w:val="000000"/>
                <w:szCs w:val="21"/>
              </w:rPr>
              <w:t>5年硬件质保和软件升级服务</w:t>
            </w:r>
            <w:r>
              <w:rPr>
                <w:rFonts w:hint="eastAsia" w:ascii="宋体" w:hAnsi="宋体" w:cs="宋体"/>
                <w:bCs/>
                <w:color w:val="000000"/>
                <w:szCs w:val="21"/>
              </w:rPr>
              <w:t>。</w:t>
            </w:r>
          </w:p>
        </w:tc>
      </w:tr>
      <w:tr w14:paraId="0765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2" w:type="pct"/>
            <w:vMerge w:val="continue"/>
            <w:noWrap w:val="0"/>
            <w:vAlign w:val="center"/>
          </w:tcPr>
          <w:p w14:paraId="054D4E23">
            <w:pPr>
              <w:rPr>
                <w:rFonts w:hint="eastAsia" w:ascii="宋体" w:hAnsi="宋体" w:cs="宋体"/>
                <w:bCs/>
                <w:color w:val="000000"/>
                <w:szCs w:val="21"/>
              </w:rPr>
            </w:pPr>
          </w:p>
        </w:tc>
        <w:tc>
          <w:tcPr>
            <w:tcW w:w="3937" w:type="pct"/>
            <w:vMerge w:val="continue"/>
            <w:noWrap w:val="0"/>
            <w:vAlign w:val="center"/>
          </w:tcPr>
          <w:p w14:paraId="69F421CB">
            <w:pPr>
              <w:jc w:val="center"/>
              <w:rPr>
                <w:rFonts w:hint="eastAsia" w:ascii="宋体" w:hAnsi="宋体" w:cs="宋体"/>
                <w:bCs/>
                <w:color w:val="000000"/>
                <w:szCs w:val="21"/>
              </w:rPr>
            </w:pPr>
          </w:p>
        </w:tc>
      </w:tr>
      <w:tr w14:paraId="4302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62" w:type="pct"/>
            <w:vMerge w:val="continue"/>
            <w:noWrap w:val="0"/>
            <w:vAlign w:val="center"/>
          </w:tcPr>
          <w:p w14:paraId="64AD34C1">
            <w:pPr>
              <w:rPr>
                <w:rFonts w:hint="eastAsia" w:ascii="宋体" w:hAnsi="宋体" w:cs="宋体"/>
                <w:bCs/>
                <w:color w:val="000000"/>
                <w:szCs w:val="21"/>
              </w:rPr>
            </w:pPr>
          </w:p>
        </w:tc>
        <w:tc>
          <w:tcPr>
            <w:tcW w:w="3937" w:type="pct"/>
            <w:vMerge w:val="continue"/>
            <w:noWrap w:val="0"/>
            <w:vAlign w:val="center"/>
          </w:tcPr>
          <w:p w14:paraId="4BF642B0">
            <w:pPr>
              <w:jc w:val="center"/>
              <w:rPr>
                <w:rFonts w:hint="eastAsia" w:ascii="宋体" w:hAnsi="宋体" w:cs="宋体"/>
                <w:bCs/>
                <w:color w:val="000000"/>
                <w:szCs w:val="21"/>
              </w:rPr>
            </w:pPr>
          </w:p>
        </w:tc>
      </w:tr>
      <w:tr w14:paraId="006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062" w:type="pct"/>
            <w:noWrap/>
            <w:vAlign w:val="center"/>
          </w:tcPr>
          <w:p w14:paraId="42EC4607">
            <w:pPr>
              <w:spacing w:line="360" w:lineRule="auto"/>
              <w:contextualSpacing/>
              <w:rPr>
                <w:rFonts w:hint="eastAsia" w:ascii="宋体" w:hAnsi="宋体" w:cs="宋体"/>
                <w:bCs/>
                <w:color w:val="000000"/>
                <w:szCs w:val="21"/>
              </w:rPr>
            </w:pPr>
            <w:r>
              <w:rPr>
                <w:rFonts w:hint="eastAsia" w:ascii="宋体" w:hAnsi="宋体" w:cs="宋体"/>
                <w:bCs/>
                <w:color w:val="000000"/>
                <w:szCs w:val="21"/>
              </w:rPr>
              <w:t>部署模式</w:t>
            </w:r>
          </w:p>
        </w:tc>
        <w:tc>
          <w:tcPr>
            <w:tcW w:w="3937" w:type="pct"/>
            <w:noWrap w:val="0"/>
            <w:vAlign w:val="center"/>
          </w:tcPr>
          <w:p w14:paraId="4350096C">
            <w:pPr>
              <w:spacing w:line="360" w:lineRule="auto"/>
              <w:contextualSpacing/>
              <w:rPr>
                <w:rFonts w:hint="eastAsia" w:ascii="宋体" w:hAnsi="宋体" w:cs="宋体"/>
                <w:bCs/>
                <w:color w:val="000000"/>
                <w:szCs w:val="21"/>
              </w:rPr>
            </w:pPr>
            <w:r>
              <w:rPr>
                <w:rFonts w:hint="eastAsia" w:ascii="宋体" w:hAnsi="宋体" w:cs="宋体"/>
                <w:bCs/>
                <w:color w:val="000000"/>
                <w:szCs w:val="21"/>
              </w:rPr>
              <w:t>旁路部署，支持探针接入多个镜像口，每个接口相互独立且不影响；支持多台采集器同时部署于客户网络不同位置并将数据传输到同一套分析平台</w:t>
            </w:r>
          </w:p>
        </w:tc>
      </w:tr>
      <w:tr w14:paraId="4D6D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62" w:type="pct"/>
            <w:noWrap/>
            <w:vAlign w:val="center"/>
          </w:tcPr>
          <w:p w14:paraId="2A3853BA">
            <w:pPr>
              <w:spacing w:line="360" w:lineRule="auto"/>
              <w:contextualSpacing/>
              <w:rPr>
                <w:rFonts w:hint="eastAsia" w:ascii="宋体" w:hAnsi="宋体" w:cs="宋体"/>
                <w:bCs/>
                <w:color w:val="000000"/>
                <w:szCs w:val="21"/>
              </w:rPr>
            </w:pPr>
            <w:r>
              <w:rPr>
                <w:rFonts w:hint="eastAsia" w:ascii="宋体" w:hAnsi="宋体" w:cs="宋体"/>
                <w:bCs/>
                <w:color w:val="000000"/>
                <w:szCs w:val="21"/>
              </w:rPr>
              <w:t>违规访问</w:t>
            </w:r>
          </w:p>
        </w:tc>
        <w:tc>
          <w:tcPr>
            <w:tcW w:w="3937" w:type="pct"/>
            <w:noWrap w:val="0"/>
            <w:vAlign w:val="center"/>
          </w:tcPr>
          <w:p w14:paraId="2069A8CC">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IP，IP组，服务，访问时间等定义违规访问策略，主动建立针对性的业务和应用访问逻辑规则，针对目标IP（组）已开放的服务，白名单策略只允许白名单里的IP（组）在指定的时间内访问，其他时间或其他IP的访问均被视为违规，黑名单策略禁止黑名单里的IP（组）在指定的时间内访问，否则将被视为违规。</w:t>
            </w:r>
          </w:p>
        </w:tc>
      </w:tr>
      <w:tr w14:paraId="774D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062" w:type="pct"/>
            <w:noWrap/>
            <w:vAlign w:val="center"/>
          </w:tcPr>
          <w:p w14:paraId="7B98A130">
            <w:pPr>
              <w:spacing w:line="360" w:lineRule="auto"/>
              <w:contextualSpacing/>
              <w:rPr>
                <w:rFonts w:hint="eastAsia" w:ascii="宋体" w:hAnsi="宋体" w:cs="宋体"/>
                <w:bCs/>
                <w:color w:val="000000"/>
                <w:szCs w:val="21"/>
              </w:rPr>
            </w:pPr>
            <w:r>
              <w:rPr>
                <w:rFonts w:hint="eastAsia" w:ascii="宋体" w:hAnsi="宋体" w:cs="宋体"/>
                <w:bCs/>
                <w:color w:val="000000"/>
                <w:szCs w:val="21"/>
              </w:rPr>
              <w:t>WEB智能检测</w:t>
            </w:r>
          </w:p>
        </w:tc>
        <w:tc>
          <w:tcPr>
            <w:tcW w:w="3937" w:type="pct"/>
            <w:noWrap w:val="0"/>
            <w:vAlign w:val="center"/>
          </w:tcPr>
          <w:p w14:paraId="630DF17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p>
        </w:tc>
      </w:tr>
      <w:tr w14:paraId="4545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062" w:type="pct"/>
            <w:noWrap/>
            <w:vAlign w:val="center"/>
          </w:tcPr>
          <w:p w14:paraId="469E8742">
            <w:pPr>
              <w:spacing w:line="360" w:lineRule="auto"/>
              <w:contextualSpacing/>
              <w:rPr>
                <w:rFonts w:hint="eastAsia" w:ascii="宋体" w:hAnsi="宋体" w:cs="宋体"/>
                <w:bCs/>
                <w:color w:val="000000"/>
                <w:szCs w:val="21"/>
              </w:rPr>
            </w:pPr>
            <w:r>
              <w:rPr>
                <w:rFonts w:hint="eastAsia" w:ascii="宋体" w:hAnsi="宋体" w:cs="宋体"/>
                <w:bCs/>
                <w:color w:val="000000"/>
                <w:szCs w:val="21"/>
              </w:rPr>
              <w:t>网站攻击检测</w:t>
            </w:r>
          </w:p>
        </w:tc>
        <w:tc>
          <w:tcPr>
            <w:tcW w:w="3937" w:type="pct"/>
            <w:noWrap w:val="0"/>
            <w:vAlign w:val="center"/>
          </w:tcPr>
          <w:p w14:paraId="07ECEE2C">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支持SQL注入、XSS攻击、网页木马、网站扫描、WEBSHELL、跨站请求伪造、系统命令注入、文件包含攻击、目录遍历攻击、信息泄露攻击、Web整站系统漏洞、自定义WAF规则、WAF云防护等网站攻击检测。</w:t>
            </w:r>
          </w:p>
        </w:tc>
      </w:tr>
      <w:tr w14:paraId="0767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062" w:type="pct"/>
            <w:noWrap/>
            <w:vAlign w:val="center"/>
          </w:tcPr>
          <w:p w14:paraId="34F23DAD">
            <w:pPr>
              <w:spacing w:line="360" w:lineRule="auto"/>
              <w:contextualSpacing/>
              <w:rPr>
                <w:rFonts w:hint="eastAsia" w:ascii="宋体" w:hAnsi="宋体" w:cs="宋体"/>
                <w:bCs/>
                <w:color w:val="000000"/>
                <w:szCs w:val="21"/>
              </w:rPr>
            </w:pPr>
            <w:r>
              <w:rPr>
                <w:rFonts w:hint="eastAsia" w:ascii="宋体" w:hAnsi="宋体" w:cs="宋体"/>
                <w:bCs/>
                <w:color w:val="000000"/>
                <w:szCs w:val="21"/>
              </w:rPr>
              <w:t>敏感信息检测</w:t>
            </w:r>
          </w:p>
        </w:tc>
        <w:tc>
          <w:tcPr>
            <w:tcW w:w="3937" w:type="pct"/>
            <w:noWrap w:val="0"/>
            <w:vAlign w:val="center"/>
          </w:tcPr>
          <w:p w14:paraId="7E076466">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支持敏感信息检测功能，内置身份证、MD5、手机号码、银行卡号、邮箱等敏感信息，可自定义敏感信息检测策略选择组合的敏感信息，可基于IP统计和连接统计2种方式进行命中次数统计。</w:t>
            </w:r>
          </w:p>
        </w:tc>
      </w:tr>
      <w:tr w14:paraId="6EAA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62" w:type="pct"/>
            <w:vMerge w:val="restart"/>
            <w:noWrap/>
            <w:vAlign w:val="center"/>
          </w:tcPr>
          <w:p w14:paraId="0ACC7A33">
            <w:pPr>
              <w:spacing w:line="360" w:lineRule="auto"/>
              <w:contextualSpacing/>
              <w:rPr>
                <w:rFonts w:hint="eastAsia" w:ascii="宋体" w:hAnsi="宋体" w:cs="宋体"/>
                <w:bCs/>
                <w:color w:val="000000"/>
                <w:szCs w:val="21"/>
              </w:rPr>
            </w:pPr>
            <w:r>
              <w:rPr>
                <w:rFonts w:hint="eastAsia" w:ascii="宋体" w:hAnsi="宋体" w:cs="宋体"/>
                <w:bCs/>
                <w:color w:val="000000"/>
                <w:szCs w:val="21"/>
              </w:rPr>
              <w:t>漏洞利用攻击检测</w:t>
            </w:r>
          </w:p>
        </w:tc>
        <w:tc>
          <w:tcPr>
            <w:tcW w:w="3937" w:type="pct"/>
            <w:noWrap w:val="0"/>
            <w:vAlign w:val="center"/>
          </w:tcPr>
          <w:p w14:paraId="26A95BB9">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支持Database漏洞攻击、DNS漏洞攻击、FTP漏洞攻击、Mail漏洞攻击、Media漏洞攻击、Network Device、Shellcode漏洞攻击、System漏洞攻击、Telnet漏洞攻击、Tftp漏洞攻击、Web漏洞攻击、IPS云防护等服务漏洞攻击检测</w:t>
            </w:r>
          </w:p>
        </w:tc>
      </w:tr>
      <w:tr w14:paraId="4A37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62" w:type="pct"/>
            <w:vMerge w:val="continue"/>
            <w:noWrap/>
            <w:vAlign w:val="center"/>
          </w:tcPr>
          <w:p w14:paraId="5921E093">
            <w:pPr>
              <w:spacing w:line="360" w:lineRule="auto"/>
              <w:contextualSpacing/>
              <w:rPr>
                <w:rFonts w:hint="eastAsia" w:ascii="宋体" w:hAnsi="宋体" w:cs="宋体"/>
                <w:bCs/>
                <w:color w:val="000000"/>
                <w:szCs w:val="21"/>
              </w:rPr>
            </w:pPr>
          </w:p>
        </w:tc>
        <w:tc>
          <w:tcPr>
            <w:tcW w:w="3937" w:type="pct"/>
            <w:noWrap w:val="0"/>
            <w:vAlign w:val="center"/>
          </w:tcPr>
          <w:p w14:paraId="574587AD">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支持Application漏洞攻击、File漏洞攻击、Shellcode漏洞攻击、System漏洞利用攻击、Web Activex、Web Browser、IPS云防护等客户端漏洞攻击检测。</w:t>
            </w:r>
          </w:p>
        </w:tc>
      </w:tr>
      <w:tr w14:paraId="559B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62" w:type="pct"/>
            <w:noWrap/>
            <w:vAlign w:val="center"/>
          </w:tcPr>
          <w:p w14:paraId="107D8F56">
            <w:pPr>
              <w:spacing w:line="360" w:lineRule="auto"/>
              <w:contextualSpacing/>
              <w:rPr>
                <w:rFonts w:hint="eastAsia" w:ascii="宋体" w:hAnsi="宋体" w:cs="宋体"/>
                <w:bCs/>
                <w:color w:val="000000"/>
                <w:szCs w:val="21"/>
              </w:rPr>
            </w:pPr>
            <w:r>
              <w:rPr>
                <w:rFonts w:hint="eastAsia" w:ascii="宋体" w:hAnsi="宋体" w:cs="宋体"/>
                <w:bCs/>
                <w:color w:val="000000"/>
                <w:szCs w:val="21"/>
              </w:rPr>
              <w:t>★旁路阻断</w:t>
            </w:r>
          </w:p>
        </w:tc>
        <w:tc>
          <w:tcPr>
            <w:tcW w:w="3937" w:type="pct"/>
            <w:noWrap w:val="0"/>
            <w:vAlign w:val="center"/>
          </w:tcPr>
          <w:p w14:paraId="530E1C39">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支持基于IP和域名的旁路阻断，能够在实时镜像的流量中发现恶意IP并实现实时阻断，支持24小时/7天/最近30天/永久或者自定义时间阻断威胁（需提供截图证明）。</w:t>
            </w:r>
          </w:p>
        </w:tc>
      </w:tr>
      <w:tr w14:paraId="3F3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62" w:type="pct"/>
            <w:noWrap/>
            <w:vAlign w:val="center"/>
          </w:tcPr>
          <w:p w14:paraId="27E0BDEC">
            <w:pPr>
              <w:spacing w:line="360" w:lineRule="auto"/>
              <w:contextualSpacing/>
              <w:rPr>
                <w:rFonts w:hint="eastAsia" w:ascii="宋体" w:hAnsi="宋体" w:cs="宋体"/>
                <w:bCs/>
                <w:color w:val="000000"/>
                <w:szCs w:val="21"/>
              </w:rPr>
            </w:pPr>
            <w:r>
              <w:rPr>
                <w:rFonts w:hint="eastAsia" w:ascii="宋体" w:hAnsi="宋体" w:cs="宋体"/>
                <w:bCs/>
                <w:color w:val="000000"/>
                <w:szCs w:val="21"/>
              </w:rPr>
              <w:t>对接平台</w:t>
            </w:r>
          </w:p>
        </w:tc>
        <w:tc>
          <w:tcPr>
            <w:tcW w:w="3937" w:type="pct"/>
            <w:noWrap w:val="0"/>
            <w:vAlign w:val="center"/>
          </w:tcPr>
          <w:p w14:paraId="36ED61B6">
            <w:pPr>
              <w:spacing w:line="360" w:lineRule="auto"/>
              <w:contextualSpacing/>
              <w:rPr>
                <w:rFonts w:hint="eastAsia" w:ascii="宋体" w:hAnsi="宋体" w:cs="宋体"/>
                <w:bCs/>
                <w:color w:val="000000"/>
                <w:szCs w:val="21"/>
              </w:rPr>
            </w:pPr>
            <w:r>
              <w:rPr>
                <w:rFonts w:hint="eastAsia" w:ascii="宋体" w:hAnsi="宋体" w:cs="宋体"/>
                <w:bCs/>
                <w:color w:val="000000"/>
                <w:szCs w:val="21"/>
              </w:rPr>
              <w:t>1、 探针支持同时对接2个态势感知平台，将数据上传给不同的平台。2、支持将安全日志，审计日志上报给同品牌的XDR平台，可供安全管理员、安全运维人员更方便快捷处理。</w:t>
            </w:r>
          </w:p>
        </w:tc>
      </w:tr>
      <w:tr w14:paraId="0E7F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62" w:type="pct"/>
            <w:noWrap/>
            <w:vAlign w:val="center"/>
          </w:tcPr>
          <w:p w14:paraId="362C47CC">
            <w:pPr>
              <w:spacing w:line="360" w:lineRule="auto"/>
              <w:contextualSpacing/>
              <w:rPr>
                <w:rFonts w:hint="eastAsia" w:ascii="宋体" w:hAnsi="宋体" w:cs="宋体"/>
                <w:bCs/>
                <w:color w:val="000000"/>
                <w:szCs w:val="21"/>
              </w:rPr>
            </w:pPr>
            <w:r>
              <w:rPr>
                <w:rFonts w:hint="eastAsia" w:ascii="宋体" w:hAnsi="宋体" w:cs="宋体"/>
                <w:bCs/>
                <w:color w:val="000000"/>
                <w:szCs w:val="21"/>
              </w:rPr>
              <w:t>★日志传输模式</w:t>
            </w:r>
          </w:p>
        </w:tc>
        <w:tc>
          <w:tcPr>
            <w:tcW w:w="3937" w:type="pct"/>
            <w:noWrap w:val="0"/>
            <w:vAlign w:val="center"/>
          </w:tcPr>
          <w:p w14:paraId="5A880C8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支持5种场景的日志传输模式,包含标准模式、精简模式、高级模式、局域网模式、自定义模式，适应不同应用场景需求（需提供截图证明）。</w:t>
            </w:r>
          </w:p>
        </w:tc>
      </w:tr>
      <w:tr w14:paraId="22D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062" w:type="pct"/>
            <w:noWrap/>
            <w:vAlign w:val="center"/>
          </w:tcPr>
          <w:p w14:paraId="60523535">
            <w:pPr>
              <w:spacing w:line="360" w:lineRule="auto"/>
              <w:contextualSpacing/>
              <w:rPr>
                <w:rFonts w:hint="eastAsia" w:ascii="宋体" w:hAnsi="宋体" w:cs="宋体"/>
                <w:bCs/>
                <w:color w:val="000000"/>
                <w:szCs w:val="21"/>
              </w:rPr>
            </w:pPr>
            <w:r>
              <w:rPr>
                <w:rFonts w:hint="eastAsia" w:ascii="宋体" w:hAnsi="宋体" w:cs="宋体"/>
                <w:bCs/>
                <w:color w:val="000000"/>
                <w:szCs w:val="21"/>
              </w:rPr>
              <w:t>抓包分析</w:t>
            </w:r>
          </w:p>
        </w:tc>
        <w:tc>
          <w:tcPr>
            <w:tcW w:w="3937" w:type="pct"/>
            <w:noWrap w:val="0"/>
            <w:vAlign w:val="center"/>
          </w:tcPr>
          <w:p w14:paraId="252EC397">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流量抓包分析，基于五元组灵活抓取数据包，可定义配置源IP、源端口、目的IP和目的端口、传输层协议以及标签类型（vlan、vxlan、mpls）选择添加抓包任务，接口额外提供标签选项，帮助安全工程师高效分析威胁。</w:t>
            </w:r>
          </w:p>
        </w:tc>
      </w:tr>
      <w:tr w14:paraId="1EB1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62" w:type="pct"/>
            <w:noWrap/>
            <w:vAlign w:val="center"/>
          </w:tcPr>
          <w:p w14:paraId="076BB623">
            <w:pPr>
              <w:spacing w:line="360" w:lineRule="auto"/>
              <w:contextualSpacing/>
              <w:rPr>
                <w:rFonts w:hint="eastAsia" w:ascii="宋体" w:hAnsi="宋体" w:cs="宋体"/>
                <w:bCs/>
                <w:color w:val="000000"/>
                <w:szCs w:val="21"/>
              </w:rPr>
            </w:pPr>
            <w:r>
              <w:rPr>
                <w:rFonts w:hint="eastAsia" w:ascii="宋体" w:hAnsi="宋体" w:cs="宋体"/>
                <w:bCs/>
                <w:color w:val="000000"/>
                <w:szCs w:val="21"/>
              </w:rPr>
              <w:t>探针管理能力</w:t>
            </w:r>
          </w:p>
        </w:tc>
        <w:tc>
          <w:tcPr>
            <w:tcW w:w="3937" w:type="pct"/>
            <w:noWrap w:val="0"/>
            <w:vAlign w:val="center"/>
          </w:tcPr>
          <w:p w14:paraId="1A56351B">
            <w:pPr>
              <w:spacing w:line="360" w:lineRule="auto"/>
              <w:contextualSpacing/>
              <w:rPr>
                <w:rFonts w:hint="eastAsia" w:ascii="宋体" w:hAnsi="宋体" w:cs="宋体"/>
                <w:bCs/>
                <w:color w:val="000000"/>
                <w:szCs w:val="21"/>
              </w:rPr>
            </w:pPr>
            <w:r>
              <w:rPr>
                <w:rFonts w:hint="eastAsia" w:ascii="宋体" w:hAnsi="宋体" w:cs="宋体"/>
                <w:bCs/>
                <w:color w:val="000000"/>
                <w:szCs w:val="21"/>
              </w:rPr>
              <w:t>提供三权分立的用户管理能力：系统管理员、审计管理员、安全管理员、普通管理员四个角色相互独立；同时支持IP绑定的登录安全设置。普通管理员角色的权限可自定义模块页面的编辑和查看权限。</w:t>
            </w:r>
          </w:p>
        </w:tc>
      </w:tr>
      <w:tr w14:paraId="3134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62" w:type="pct"/>
            <w:noWrap/>
            <w:vAlign w:val="center"/>
          </w:tcPr>
          <w:p w14:paraId="5AFF33EA">
            <w:pPr>
              <w:spacing w:line="360" w:lineRule="auto"/>
              <w:contextualSpacing/>
              <w:rPr>
                <w:rFonts w:ascii="宋体" w:hAnsi="宋体" w:cs="宋体"/>
                <w:b/>
                <w:color w:val="000000"/>
                <w:szCs w:val="21"/>
              </w:rPr>
            </w:pPr>
            <w:r>
              <w:rPr>
                <w:rFonts w:hint="eastAsia" w:ascii="宋体" w:hAnsi="宋体" w:cs="宋体"/>
                <w:b/>
                <w:color w:val="000000"/>
                <w:szCs w:val="21"/>
              </w:rPr>
              <w:t>兼容</w:t>
            </w:r>
          </w:p>
        </w:tc>
        <w:tc>
          <w:tcPr>
            <w:tcW w:w="3937" w:type="pct"/>
            <w:noWrap w:val="0"/>
            <w:vAlign w:val="center"/>
          </w:tcPr>
          <w:p w14:paraId="32459AAF">
            <w:pPr>
              <w:spacing w:line="360" w:lineRule="auto"/>
              <w:contextualSpacing/>
              <w:rPr>
                <w:rFonts w:ascii="宋体" w:hAnsi="宋体" w:cs="宋体"/>
                <w:b/>
                <w:color w:val="000000"/>
                <w:szCs w:val="21"/>
              </w:rPr>
            </w:pPr>
            <w:r>
              <w:rPr>
                <w:rFonts w:hint="eastAsia" w:ascii="宋体" w:hAnsi="宋体" w:cs="宋体"/>
                <w:b/>
                <w:color w:val="000000"/>
                <w:szCs w:val="21"/>
              </w:rPr>
              <w:t>要求兼容医院在用的XDR平台，实现数据对接。</w:t>
            </w:r>
          </w:p>
        </w:tc>
      </w:tr>
    </w:tbl>
    <w:p w14:paraId="1F21A580">
      <w:pPr>
        <w:pStyle w:val="3"/>
        <w:numPr>
          <w:ilvl w:val="0"/>
          <w:numId w:val="3"/>
        </w:numPr>
        <w:ind w:firstLine="422"/>
        <w:rPr>
          <w:rFonts w:hint="eastAsia"/>
        </w:rPr>
      </w:pPr>
      <w:r>
        <w:rPr>
          <w:rFonts w:hint="eastAsia"/>
        </w:rPr>
        <w:t>上网行为管理</w:t>
      </w:r>
    </w:p>
    <w:tbl>
      <w:tblPr>
        <w:tblStyle w:val="9"/>
        <w:tblpPr w:leftFromText="180" w:rightFromText="180" w:vertAnchor="text" w:horzAnchor="page" w:tblpX="1532" w:tblpY="276"/>
        <w:tblOverlap w:val="never"/>
        <w:tblW w:w="47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311"/>
        <w:gridCol w:w="5960"/>
      </w:tblGrid>
      <w:tr w14:paraId="5258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47" w:type="dxa"/>
            <w:noWrap w:val="0"/>
            <w:vAlign w:val="center"/>
          </w:tcPr>
          <w:p w14:paraId="248D2322">
            <w:pPr>
              <w:jc w:val="left"/>
              <w:rPr>
                <w:rFonts w:hint="eastAsia" w:ascii="宋体" w:hAnsi="宋体" w:cs="宋体"/>
                <w:b/>
                <w:bCs/>
                <w:lang w:eastAsia="zh-Hans"/>
              </w:rPr>
            </w:pPr>
            <w:r>
              <w:rPr>
                <w:rFonts w:hint="eastAsia" w:ascii="宋体" w:hAnsi="宋体" w:cs="宋体"/>
                <w:b/>
                <w:bCs/>
              </w:rPr>
              <w:t>技术指标</w:t>
            </w:r>
          </w:p>
        </w:tc>
        <w:tc>
          <w:tcPr>
            <w:tcW w:w="7271" w:type="dxa"/>
            <w:gridSpan w:val="2"/>
            <w:noWrap w:val="0"/>
            <w:vAlign w:val="center"/>
          </w:tcPr>
          <w:p w14:paraId="77BE85F4">
            <w:pPr>
              <w:jc w:val="left"/>
              <w:rPr>
                <w:rFonts w:hint="eastAsia" w:ascii="宋体" w:hAnsi="宋体" w:cs="宋体"/>
                <w:b/>
                <w:bCs/>
                <w:lang w:eastAsia="zh-Hans"/>
              </w:rPr>
            </w:pPr>
            <w:r>
              <w:rPr>
                <w:rFonts w:hint="eastAsia" w:ascii="宋体" w:hAnsi="宋体" w:cs="宋体"/>
                <w:b/>
                <w:bCs/>
              </w:rPr>
              <w:t>指标要求</w:t>
            </w:r>
          </w:p>
        </w:tc>
      </w:tr>
      <w:tr w14:paraId="58A9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75392375">
            <w:pPr>
              <w:spacing w:line="360" w:lineRule="auto"/>
              <w:contextualSpacing/>
              <w:rPr>
                <w:rFonts w:hint="eastAsia" w:ascii="宋体" w:hAnsi="宋体" w:cs="宋体"/>
                <w:bCs/>
                <w:color w:val="000000"/>
                <w:szCs w:val="21"/>
              </w:rPr>
            </w:pPr>
            <w:r>
              <w:rPr>
                <w:rFonts w:hint="eastAsia" w:ascii="宋体" w:hAnsi="宋体" w:cs="宋体"/>
                <w:bCs/>
                <w:color w:val="000000"/>
                <w:szCs w:val="21"/>
              </w:rPr>
              <w:t>硬件规格</w:t>
            </w:r>
          </w:p>
        </w:tc>
        <w:tc>
          <w:tcPr>
            <w:tcW w:w="734" w:type="pct"/>
            <w:noWrap w:val="0"/>
            <w:vAlign w:val="center"/>
          </w:tcPr>
          <w:p w14:paraId="59CED982">
            <w:pPr>
              <w:spacing w:line="360" w:lineRule="auto"/>
              <w:contextualSpacing/>
              <w:rPr>
                <w:rFonts w:hint="eastAsia" w:ascii="宋体" w:hAnsi="宋体" w:cs="宋体"/>
                <w:bCs/>
                <w:color w:val="000000"/>
                <w:szCs w:val="21"/>
              </w:rPr>
            </w:pPr>
            <w:r>
              <w:rPr>
                <w:rFonts w:hint="eastAsia" w:ascii="宋体" w:hAnsi="宋体" w:cs="宋体"/>
                <w:bCs/>
                <w:color w:val="000000"/>
                <w:szCs w:val="21"/>
              </w:rPr>
              <w:t>多核处理</w:t>
            </w:r>
          </w:p>
        </w:tc>
        <w:tc>
          <w:tcPr>
            <w:tcW w:w="3341" w:type="pct"/>
            <w:noWrap w:val="0"/>
            <w:vAlign w:val="center"/>
          </w:tcPr>
          <w:p w14:paraId="567B1315">
            <w:pPr>
              <w:widowControl/>
              <w:jc w:val="left"/>
              <w:rPr>
                <w:rFonts w:ascii="宋体" w:hAnsi="宋体" w:cs="宋体"/>
                <w:kern w:val="0"/>
                <w:szCs w:val="21"/>
              </w:rPr>
            </w:pPr>
            <w:r>
              <w:rPr>
                <w:rFonts w:hint="eastAsia" w:ascii="宋体" w:hAnsi="宋体" w:cs="宋体"/>
                <w:kern w:val="0"/>
                <w:szCs w:val="21"/>
              </w:rPr>
              <w:t>采用国产化处理器硬件架构及国产化处理系统，满足信创要求。</w:t>
            </w:r>
          </w:p>
        </w:tc>
      </w:tr>
      <w:tr w14:paraId="287B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02C02341">
            <w:pPr>
              <w:spacing w:line="360" w:lineRule="auto"/>
              <w:contextualSpacing/>
              <w:rPr>
                <w:rFonts w:hint="eastAsia" w:ascii="宋体" w:hAnsi="宋体" w:cs="宋体"/>
                <w:bCs/>
                <w:color w:val="000000"/>
                <w:szCs w:val="21"/>
              </w:rPr>
            </w:pPr>
          </w:p>
        </w:tc>
        <w:tc>
          <w:tcPr>
            <w:tcW w:w="734" w:type="pct"/>
            <w:noWrap w:val="0"/>
            <w:vAlign w:val="center"/>
          </w:tcPr>
          <w:p w14:paraId="421DA317">
            <w:pPr>
              <w:spacing w:line="360" w:lineRule="auto"/>
              <w:contextualSpacing/>
              <w:rPr>
                <w:rFonts w:hint="eastAsia" w:ascii="宋体" w:hAnsi="宋体" w:cs="宋体"/>
                <w:bCs/>
                <w:color w:val="000000"/>
                <w:szCs w:val="21"/>
              </w:rPr>
            </w:pPr>
            <w:r>
              <w:rPr>
                <w:rFonts w:hint="eastAsia" w:ascii="宋体" w:hAnsi="宋体" w:cs="宋体"/>
                <w:bCs/>
                <w:color w:val="000000"/>
                <w:szCs w:val="21"/>
              </w:rPr>
              <w:t>配置性能</w:t>
            </w:r>
          </w:p>
        </w:tc>
        <w:tc>
          <w:tcPr>
            <w:tcW w:w="3341" w:type="pct"/>
            <w:noWrap w:val="0"/>
            <w:vAlign w:val="center"/>
          </w:tcPr>
          <w:p w14:paraId="634D9ADA">
            <w:pPr>
              <w:widowControl/>
              <w:jc w:val="left"/>
              <w:rPr>
                <w:rFonts w:hint="eastAsia" w:ascii="宋体" w:hAnsi="宋体" w:cs="宋体"/>
                <w:kern w:val="0"/>
                <w:szCs w:val="21"/>
              </w:rPr>
            </w:pPr>
            <w:r>
              <w:rPr>
                <w:rFonts w:hint="eastAsia" w:ascii="宋体" w:hAnsi="宋体" w:cs="宋体"/>
                <w:kern w:val="0"/>
                <w:szCs w:val="21"/>
              </w:rPr>
              <w:t>建议4G带宽/40000人以下网络环境使用；最大并发连接数为300万，最大新建连接数为10万/秒；性能参数：网络层吞吐量（大包）≥20Gb，应用层吞吐量≥6Gb，每秒新建连接数≥60000，</w:t>
            </w:r>
            <w:r>
              <w:rPr>
                <w:rFonts w:hint="eastAsia" w:ascii="宋体" w:hAnsi="宋体" w:cs="宋体"/>
              </w:rPr>
              <w:t>。</w:t>
            </w:r>
            <w:r>
              <w:rPr>
                <w:rFonts w:hint="eastAsia" w:ascii="宋体" w:hAnsi="宋体" w:cs="宋体"/>
                <w:kern w:val="0"/>
                <w:szCs w:val="21"/>
              </w:rPr>
              <w:t>2U海光硬件，标配6个千兆电接口（其中含1个管理接口和1个HA接口），4个千兆光接口，2个SFP+接口，提供1个扩展插槽，2T机械硬盘。交流冗余电源。</w:t>
            </w:r>
            <w:r>
              <w:rPr>
                <w:rFonts w:hint="eastAsia" w:ascii="宋体" w:hAnsi="宋体" w:cs="宋体"/>
                <w:b/>
                <w:bCs/>
                <w:kern w:val="0"/>
                <w:szCs w:val="21"/>
              </w:rPr>
              <w:t>含5年系统版本升级和5年硬件质保服务。</w:t>
            </w:r>
          </w:p>
        </w:tc>
      </w:tr>
      <w:tr w14:paraId="0EBC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continue"/>
            <w:noWrap w:val="0"/>
            <w:vAlign w:val="center"/>
          </w:tcPr>
          <w:p w14:paraId="4AFBFCA7">
            <w:pPr>
              <w:spacing w:line="360" w:lineRule="auto"/>
              <w:contextualSpacing/>
              <w:rPr>
                <w:rFonts w:hint="eastAsia" w:ascii="宋体" w:hAnsi="宋体" w:cs="宋体"/>
                <w:bCs/>
                <w:color w:val="000000"/>
                <w:szCs w:val="21"/>
              </w:rPr>
            </w:pPr>
          </w:p>
        </w:tc>
        <w:tc>
          <w:tcPr>
            <w:tcW w:w="734" w:type="pct"/>
            <w:noWrap w:val="0"/>
            <w:vAlign w:val="center"/>
          </w:tcPr>
          <w:p w14:paraId="1E0C186B">
            <w:pPr>
              <w:spacing w:line="360" w:lineRule="auto"/>
              <w:contextualSpacing/>
              <w:rPr>
                <w:rFonts w:hint="eastAsia" w:ascii="宋体" w:hAnsi="宋体" w:cs="宋体"/>
                <w:bCs/>
                <w:color w:val="000000"/>
                <w:szCs w:val="21"/>
              </w:rPr>
            </w:pPr>
            <w:r>
              <w:rPr>
                <w:rFonts w:hint="eastAsia" w:ascii="宋体" w:hAnsi="宋体" w:cs="宋体"/>
                <w:bCs/>
                <w:color w:val="000000"/>
                <w:szCs w:val="21"/>
              </w:rPr>
              <w:t>硬件Bypass按钮</w:t>
            </w:r>
          </w:p>
        </w:tc>
        <w:tc>
          <w:tcPr>
            <w:tcW w:w="3341" w:type="pct"/>
            <w:noWrap w:val="0"/>
            <w:vAlign w:val="center"/>
          </w:tcPr>
          <w:p w14:paraId="108C07D9">
            <w:pPr>
              <w:widowControl/>
              <w:jc w:val="left"/>
              <w:rPr>
                <w:rFonts w:hint="eastAsia" w:ascii="宋体" w:hAnsi="宋体" w:cs="宋体"/>
                <w:kern w:val="0"/>
                <w:szCs w:val="21"/>
              </w:rPr>
            </w:pPr>
            <w:r>
              <w:rPr>
                <w:rFonts w:hint="eastAsia" w:ascii="宋体" w:hAnsi="宋体" w:cs="宋体"/>
                <w:kern w:val="0"/>
                <w:szCs w:val="21"/>
              </w:rPr>
              <w:t>设备必须提供物理硬件bypass按钮，便于设备巡检、设备故障时管理员</w:t>
            </w:r>
            <w:r>
              <w:rPr>
                <w:rFonts w:hint="eastAsia" w:ascii="宋体" w:hAnsi="宋体" w:cs="宋体"/>
                <w:bCs/>
                <w:kern w:val="0"/>
                <w:szCs w:val="21"/>
              </w:rPr>
              <w:t>无需重启、关机、断电</w:t>
            </w:r>
            <w:r>
              <w:rPr>
                <w:rFonts w:hint="eastAsia" w:ascii="宋体" w:hAnsi="宋体" w:cs="宋体"/>
                <w:kern w:val="0"/>
                <w:szCs w:val="21"/>
              </w:rPr>
              <w:t>即可恢复网络通畅。（提供产品实物图片证明）</w:t>
            </w:r>
          </w:p>
        </w:tc>
      </w:tr>
      <w:tr w14:paraId="76B7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03CA7BCC">
            <w:pPr>
              <w:spacing w:line="360" w:lineRule="auto"/>
              <w:contextualSpacing/>
              <w:rPr>
                <w:rFonts w:hint="eastAsia" w:ascii="宋体" w:hAnsi="宋体" w:cs="宋体"/>
                <w:bCs/>
                <w:color w:val="000000"/>
                <w:szCs w:val="21"/>
              </w:rPr>
            </w:pPr>
          </w:p>
        </w:tc>
        <w:tc>
          <w:tcPr>
            <w:tcW w:w="734" w:type="pct"/>
            <w:noWrap w:val="0"/>
            <w:vAlign w:val="center"/>
          </w:tcPr>
          <w:p w14:paraId="0A028CA4">
            <w:pPr>
              <w:spacing w:line="360" w:lineRule="auto"/>
              <w:contextualSpacing/>
              <w:rPr>
                <w:rFonts w:hint="eastAsia" w:ascii="宋体" w:hAnsi="宋体" w:cs="宋体"/>
                <w:bCs/>
                <w:color w:val="000000"/>
                <w:szCs w:val="21"/>
              </w:rPr>
            </w:pPr>
            <w:r>
              <w:rPr>
                <w:rFonts w:hint="eastAsia" w:ascii="宋体" w:hAnsi="宋体" w:cs="宋体"/>
                <w:bCs/>
                <w:color w:val="000000"/>
                <w:szCs w:val="21"/>
              </w:rPr>
              <w:t>内置光Bypass接口</w:t>
            </w:r>
          </w:p>
        </w:tc>
        <w:tc>
          <w:tcPr>
            <w:tcW w:w="3341" w:type="pct"/>
            <w:noWrap w:val="0"/>
            <w:vAlign w:val="center"/>
          </w:tcPr>
          <w:p w14:paraId="5E2A9F34">
            <w:pPr>
              <w:widowControl/>
              <w:jc w:val="left"/>
              <w:rPr>
                <w:rFonts w:hint="eastAsia" w:ascii="宋体" w:hAnsi="宋体" w:cs="宋体"/>
                <w:kern w:val="0"/>
                <w:szCs w:val="21"/>
              </w:rPr>
            </w:pPr>
            <w:r>
              <w:rPr>
                <w:rFonts w:hint="eastAsia" w:ascii="宋体" w:hAnsi="宋体" w:cs="宋体"/>
                <w:kern w:val="0"/>
                <w:szCs w:val="21"/>
              </w:rPr>
              <w:t>支持内置光Bypass接口，可通过系统开关或设备面板按扭实现光口Bypass，无需增加外置Bypass产品。</w:t>
            </w:r>
          </w:p>
        </w:tc>
      </w:tr>
      <w:tr w14:paraId="0E8C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46D6AF7E">
            <w:pPr>
              <w:spacing w:line="360" w:lineRule="auto"/>
              <w:contextualSpacing/>
              <w:rPr>
                <w:rFonts w:hint="eastAsia" w:ascii="宋体" w:hAnsi="宋体" w:cs="宋体"/>
                <w:bCs/>
                <w:color w:val="000000"/>
                <w:szCs w:val="21"/>
              </w:rPr>
            </w:pPr>
          </w:p>
        </w:tc>
        <w:tc>
          <w:tcPr>
            <w:tcW w:w="734" w:type="pct"/>
            <w:noWrap w:val="0"/>
            <w:vAlign w:val="center"/>
          </w:tcPr>
          <w:p w14:paraId="6B3F7912">
            <w:pPr>
              <w:spacing w:line="360" w:lineRule="auto"/>
              <w:contextualSpacing/>
              <w:rPr>
                <w:rFonts w:hint="eastAsia" w:ascii="宋体" w:hAnsi="宋体" w:cs="宋体"/>
                <w:bCs/>
                <w:color w:val="000000"/>
                <w:szCs w:val="21"/>
              </w:rPr>
            </w:pPr>
            <w:r>
              <w:rPr>
                <w:rFonts w:hint="eastAsia" w:ascii="宋体" w:hAnsi="宋体" w:cs="宋体"/>
                <w:bCs/>
                <w:color w:val="000000"/>
                <w:szCs w:val="21"/>
              </w:rPr>
              <w:t>界面Bypass</w:t>
            </w:r>
          </w:p>
        </w:tc>
        <w:tc>
          <w:tcPr>
            <w:tcW w:w="3341" w:type="pct"/>
            <w:noWrap w:val="0"/>
            <w:vAlign w:val="center"/>
          </w:tcPr>
          <w:p w14:paraId="4DCD174F">
            <w:pPr>
              <w:widowControl/>
              <w:jc w:val="left"/>
              <w:rPr>
                <w:rFonts w:hint="eastAsia" w:ascii="宋体" w:hAnsi="宋体" w:cs="宋体"/>
                <w:kern w:val="0"/>
                <w:szCs w:val="21"/>
              </w:rPr>
            </w:pPr>
            <w:r>
              <w:rPr>
                <w:rFonts w:hint="eastAsia" w:ascii="宋体" w:hAnsi="宋体" w:cs="宋体"/>
                <w:kern w:val="0"/>
                <w:szCs w:val="21"/>
              </w:rPr>
              <w:t>支持远程登录在界面实现Bypass，并可进行切换。</w:t>
            </w:r>
          </w:p>
        </w:tc>
      </w:tr>
      <w:tr w14:paraId="1871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noWrap w:val="0"/>
            <w:vAlign w:val="center"/>
          </w:tcPr>
          <w:p w14:paraId="4A82A327">
            <w:pPr>
              <w:spacing w:line="360" w:lineRule="auto"/>
              <w:contextualSpacing/>
              <w:rPr>
                <w:rFonts w:hint="eastAsia" w:ascii="宋体" w:hAnsi="宋体" w:cs="宋体"/>
                <w:bCs/>
                <w:color w:val="000000"/>
                <w:szCs w:val="21"/>
              </w:rPr>
            </w:pPr>
            <w:r>
              <w:rPr>
                <w:rFonts w:hint="eastAsia" w:ascii="宋体" w:hAnsi="宋体" w:cs="宋体"/>
                <w:bCs/>
                <w:color w:val="000000"/>
                <w:szCs w:val="21"/>
              </w:rPr>
              <w:t>设备部署</w:t>
            </w:r>
          </w:p>
        </w:tc>
        <w:tc>
          <w:tcPr>
            <w:tcW w:w="734" w:type="pct"/>
            <w:noWrap w:val="0"/>
            <w:vAlign w:val="center"/>
          </w:tcPr>
          <w:p w14:paraId="36BA9C11">
            <w:pPr>
              <w:spacing w:line="360" w:lineRule="auto"/>
              <w:contextualSpacing/>
              <w:rPr>
                <w:rFonts w:hint="eastAsia" w:ascii="宋体" w:hAnsi="宋体" w:cs="宋体"/>
                <w:bCs/>
                <w:color w:val="000000"/>
                <w:szCs w:val="21"/>
              </w:rPr>
            </w:pPr>
            <w:r>
              <w:rPr>
                <w:rFonts w:hint="eastAsia" w:ascii="宋体" w:hAnsi="宋体" w:cs="宋体"/>
                <w:bCs/>
                <w:color w:val="000000"/>
                <w:szCs w:val="21"/>
              </w:rPr>
              <w:t>★Portal模式</w:t>
            </w:r>
          </w:p>
        </w:tc>
        <w:tc>
          <w:tcPr>
            <w:tcW w:w="3341" w:type="pct"/>
            <w:noWrap w:val="0"/>
            <w:vAlign w:val="center"/>
          </w:tcPr>
          <w:p w14:paraId="096B99CC">
            <w:pPr>
              <w:widowControl/>
              <w:jc w:val="left"/>
              <w:rPr>
                <w:rFonts w:hint="eastAsia" w:ascii="宋体" w:hAnsi="宋体" w:cs="宋体"/>
                <w:kern w:val="0"/>
                <w:szCs w:val="21"/>
              </w:rPr>
            </w:pPr>
            <w:r>
              <w:rPr>
                <w:rFonts w:hint="eastAsia" w:ascii="宋体" w:hAnsi="宋体" w:cs="宋体"/>
                <w:kern w:val="0"/>
                <w:szCs w:val="21"/>
              </w:rPr>
              <w:t>设备在部署时支持模式选择，可设置为Portal模式，实现Portal服务器功能；</w:t>
            </w:r>
            <w:r>
              <w:rPr>
                <w:rFonts w:hint="eastAsia" w:ascii="宋体" w:hAnsi="宋体" w:cs="宋体"/>
                <w:szCs w:val="21"/>
              </w:rPr>
              <w:t>（提供第三方权威机构出具的对应功能测试报告）</w:t>
            </w:r>
          </w:p>
        </w:tc>
      </w:tr>
      <w:tr w14:paraId="627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restart"/>
            <w:noWrap w:val="0"/>
            <w:vAlign w:val="center"/>
          </w:tcPr>
          <w:p w14:paraId="5ED469CA">
            <w:pPr>
              <w:spacing w:line="360" w:lineRule="auto"/>
              <w:contextualSpacing/>
              <w:rPr>
                <w:rFonts w:hint="eastAsia" w:ascii="宋体" w:hAnsi="宋体" w:cs="宋体"/>
                <w:bCs/>
                <w:color w:val="000000"/>
                <w:szCs w:val="21"/>
              </w:rPr>
            </w:pPr>
            <w:r>
              <w:rPr>
                <w:rFonts w:hint="eastAsia" w:ascii="宋体" w:hAnsi="宋体" w:cs="宋体"/>
                <w:bCs/>
                <w:color w:val="000000"/>
                <w:szCs w:val="21"/>
              </w:rPr>
              <w:t>网络支持</w:t>
            </w:r>
          </w:p>
        </w:tc>
        <w:tc>
          <w:tcPr>
            <w:tcW w:w="734" w:type="pct"/>
            <w:noWrap w:val="0"/>
            <w:vAlign w:val="center"/>
          </w:tcPr>
          <w:p w14:paraId="4BED8895">
            <w:pPr>
              <w:spacing w:line="360" w:lineRule="auto"/>
              <w:contextualSpacing/>
              <w:rPr>
                <w:rFonts w:hint="eastAsia" w:ascii="宋体" w:hAnsi="宋体" w:cs="宋体"/>
                <w:bCs/>
                <w:color w:val="000000"/>
                <w:szCs w:val="21"/>
              </w:rPr>
            </w:pPr>
            <w:r>
              <w:rPr>
                <w:rFonts w:hint="eastAsia" w:ascii="宋体" w:hAnsi="宋体" w:cs="宋体"/>
                <w:bCs/>
                <w:color w:val="000000"/>
                <w:szCs w:val="21"/>
              </w:rPr>
              <w:t>IPv6支持</w:t>
            </w:r>
          </w:p>
        </w:tc>
        <w:tc>
          <w:tcPr>
            <w:tcW w:w="3341" w:type="pct"/>
            <w:noWrap w:val="0"/>
            <w:vAlign w:val="center"/>
          </w:tcPr>
          <w:p w14:paraId="66C29BAE">
            <w:pPr>
              <w:widowControl/>
              <w:jc w:val="left"/>
              <w:rPr>
                <w:rFonts w:hint="eastAsia" w:ascii="宋体" w:hAnsi="宋体" w:cs="宋体"/>
                <w:kern w:val="0"/>
                <w:szCs w:val="21"/>
              </w:rPr>
            </w:pPr>
            <w:r>
              <w:rPr>
                <w:rFonts w:hint="eastAsia" w:ascii="宋体" w:hAnsi="宋体" w:cs="宋体"/>
                <w:kern w:val="0"/>
                <w:szCs w:val="21"/>
              </w:rPr>
              <w:t>能够支持IPv6环境下的网址访问审计、生成分析报表等功能；能够在IPv6环境下，正确审计显示用户的IPv6地址</w:t>
            </w:r>
          </w:p>
        </w:tc>
      </w:tr>
      <w:tr w14:paraId="74CC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continue"/>
            <w:noWrap w:val="0"/>
            <w:vAlign w:val="center"/>
          </w:tcPr>
          <w:p w14:paraId="1E2FE346">
            <w:pPr>
              <w:spacing w:line="360" w:lineRule="auto"/>
              <w:contextualSpacing/>
              <w:rPr>
                <w:rFonts w:hint="eastAsia" w:ascii="宋体" w:hAnsi="宋体" w:cs="宋体"/>
                <w:bCs/>
                <w:color w:val="000000"/>
                <w:szCs w:val="21"/>
              </w:rPr>
            </w:pPr>
          </w:p>
        </w:tc>
        <w:tc>
          <w:tcPr>
            <w:tcW w:w="734" w:type="pct"/>
            <w:noWrap w:val="0"/>
            <w:vAlign w:val="center"/>
          </w:tcPr>
          <w:p w14:paraId="29E4B7BB">
            <w:pPr>
              <w:spacing w:line="360" w:lineRule="auto"/>
              <w:contextualSpacing/>
              <w:rPr>
                <w:rFonts w:hint="eastAsia" w:ascii="宋体" w:hAnsi="宋体" w:cs="宋体"/>
                <w:bCs/>
                <w:color w:val="000000"/>
                <w:szCs w:val="21"/>
              </w:rPr>
            </w:pPr>
            <w:r>
              <w:rPr>
                <w:rFonts w:hint="eastAsia" w:ascii="宋体" w:hAnsi="宋体" w:cs="宋体"/>
                <w:bCs/>
                <w:color w:val="000000"/>
                <w:szCs w:val="21"/>
              </w:rPr>
              <w:t>IPSEC冗余</w:t>
            </w:r>
          </w:p>
        </w:tc>
        <w:tc>
          <w:tcPr>
            <w:tcW w:w="3341" w:type="pct"/>
            <w:noWrap w:val="0"/>
            <w:vAlign w:val="center"/>
          </w:tcPr>
          <w:p w14:paraId="2E723E41">
            <w:pPr>
              <w:widowControl/>
              <w:jc w:val="left"/>
              <w:rPr>
                <w:rFonts w:hint="eastAsia" w:ascii="宋体" w:hAnsi="宋体" w:cs="宋体"/>
                <w:kern w:val="0"/>
                <w:szCs w:val="21"/>
              </w:rPr>
            </w:pPr>
            <w:r>
              <w:rPr>
                <w:rFonts w:hint="eastAsia" w:ascii="宋体" w:hAnsi="宋体" w:cs="宋体"/>
                <w:kern w:val="0"/>
                <w:szCs w:val="21"/>
              </w:rPr>
              <w:t>IPSEC VPN支持冗余隧道设置，支持对冗余隧道按优先级或权重的分配方式进行配置</w:t>
            </w:r>
          </w:p>
        </w:tc>
      </w:tr>
      <w:tr w14:paraId="0157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23" w:type="pct"/>
            <w:noWrap w:val="0"/>
            <w:vAlign w:val="center"/>
          </w:tcPr>
          <w:p w14:paraId="2080EFB2">
            <w:pPr>
              <w:spacing w:line="360" w:lineRule="auto"/>
              <w:contextualSpacing/>
              <w:rPr>
                <w:rFonts w:hint="eastAsia" w:ascii="宋体" w:hAnsi="宋体" w:cs="宋体"/>
                <w:bCs/>
                <w:color w:val="000000"/>
                <w:szCs w:val="21"/>
              </w:rPr>
            </w:pPr>
            <w:r>
              <w:rPr>
                <w:rFonts w:hint="eastAsia" w:ascii="宋体" w:hAnsi="宋体" w:cs="宋体"/>
                <w:bCs/>
                <w:color w:val="000000"/>
                <w:szCs w:val="21"/>
              </w:rPr>
              <w:t>系统监控</w:t>
            </w:r>
          </w:p>
        </w:tc>
        <w:tc>
          <w:tcPr>
            <w:tcW w:w="734" w:type="pct"/>
            <w:noWrap w:val="0"/>
            <w:vAlign w:val="center"/>
          </w:tcPr>
          <w:p w14:paraId="514662CB">
            <w:pPr>
              <w:spacing w:line="360" w:lineRule="auto"/>
              <w:contextualSpacing/>
              <w:rPr>
                <w:rFonts w:hint="eastAsia" w:ascii="宋体" w:hAnsi="宋体" w:cs="宋体"/>
                <w:bCs/>
                <w:color w:val="000000"/>
                <w:szCs w:val="21"/>
              </w:rPr>
            </w:pPr>
            <w:r>
              <w:rPr>
                <w:rFonts w:hint="eastAsia" w:ascii="宋体" w:hAnsi="宋体" w:cs="宋体"/>
                <w:bCs/>
                <w:color w:val="000000"/>
                <w:szCs w:val="21"/>
              </w:rPr>
              <w:t>首页行为风险面板</w:t>
            </w:r>
          </w:p>
        </w:tc>
        <w:tc>
          <w:tcPr>
            <w:tcW w:w="3341" w:type="pct"/>
            <w:noWrap w:val="0"/>
            <w:vAlign w:val="center"/>
          </w:tcPr>
          <w:p w14:paraId="7151E4CC">
            <w:pPr>
              <w:widowControl/>
              <w:jc w:val="left"/>
              <w:rPr>
                <w:rFonts w:hint="eastAsia" w:ascii="宋体" w:hAnsi="宋体" w:cs="宋体"/>
                <w:kern w:val="0"/>
                <w:szCs w:val="21"/>
              </w:rPr>
            </w:pPr>
            <w:r>
              <w:rPr>
                <w:rFonts w:hint="eastAsia" w:ascii="宋体" w:hAnsi="宋体" w:cs="宋体"/>
                <w:kern w:val="0"/>
                <w:szCs w:val="21"/>
              </w:rPr>
              <w:t>可集中呈现上网行为风险等级和状态。</w:t>
            </w:r>
            <w:r>
              <w:rPr>
                <w:rFonts w:hint="eastAsia" w:ascii="宋体" w:hAnsi="宋体" w:cs="宋体"/>
                <w:kern w:val="0"/>
                <w:szCs w:val="21"/>
              </w:rPr>
              <w:br w:type="textWrapping"/>
            </w:r>
            <w:r>
              <w:rPr>
                <w:rFonts w:hint="eastAsia" w:ascii="宋体" w:hAnsi="宋体" w:cs="宋体"/>
                <w:kern w:val="0"/>
                <w:szCs w:val="21"/>
              </w:rPr>
              <w:t>行为风险等级包括安全等级、效率等级、合规等级和管控等级。</w:t>
            </w:r>
            <w:r>
              <w:rPr>
                <w:rFonts w:hint="eastAsia" w:ascii="宋体" w:hAnsi="宋体" w:cs="宋体"/>
                <w:kern w:val="0"/>
                <w:szCs w:val="21"/>
              </w:rPr>
              <w:br w:type="textWrapping"/>
            </w:r>
            <w:r>
              <w:rPr>
                <w:rFonts w:hint="eastAsia" w:ascii="宋体" w:hAnsi="宋体" w:cs="宋体"/>
                <w:kern w:val="0"/>
                <w:szCs w:val="21"/>
              </w:rPr>
              <w:t>行为状态包括管控效果、运行状态、安全状态、泄密风险状态、合规状态和应用使用状态。</w:t>
            </w:r>
            <w:r>
              <w:rPr>
                <w:rFonts w:hint="eastAsia" w:ascii="宋体" w:hAnsi="宋体" w:cs="宋体"/>
                <w:kern w:val="0"/>
                <w:szCs w:val="21"/>
              </w:rPr>
              <w:br w:type="textWrapping"/>
            </w:r>
            <w:r>
              <w:rPr>
                <w:rFonts w:hint="eastAsia" w:ascii="宋体" w:hAnsi="宋体" w:cs="宋体"/>
                <w:kern w:val="0"/>
                <w:szCs w:val="21"/>
              </w:rPr>
              <w:t>点击页面数值可直接跳转查询详情。</w:t>
            </w:r>
          </w:p>
        </w:tc>
      </w:tr>
      <w:tr w14:paraId="1FB4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923" w:type="pct"/>
            <w:vMerge w:val="restart"/>
            <w:noWrap w:val="0"/>
            <w:vAlign w:val="center"/>
          </w:tcPr>
          <w:p w14:paraId="3EBABCB5">
            <w:pPr>
              <w:spacing w:line="360" w:lineRule="auto"/>
              <w:contextualSpacing/>
              <w:rPr>
                <w:rFonts w:hint="eastAsia" w:ascii="宋体" w:hAnsi="宋体" w:cs="宋体"/>
                <w:bCs/>
                <w:color w:val="000000"/>
                <w:szCs w:val="21"/>
              </w:rPr>
            </w:pPr>
            <w:r>
              <w:rPr>
                <w:rFonts w:hint="eastAsia" w:ascii="宋体" w:hAnsi="宋体" w:cs="宋体"/>
                <w:bCs/>
                <w:color w:val="000000"/>
                <w:szCs w:val="21"/>
              </w:rPr>
              <w:t>安全管理与防护</w:t>
            </w:r>
          </w:p>
        </w:tc>
        <w:tc>
          <w:tcPr>
            <w:tcW w:w="734" w:type="pct"/>
            <w:noWrap w:val="0"/>
            <w:vAlign w:val="center"/>
          </w:tcPr>
          <w:p w14:paraId="2476CE01">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支持对病毒的云查杀</w:t>
            </w:r>
          </w:p>
        </w:tc>
        <w:tc>
          <w:tcPr>
            <w:tcW w:w="3341" w:type="pct"/>
            <w:noWrap w:val="0"/>
            <w:vAlign w:val="center"/>
          </w:tcPr>
          <w:p w14:paraId="7DE2E2FA">
            <w:pPr>
              <w:widowControl/>
              <w:jc w:val="left"/>
              <w:rPr>
                <w:rFonts w:hint="eastAsia" w:ascii="宋体" w:hAnsi="宋体" w:cs="宋体"/>
                <w:kern w:val="0"/>
                <w:szCs w:val="21"/>
              </w:rPr>
            </w:pPr>
            <w:r>
              <w:rPr>
                <w:rFonts w:hint="eastAsia" w:ascii="宋体" w:hAnsi="宋体" w:cs="宋体"/>
                <w:kern w:val="0"/>
                <w:szCs w:val="21"/>
              </w:rPr>
              <w:t>支持配置病毒查杀策略，检查网络中传输的文件是否是病毒，支持记录日志、病毒过滤</w:t>
            </w:r>
            <w:r>
              <w:rPr>
                <w:rFonts w:hint="eastAsia" w:ascii="宋体" w:hAnsi="宋体" w:cs="宋体"/>
                <w:kern w:val="0"/>
                <w:szCs w:val="21"/>
              </w:rPr>
              <w:br w:type="textWrapping"/>
            </w:r>
            <w:r>
              <w:rPr>
                <w:rFonts w:hint="eastAsia" w:ascii="宋体" w:hAnsi="宋体" w:cs="宋体"/>
                <w:kern w:val="0"/>
                <w:szCs w:val="21"/>
              </w:rPr>
              <w:t>支持与云端杀毒平台联动，对网络中传输的文件进行特征比对，以便减少对本地计算资源的消耗。</w:t>
            </w:r>
            <w:r>
              <w:rPr>
                <w:rFonts w:hint="eastAsia" w:ascii="宋体" w:hAnsi="宋体" w:cs="宋体"/>
                <w:kern w:val="0"/>
                <w:szCs w:val="21"/>
              </w:rPr>
              <w:br w:type="textWrapping"/>
            </w:r>
            <w:r>
              <w:rPr>
                <w:rFonts w:hint="eastAsia" w:ascii="宋体" w:hAnsi="宋体" w:cs="宋体"/>
                <w:kern w:val="0"/>
                <w:szCs w:val="21"/>
              </w:rPr>
              <w:t>至少应支持对以下几类网络应用传输的文件进行病毒云查杀：HTTP/FTP/IMAP/SMTP/POP3"</w:t>
            </w:r>
          </w:p>
        </w:tc>
      </w:tr>
      <w:tr w14:paraId="7EAF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continue"/>
            <w:noWrap w:val="0"/>
            <w:vAlign w:val="center"/>
          </w:tcPr>
          <w:p w14:paraId="34684F47">
            <w:pPr>
              <w:spacing w:line="360" w:lineRule="auto"/>
              <w:contextualSpacing/>
              <w:rPr>
                <w:rFonts w:hint="eastAsia" w:ascii="宋体" w:hAnsi="宋体" w:cs="宋体"/>
                <w:bCs/>
                <w:color w:val="000000"/>
                <w:szCs w:val="21"/>
              </w:rPr>
            </w:pPr>
          </w:p>
        </w:tc>
        <w:tc>
          <w:tcPr>
            <w:tcW w:w="734" w:type="pct"/>
            <w:vMerge w:val="restart"/>
            <w:noWrap w:val="0"/>
            <w:vAlign w:val="center"/>
          </w:tcPr>
          <w:p w14:paraId="1B104B20">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支持失陷主机检测</w:t>
            </w:r>
          </w:p>
        </w:tc>
        <w:tc>
          <w:tcPr>
            <w:tcW w:w="3341" w:type="pct"/>
            <w:noWrap w:val="0"/>
            <w:vAlign w:val="center"/>
          </w:tcPr>
          <w:p w14:paraId="5ADB26D6">
            <w:pPr>
              <w:widowControl/>
              <w:jc w:val="left"/>
              <w:rPr>
                <w:rFonts w:hint="eastAsia" w:ascii="宋体" w:hAnsi="宋体" w:cs="宋体"/>
                <w:kern w:val="0"/>
                <w:szCs w:val="21"/>
              </w:rPr>
            </w:pPr>
            <w:r>
              <w:rPr>
                <w:rFonts w:hint="eastAsia" w:ascii="宋体" w:hAnsi="宋体" w:cs="宋体"/>
                <w:kern w:val="0"/>
                <w:szCs w:val="21"/>
              </w:rPr>
              <w:t>支持与威胁情报大数据平台对接，能够快速识别、封堵失陷主机、记录日志。</w:t>
            </w:r>
          </w:p>
        </w:tc>
      </w:tr>
      <w:tr w14:paraId="69BA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continue"/>
            <w:noWrap w:val="0"/>
            <w:vAlign w:val="center"/>
          </w:tcPr>
          <w:p w14:paraId="71B054D0">
            <w:pPr>
              <w:spacing w:line="360" w:lineRule="auto"/>
              <w:contextualSpacing/>
              <w:rPr>
                <w:rFonts w:hint="eastAsia" w:ascii="宋体" w:hAnsi="宋体" w:cs="宋体"/>
                <w:bCs/>
                <w:color w:val="000000"/>
                <w:szCs w:val="21"/>
              </w:rPr>
            </w:pPr>
          </w:p>
        </w:tc>
        <w:tc>
          <w:tcPr>
            <w:tcW w:w="734" w:type="pct"/>
            <w:vMerge w:val="continue"/>
            <w:noWrap w:val="0"/>
            <w:vAlign w:val="center"/>
          </w:tcPr>
          <w:p w14:paraId="31E191FC">
            <w:pPr>
              <w:spacing w:line="360" w:lineRule="auto"/>
              <w:contextualSpacing/>
              <w:rPr>
                <w:rFonts w:hint="eastAsia" w:ascii="宋体" w:hAnsi="宋体" w:cs="宋体"/>
                <w:bCs/>
                <w:color w:val="000000"/>
                <w:szCs w:val="21"/>
              </w:rPr>
            </w:pPr>
          </w:p>
        </w:tc>
        <w:tc>
          <w:tcPr>
            <w:tcW w:w="3341" w:type="pct"/>
            <w:noWrap w:val="0"/>
            <w:vAlign w:val="center"/>
          </w:tcPr>
          <w:p w14:paraId="4A5E6602">
            <w:pPr>
              <w:widowControl/>
              <w:jc w:val="left"/>
              <w:rPr>
                <w:rFonts w:hint="eastAsia" w:ascii="宋体" w:hAnsi="宋体" w:cs="宋体"/>
                <w:kern w:val="0"/>
                <w:szCs w:val="21"/>
              </w:rPr>
            </w:pPr>
            <w:r>
              <w:rPr>
                <w:rFonts w:hint="eastAsia" w:ascii="宋体" w:hAnsi="宋体" w:cs="宋体"/>
                <w:kern w:val="0"/>
                <w:szCs w:val="21"/>
              </w:rPr>
              <w:t>支持通过恶意软件特征检测方式识别失陷主机并记录日志</w:t>
            </w:r>
          </w:p>
        </w:tc>
      </w:tr>
      <w:tr w14:paraId="1CAE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389AEBA4">
            <w:pPr>
              <w:spacing w:line="360" w:lineRule="auto"/>
              <w:contextualSpacing/>
              <w:rPr>
                <w:rFonts w:hint="eastAsia" w:ascii="宋体" w:hAnsi="宋体" w:cs="宋体"/>
                <w:bCs/>
                <w:color w:val="000000"/>
                <w:szCs w:val="21"/>
              </w:rPr>
            </w:pPr>
          </w:p>
        </w:tc>
        <w:tc>
          <w:tcPr>
            <w:tcW w:w="734" w:type="pct"/>
            <w:vMerge w:val="continue"/>
            <w:noWrap w:val="0"/>
            <w:vAlign w:val="center"/>
          </w:tcPr>
          <w:p w14:paraId="02C7DE85">
            <w:pPr>
              <w:spacing w:line="360" w:lineRule="auto"/>
              <w:contextualSpacing/>
              <w:rPr>
                <w:rFonts w:hint="eastAsia" w:ascii="宋体" w:hAnsi="宋体" w:cs="宋体"/>
                <w:bCs/>
                <w:color w:val="000000"/>
                <w:szCs w:val="21"/>
              </w:rPr>
            </w:pPr>
          </w:p>
        </w:tc>
        <w:tc>
          <w:tcPr>
            <w:tcW w:w="3341" w:type="pct"/>
            <w:noWrap w:val="0"/>
            <w:vAlign w:val="center"/>
          </w:tcPr>
          <w:p w14:paraId="3F7FB9F7">
            <w:pPr>
              <w:widowControl/>
              <w:jc w:val="left"/>
              <w:rPr>
                <w:rFonts w:hint="eastAsia" w:ascii="宋体" w:hAnsi="宋体" w:cs="宋体"/>
                <w:kern w:val="0"/>
                <w:szCs w:val="21"/>
              </w:rPr>
            </w:pPr>
            <w:r>
              <w:rPr>
                <w:rFonts w:hint="eastAsia" w:ascii="宋体" w:hAnsi="宋体" w:cs="宋体"/>
                <w:kern w:val="0"/>
                <w:szCs w:val="21"/>
              </w:rPr>
              <w:t>至少支持拦截对外部威胁IP的访问请求和阻塞失陷主机IP两种控制策略。阻塞后支持向用户推送威胁情报阻塞提示页面。</w:t>
            </w:r>
          </w:p>
        </w:tc>
      </w:tr>
      <w:tr w14:paraId="4948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76B7C6B9">
            <w:pPr>
              <w:spacing w:line="360" w:lineRule="auto"/>
              <w:contextualSpacing/>
              <w:rPr>
                <w:rFonts w:hint="eastAsia" w:ascii="宋体" w:hAnsi="宋体" w:cs="宋体"/>
                <w:bCs/>
                <w:color w:val="000000"/>
                <w:szCs w:val="21"/>
              </w:rPr>
            </w:pPr>
          </w:p>
        </w:tc>
        <w:tc>
          <w:tcPr>
            <w:tcW w:w="734" w:type="pct"/>
            <w:noWrap w:val="0"/>
            <w:vAlign w:val="center"/>
          </w:tcPr>
          <w:p w14:paraId="289DB481">
            <w:pPr>
              <w:spacing w:line="360" w:lineRule="auto"/>
              <w:contextualSpacing/>
              <w:rPr>
                <w:rFonts w:hint="eastAsia" w:ascii="宋体" w:hAnsi="宋体" w:cs="宋体"/>
                <w:bCs/>
                <w:color w:val="000000"/>
                <w:szCs w:val="21"/>
              </w:rPr>
            </w:pPr>
            <w:r>
              <w:rPr>
                <w:rFonts w:hint="eastAsia" w:ascii="宋体" w:hAnsi="宋体" w:cs="宋体"/>
                <w:bCs/>
                <w:color w:val="000000"/>
                <w:szCs w:val="21"/>
              </w:rPr>
              <w:t>★异常行为管控</w:t>
            </w:r>
          </w:p>
        </w:tc>
        <w:tc>
          <w:tcPr>
            <w:tcW w:w="3341" w:type="pct"/>
            <w:noWrap w:val="0"/>
            <w:vAlign w:val="center"/>
          </w:tcPr>
          <w:p w14:paraId="6220453F">
            <w:pPr>
              <w:widowControl/>
              <w:jc w:val="left"/>
              <w:rPr>
                <w:rFonts w:hint="eastAsia" w:ascii="宋体" w:hAnsi="宋体" w:cs="宋体"/>
                <w:szCs w:val="21"/>
              </w:rPr>
            </w:pPr>
            <w:r>
              <w:rPr>
                <w:rFonts w:hint="eastAsia" w:ascii="宋体" w:hAnsi="宋体" w:cs="宋体"/>
                <w:szCs w:val="21"/>
              </w:rPr>
              <w:t>可以识别内网的爬虫行为，并且可监控爬虫用户数趋势和爬虫请求数趋势；（提供第三方权威机构出具的对应功能测试报告）</w:t>
            </w:r>
          </w:p>
        </w:tc>
      </w:tr>
      <w:tr w14:paraId="1424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6FB2E986">
            <w:pPr>
              <w:spacing w:line="360" w:lineRule="auto"/>
              <w:contextualSpacing/>
              <w:rPr>
                <w:rFonts w:hint="eastAsia" w:ascii="宋体" w:hAnsi="宋体" w:cs="宋体"/>
                <w:bCs/>
                <w:color w:val="000000"/>
                <w:szCs w:val="21"/>
              </w:rPr>
            </w:pPr>
          </w:p>
        </w:tc>
        <w:tc>
          <w:tcPr>
            <w:tcW w:w="734" w:type="pct"/>
            <w:noWrap w:val="0"/>
            <w:vAlign w:val="center"/>
          </w:tcPr>
          <w:p w14:paraId="7350EAE1">
            <w:pPr>
              <w:spacing w:line="360" w:lineRule="auto"/>
              <w:contextualSpacing/>
              <w:rPr>
                <w:rFonts w:hint="eastAsia" w:ascii="宋体" w:hAnsi="宋体" w:cs="宋体"/>
                <w:bCs/>
                <w:color w:val="000000"/>
                <w:szCs w:val="21"/>
              </w:rPr>
            </w:pPr>
            <w:r>
              <w:rPr>
                <w:rFonts w:hint="eastAsia" w:ascii="宋体" w:hAnsi="宋体" w:cs="宋体"/>
                <w:bCs/>
                <w:color w:val="000000"/>
                <w:szCs w:val="21"/>
              </w:rPr>
              <w:t>解密流量外发</w:t>
            </w:r>
          </w:p>
        </w:tc>
        <w:tc>
          <w:tcPr>
            <w:tcW w:w="3341" w:type="pct"/>
            <w:noWrap w:val="0"/>
            <w:vAlign w:val="center"/>
          </w:tcPr>
          <w:p w14:paraId="0F5825D4">
            <w:pPr>
              <w:widowControl/>
              <w:jc w:val="left"/>
              <w:rPr>
                <w:rFonts w:hint="eastAsia" w:ascii="宋体" w:hAnsi="宋体" w:cs="宋体"/>
                <w:szCs w:val="21"/>
              </w:rPr>
            </w:pPr>
            <w:r>
              <w:rPr>
                <w:rFonts w:hint="eastAsia" w:ascii="宋体" w:hAnsi="宋体" w:cs="宋体"/>
                <w:szCs w:val="21"/>
              </w:rPr>
              <w:t>外发解密流量，为不具备解密条件的设备提供内容解析能力（提供配置界面截图）</w:t>
            </w:r>
          </w:p>
        </w:tc>
      </w:tr>
      <w:tr w14:paraId="7F09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063AEC69">
            <w:pPr>
              <w:spacing w:line="360" w:lineRule="auto"/>
              <w:contextualSpacing/>
              <w:rPr>
                <w:rFonts w:hint="eastAsia" w:ascii="宋体" w:hAnsi="宋体" w:cs="宋体"/>
                <w:bCs/>
                <w:color w:val="000000"/>
                <w:szCs w:val="21"/>
              </w:rPr>
            </w:pPr>
          </w:p>
        </w:tc>
        <w:tc>
          <w:tcPr>
            <w:tcW w:w="734" w:type="pct"/>
            <w:noWrap w:val="0"/>
            <w:vAlign w:val="center"/>
          </w:tcPr>
          <w:p w14:paraId="03A86C9C">
            <w:pPr>
              <w:spacing w:line="360" w:lineRule="auto"/>
              <w:contextualSpacing/>
              <w:rPr>
                <w:rFonts w:hint="eastAsia" w:ascii="宋体" w:hAnsi="宋体" w:cs="宋体"/>
                <w:bCs/>
                <w:color w:val="000000"/>
                <w:szCs w:val="21"/>
              </w:rPr>
            </w:pPr>
            <w:r>
              <w:rPr>
                <w:rFonts w:hint="eastAsia" w:ascii="宋体" w:hAnsi="宋体" w:cs="宋体"/>
                <w:bCs/>
                <w:color w:val="000000"/>
                <w:szCs w:val="21"/>
              </w:rPr>
              <w:t>镜像流量外发</w:t>
            </w:r>
          </w:p>
        </w:tc>
        <w:tc>
          <w:tcPr>
            <w:tcW w:w="3341" w:type="pct"/>
            <w:noWrap w:val="0"/>
            <w:vAlign w:val="center"/>
          </w:tcPr>
          <w:p w14:paraId="39DE16A2">
            <w:pPr>
              <w:widowControl/>
              <w:jc w:val="left"/>
              <w:rPr>
                <w:rFonts w:hint="eastAsia" w:ascii="宋体" w:hAnsi="宋体" w:cs="宋体"/>
                <w:szCs w:val="21"/>
              </w:rPr>
            </w:pPr>
            <w:r>
              <w:rPr>
                <w:rFonts w:hint="eastAsia" w:ascii="宋体" w:hAnsi="宋体" w:cs="宋体"/>
                <w:szCs w:val="21"/>
              </w:rPr>
              <w:t>外发镜像流量，作为同环境里的其他旁路设备的数据来源</w:t>
            </w:r>
          </w:p>
          <w:p w14:paraId="54CA10BA">
            <w:pPr>
              <w:widowControl/>
              <w:jc w:val="left"/>
              <w:rPr>
                <w:rFonts w:hint="eastAsia" w:ascii="宋体" w:hAnsi="宋体" w:cs="宋体"/>
                <w:szCs w:val="21"/>
              </w:rPr>
            </w:pPr>
          </w:p>
        </w:tc>
      </w:tr>
      <w:tr w14:paraId="2D7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noWrap w:val="0"/>
            <w:vAlign w:val="center"/>
          </w:tcPr>
          <w:p w14:paraId="6B7F9916">
            <w:pPr>
              <w:spacing w:line="360" w:lineRule="auto"/>
              <w:contextualSpacing/>
              <w:rPr>
                <w:rFonts w:hint="eastAsia" w:ascii="宋体" w:hAnsi="宋体" w:cs="宋体"/>
                <w:bCs/>
                <w:color w:val="000000"/>
                <w:szCs w:val="21"/>
              </w:rPr>
            </w:pPr>
            <w:r>
              <w:rPr>
                <w:rFonts w:hint="eastAsia" w:ascii="宋体" w:hAnsi="宋体" w:cs="宋体"/>
                <w:bCs/>
                <w:color w:val="000000"/>
                <w:szCs w:val="21"/>
              </w:rPr>
              <w:t>业务审计</w:t>
            </w:r>
          </w:p>
        </w:tc>
        <w:tc>
          <w:tcPr>
            <w:tcW w:w="734" w:type="pct"/>
            <w:noWrap w:val="0"/>
            <w:vAlign w:val="center"/>
          </w:tcPr>
          <w:p w14:paraId="7235D31F">
            <w:pPr>
              <w:spacing w:line="360" w:lineRule="auto"/>
              <w:contextualSpacing/>
              <w:rPr>
                <w:rFonts w:hint="eastAsia" w:ascii="宋体" w:hAnsi="宋体" w:cs="宋体"/>
                <w:bCs/>
                <w:color w:val="000000"/>
                <w:szCs w:val="21"/>
              </w:rPr>
            </w:pPr>
            <w:r>
              <w:rPr>
                <w:rFonts w:hint="eastAsia" w:ascii="宋体" w:hAnsi="宋体" w:cs="宋体"/>
                <w:bCs/>
                <w:color w:val="000000"/>
                <w:szCs w:val="21"/>
              </w:rPr>
              <w:t>★业务审计</w:t>
            </w:r>
          </w:p>
        </w:tc>
        <w:tc>
          <w:tcPr>
            <w:tcW w:w="3341" w:type="pct"/>
            <w:noWrap w:val="0"/>
            <w:vAlign w:val="center"/>
          </w:tcPr>
          <w:p w14:paraId="48F96695">
            <w:pPr>
              <w:widowControl/>
              <w:jc w:val="left"/>
              <w:rPr>
                <w:rFonts w:hint="eastAsia" w:ascii="宋体" w:hAnsi="宋体" w:cs="宋体"/>
                <w:szCs w:val="21"/>
              </w:rPr>
            </w:pPr>
            <w:r>
              <w:rPr>
                <w:rFonts w:hint="eastAsia" w:ascii="宋体" w:hAnsi="宋体" w:cs="宋体"/>
                <w:szCs w:val="21"/>
              </w:rPr>
              <w:t>支持业务系统访问及API接口进行扫描、通过敏感信息、安全漏洞、行为接口、自定义接口规则等识别并标识数据及传输风险；支持业务审计监控，可以查看最近某段时间内扫描到的业务系统访问数据的日志；支持树形结构展示业务系统及接口的层级关系；（提供第三方权威机构出具的对应功能测试报告）</w:t>
            </w:r>
          </w:p>
        </w:tc>
      </w:tr>
      <w:tr w14:paraId="147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5F2E624E">
            <w:pPr>
              <w:spacing w:line="360" w:lineRule="auto"/>
              <w:contextualSpacing/>
              <w:rPr>
                <w:rFonts w:hint="eastAsia" w:ascii="宋体" w:hAnsi="宋体" w:cs="宋体"/>
                <w:bCs/>
                <w:color w:val="000000"/>
                <w:szCs w:val="21"/>
              </w:rPr>
            </w:pPr>
            <w:r>
              <w:rPr>
                <w:rFonts w:hint="eastAsia" w:ascii="宋体" w:hAnsi="宋体" w:cs="宋体"/>
                <w:bCs/>
                <w:color w:val="000000"/>
                <w:szCs w:val="21"/>
              </w:rPr>
              <w:t>业务防护</w:t>
            </w:r>
          </w:p>
        </w:tc>
        <w:tc>
          <w:tcPr>
            <w:tcW w:w="734" w:type="pct"/>
            <w:noWrap w:val="0"/>
            <w:vAlign w:val="center"/>
          </w:tcPr>
          <w:p w14:paraId="7CB8AABD">
            <w:pPr>
              <w:spacing w:line="360" w:lineRule="auto"/>
              <w:contextualSpacing/>
              <w:rPr>
                <w:rFonts w:hint="eastAsia" w:ascii="宋体" w:hAnsi="宋体" w:cs="宋体"/>
                <w:bCs/>
                <w:color w:val="000000"/>
                <w:szCs w:val="21"/>
              </w:rPr>
            </w:pPr>
            <w:r>
              <w:rPr>
                <w:rFonts w:hint="eastAsia" w:ascii="宋体" w:hAnsi="宋体" w:cs="宋体"/>
                <w:bCs/>
                <w:color w:val="000000"/>
                <w:szCs w:val="21"/>
              </w:rPr>
              <w:t>入侵防护</w:t>
            </w:r>
          </w:p>
        </w:tc>
        <w:tc>
          <w:tcPr>
            <w:tcW w:w="3341" w:type="pct"/>
            <w:noWrap w:val="0"/>
            <w:vAlign w:val="center"/>
          </w:tcPr>
          <w:p w14:paraId="3508328A">
            <w:pPr>
              <w:widowControl/>
              <w:jc w:val="left"/>
              <w:rPr>
                <w:rFonts w:hint="eastAsia" w:ascii="宋体" w:hAnsi="宋体" w:cs="宋体"/>
                <w:szCs w:val="21"/>
              </w:rPr>
            </w:pPr>
            <w:r>
              <w:rPr>
                <w:rFonts w:hint="eastAsia" w:ascii="宋体" w:hAnsi="宋体" w:cs="宋体"/>
                <w:szCs w:val="21"/>
              </w:rPr>
              <w:t>支持对域名服务器、数据库服务器、文件服务器、邮件服务器、Web服务器等业务系统进行传输行为监测，能够及时中断、调整或隔离一些不正常或是具有伤害性的网络资料传输行为。</w:t>
            </w:r>
          </w:p>
        </w:tc>
      </w:tr>
      <w:tr w14:paraId="501F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1DC5EEB2">
            <w:pPr>
              <w:spacing w:line="360" w:lineRule="auto"/>
              <w:contextualSpacing/>
              <w:rPr>
                <w:rFonts w:hint="eastAsia" w:ascii="宋体" w:hAnsi="宋体" w:cs="宋体"/>
                <w:bCs/>
                <w:color w:val="000000"/>
                <w:szCs w:val="21"/>
              </w:rPr>
            </w:pPr>
          </w:p>
        </w:tc>
        <w:tc>
          <w:tcPr>
            <w:tcW w:w="734" w:type="pct"/>
            <w:noWrap w:val="0"/>
            <w:vAlign w:val="center"/>
          </w:tcPr>
          <w:p w14:paraId="6B16F6B7">
            <w:pPr>
              <w:spacing w:line="360" w:lineRule="auto"/>
              <w:contextualSpacing/>
              <w:rPr>
                <w:rFonts w:hint="eastAsia" w:ascii="宋体" w:hAnsi="宋体" w:cs="宋体"/>
                <w:bCs/>
                <w:color w:val="000000"/>
                <w:szCs w:val="21"/>
              </w:rPr>
            </w:pPr>
            <w:r>
              <w:rPr>
                <w:rFonts w:hint="eastAsia" w:ascii="宋体" w:hAnsi="宋体" w:cs="宋体"/>
                <w:bCs/>
                <w:color w:val="000000"/>
                <w:szCs w:val="21"/>
              </w:rPr>
              <w:t>病毒查杀</w:t>
            </w:r>
          </w:p>
        </w:tc>
        <w:tc>
          <w:tcPr>
            <w:tcW w:w="3341" w:type="pct"/>
            <w:noWrap w:val="0"/>
            <w:vAlign w:val="center"/>
          </w:tcPr>
          <w:p w14:paraId="244A58F2">
            <w:pPr>
              <w:widowControl/>
              <w:jc w:val="left"/>
              <w:rPr>
                <w:rFonts w:hint="eastAsia" w:ascii="宋体" w:hAnsi="宋体" w:cs="宋体"/>
                <w:szCs w:val="21"/>
              </w:rPr>
            </w:pPr>
            <w:r>
              <w:rPr>
                <w:rFonts w:hint="eastAsia" w:ascii="宋体" w:hAnsi="宋体" w:cs="宋体"/>
                <w:szCs w:val="21"/>
              </w:rPr>
              <w:t>支持对上传到业务系统的文件进行病毒查杀，支持本地查杀及病毒文件MD5云查。本地查杀支持对PE、脚本、宏病毒查杀，支持对压缩文件内的病毒查杀。</w:t>
            </w:r>
          </w:p>
        </w:tc>
      </w:tr>
      <w:tr w14:paraId="5661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5498B94A">
            <w:pPr>
              <w:spacing w:line="360" w:lineRule="auto"/>
              <w:contextualSpacing/>
              <w:rPr>
                <w:rFonts w:hint="eastAsia" w:ascii="宋体" w:hAnsi="宋体" w:cs="宋体"/>
                <w:bCs/>
                <w:color w:val="000000"/>
                <w:szCs w:val="21"/>
              </w:rPr>
            </w:pPr>
          </w:p>
        </w:tc>
        <w:tc>
          <w:tcPr>
            <w:tcW w:w="734" w:type="pct"/>
            <w:noWrap w:val="0"/>
            <w:vAlign w:val="center"/>
          </w:tcPr>
          <w:p w14:paraId="3867E202">
            <w:pPr>
              <w:spacing w:line="360" w:lineRule="auto"/>
              <w:contextualSpacing/>
              <w:rPr>
                <w:rFonts w:hint="eastAsia" w:ascii="宋体" w:hAnsi="宋体" w:cs="宋体"/>
                <w:bCs/>
                <w:color w:val="000000"/>
                <w:szCs w:val="21"/>
              </w:rPr>
            </w:pPr>
            <w:r>
              <w:rPr>
                <w:rFonts w:hint="eastAsia" w:ascii="宋体" w:hAnsi="宋体" w:cs="宋体"/>
                <w:bCs/>
                <w:color w:val="000000"/>
                <w:szCs w:val="21"/>
              </w:rPr>
              <w:t>沙箱检测</w:t>
            </w:r>
          </w:p>
        </w:tc>
        <w:tc>
          <w:tcPr>
            <w:tcW w:w="3341" w:type="pct"/>
            <w:noWrap w:val="0"/>
            <w:vAlign w:val="center"/>
          </w:tcPr>
          <w:p w14:paraId="31B14252">
            <w:pPr>
              <w:widowControl/>
              <w:jc w:val="left"/>
              <w:rPr>
                <w:rFonts w:hint="eastAsia" w:ascii="宋体" w:hAnsi="宋体" w:cs="宋体"/>
                <w:szCs w:val="21"/>
              </w:rPr>
            </w:pPr>
            <w:r>
              <w:rPr>
                <w:rFonts w:hint="eastAsia" w:ascii="宋体" w:hAnsi="宋体" w:cs="宋体"/>
                <w:szCs w:val="21"/>
              </w:rPr>
              <w:t>支持对上传到业务系统的文件进行云沙箱检测。</w:t>
            </w:r>
          </w:p>
          <w:p w14:paraId="2D23D863">
            <w:pPr>
              <w:widowControl/>
              <w:jc w:val="left"/>
              <w:rPr>
                <w:rFonts w:hint="eastAsia" w:ascii="宋体" w:hAnsi="宋体" w:cs="宋体"/>
                <w:szCs w:val="21"/>
              </w:rPr>
            </w:pPr>
            <w:r>
              <w:rPr>
                <w:rFonts w:hint="eastAsia" w:ascii="宋体" w:hAnsi="宋体" w:cs="宋体"/>
                <w:szCs w:val="21"/>
              </w:rPr>
              <w:t>云沙箱支持14种虚拟机架构，预置多种分析技术对文件进行安全性检测。</w:t>
            </w:r>
          </w:p>
        </w:tc>
      </w:tr>
      <w:tr w14:paraId="7CFF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3" w:type="pct"/>
            <w:vMerge w:val="restart"/>
            <w:noWrap w:val="0"/>
            <w:vAlign w:val="center"/>
          </w:tcPr>
          <w:p w14:paraId="0C5F7194">
            <w:pPr>
              <w:spacing w:line="360" w:lineRule="auto"/>
              <w:contextualSpacing/>
              <w:rPr>
                <w:rFonts w:hint="eastAsia" w:ascii="宋体" w:hAnsi="宋体" w:cs="宋体"/>
                <w:bCs/>
                <w:color w:val="000000"/>
                <w:szCs w:val="21"/>
              </w:rPr>
            </w:pPr>
            <w:r>
              <w:rPr>
                <w:rFonts w:hint="eastAsia" w:ascii="宋体" w:hAnsi="宋体" w:cs="宋体"/>
                <w:bCs/>
                <w:color w:val="000000"/>
                <w:szCs w:val="21"/>
              </w:rPr>
              <w:t>应用管理</w:t>
            </w:r>
          </w:p>
        </w:tc>
        <w:tc>
          <w:tcPr>
            <w:tcW w:w="734" w:type="pct"/>
            <w:noWrap w:val="0"/>
            <w:vAlign w:val="center"/>
          </w:tcPr>
          <w:p w14:paraId="20E9E7C2">
            <w:pPr>
              <w:spacing w:line="360" w:lineRule="auto"/>
              <w:contextualSpacing/>
              <w:rPr>
                <w:rFonts w:hint="eastAsia" w:ascii="宋体" w:hAnsi="宋体" w:cs="宋体"/>
                <w:bCs/>
                <w:color w:val="000000"/>
                <w:szCs w:val="21"/>
              </w:rPr>
            </w:pPr>
            <w:r>
              <w:rPr>
                <w:rFonts w:hint="eastAsia" w:ascii="宋体" w:hAnsi="宋体" w:cs="宋体"/>
                <w:bCs/>
                <w:color w:val="000000"/>
                <w:szCs w:val="21"/>
              </w:rPr>
              <w:t>应用审计及控制</w:t>
            </w:r>
          </w:p>
        </w:tc>
        <w:tc>
          <w:tcPr>
            <w:tcW w:w="3341" w:type="pct"/>
            <w:noWrap w:val="0"/>
            <w:vAlign w:val="center"/>
          </w:tcPr>
          <w:p w14:paraId="5C02DC14">
            <w:pPr>
              <w:widowControl/>
              <w:jc w:val="left"/>
              <w:rPr>
                <w:rFonts w:hint="eastAsia" w:ascii="宋体" w:hAnsi="宋体" w:cs="宋体"/>
                <w:kern w:val="0"/>
                <w:szCs w:val="21"/>
              </w:rPr>
            </w:pPr>
            <w:r>
              <w:rPr>
                <w:rFonts w:hint="eastAsia" w:ascii="宋体" w:hAnsi="宋体" w:cs="宋体"/>
                <w:kern w:val="0"/>
                <w:szCs w:val="21"/>
              </w:rPr>
              <w:t>应用协议库包含的应用数量不低于7100种，应用规则总数不低于30000种。</w:t>
            </w:r>
          </w:p>
        </w:tc>
      </w:tr>
      <w:tr w14:paraId="47B0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3" w:type="pct"/>
            <w:vMerge w:val="continue"/>
            <w:noWrap w:val="0"/>
            <w:vAlign w:val="center"/>
          </w:tcPr>
          <w:p w14:paraId="6A2A2377">
            <w:pPr>
              <w:spacing w:line="360" w:lineRule="auto"/>
              <w:contextualSpacing/>
              <w:rPr>
                <w:rFonts w:hint="eastAsia" w:ascii="宋体" w:hAnsi="宋体" w:cs="宋体"/>
                <w:bCs/>
                <w:color w:val="000000"/>
                <w:szCs w:val="21"/>
              </w:rPr>
            </w:pPr>
          </w:p>
        </w:tc>
        <w:tc>
          <w:tcPr>
            <w:tcW w:w="734" w:type="pct"/>
            <w:noWrap w:val="0"/>
            <w:vAlign w:val="center"/>
          </w:tcPr>
          <w:p w14:paraId="0DD5CB5A">
            <w:pPr>
              <w:spacing w:line="360" w:lineRule="auto"/>
              <w:contextualSpacing/>
              <w:rPr>
                <w:rFonts w:hint="eastAsia" w:ascii="宋体" w:hAnsi="宋体" w:cs="宋体"/>
                <w:bCs/>
                <w:color w:val="000000"/>
                <w:szCs w:val="21"/>
              </w:rPr>
            </w:pPr>
            <w:r>
              <w:rPr>
                <w:rFonts w:hint="eastAsia" w:ascii="宋体" w:hAnsi="宋体" w:cs="宋体"/>
                <w:bCs/>
                <w:color w:val="000000"/>
                <w:szCs w:val="21"/>
              </w:rPr>
              <w:t>应用分类</w:t>
            </w:r>
          </w:p>
        </w:tc>
        <w:tc>
          <w:tcPr>
            <w:tcW w:w="3341" w:type="pct"/>
            <w:noWrap w:val="0"/>
            <w:vAlign w:val="center"/>
          </w:tcPr>
          <w:p w14:paraId="1441CBE4">
            <w:pPr>
              <w:widowControl/>
              <w:jc w:val="left"/>
              <w:rPr>
                <w:rFonts w:hint="eastAsia" w:ascii="宋体" w:hAnsi="宋体" w:cs="宋体"/>
                <w:kern w:val="0"/>
                <w:szCs w:val="21"/>
              </w:rPr>
            </w:pPr>
            <w:r>
              <w:rPr>
                <w:rFonts w:hint="eastAsia" w:ascii="宋体" w:hAnsi="宋体" w:cs="宋体"/>
                <w:kern w:val="0"/>
                <w:szCs w:val="21"/>
              </w:rPr>
              <w:t>可以对下载工具、视频播放、网络游戏、金融理财、即时消息、移动应用有独立的分类进行识别控制。</w:t>
            </w:r>
          </w:p>
          <w:p w14:paraId="08C7AF7C">
            <w:pPr>
              <w:widowControl/>
              <w:jc w:val="left"/>
              <w:rPr>
                <w:rFonts w:hint="eastAsia" w:ascii="宋体" w:hAnsi="宋体" w:cs="宋体"/>
                <w:kern w:val="0"/>
                <w:szCs w:val="21"/>
              </w:rPr>
            </w:pPr>
            <w:r>
              <w:rPr>
                <w:rFonts w:hint="eastAsia" w:ascii="宋体" w:hAnsi="宋体" w:cs="宋体"/>
                <w:kern w:val="0"/>
                <w:szCs w:val="21"/>
              </w:rPr>
              <w:t>为覆盖工作无关应用，移动应用不少于1000种，即时消息应不低于150种，虚拟货币交易平台不低于40种；</w:t>
            </w:r>
          </w:p>
          <w:p w14:paraId="6EE92AA6">
            <w:pPr>
              <w:widowControl/>
              <w:jc w:val="left"/>
              <w:rPr>
                <w:rFonts w:hint="eastAsia" w:ascii="宋体" w:hAnsi="宋体" w:cs="宋体"/>
                <w:kern w:val="0"/>
                <w:szCs w:val="21"/>
              </w:rPr>
            </w:pPr>
            <w:r>
              <w:rPr>
                <w:rFonts w:hint="eastAsia" w:ascii="宋体" w:hAnsi="宋体" w:cs="宋体"/>
                <w:kern w:val="0"/>
                <w:szCs w:val="21"/>
              </w:rPr>
              <w:t>为规避外发类风险，论坛发帖应不低于3000种，网络存储不低于100种，代理隧道不低于100种。</w:t>
            </w:r>
          </w:p>
        </w:tc>
      </w:tr>
      <w:tr w14:paraId="2291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pct"/>
            <w:vMerge w:val="continue"/>
            <w:noWrap w:val="0"/>
            <w:vAlign w:val="center"/>
          </w:tcPr>
          <w:p w14:paraId="4AC01420">
            <w:pPr>
              <w:spacing w:line="360" w:lineRule="auto"/>
              <w:contextualSpacing/>
              <w:rPr>
                <w:rFonts w:hint="eastAsia" w:ascii="宋体" w:hAnsi="宋体" w:cs="宋体"/>
                <w:bCs/>
                <w:color w:val="000000"/>
                <w:szCs w:val="21"/>
              </w:rPr>
            </w:pPr>
          </w:p>
        </w:tc>
        <w:tc>
          <w:tcPr>
            <w:tcW w:w="734" w:type="pct"/>
            <w:noWrap w:val="0"/>
            <w:vAlign w:val="center"/>
          </w:tcPr>
          <w:p w14:paraId="3E4424D1">
            <w:pPr>
              <w:spacing w:line="360" w:lineRule="auto"/>
              <w:contextualSpacing/>
              <w:rPr>
                <w:rFonts w:hint="eastAsia" w:ascii="宋体" w:hAnsi="宋体" w:cs="宋体"/>
                <w:bCs/>
                <w:color w:val="000000"/>
                <w:szCs w:val="21"/>
              </w:rPr>
            </w:pPr>
            <w:r>
              <w:rPr>
                <w:rFonts w:hint="eastAsia" w:ascii="宋体" w:hAnsi="宋体" w:cs="宋体"/>
                <w:bCs/>
                <w:color w:val="000000"/>
                <w:szCs w:val="21"/>
              </w:rPr>
              <w:t>网安应用行为策略</w:t>
            </w:r>
          </w:p>
        </w:tc>
        <w:tc>
          <w:tcPr>
            <w:tcW w:w="3341" w:type="pct"/>
            <w:noWrap w:val="0"/>
            <w:vAlign w:val="center"/>
          </w:tcPr>
          <w:p w14:paraId="1BBE0C43">
            <w:pPr>
              <w:widowControl/>
              <w:jc w:val="left"/>
              <w:rPr>
                <w:rFonts w:hint="eastAsia" w:ascii="宋体" w:hAnsi="宋体" w:cs="宋体"/>
                <w:kern w:val="0"/>
                <w:szCs w:val="21"/>
              </w:rPr>
            </w:pPr>
            <w:r>
              <w:rPr>
                <w:rFonts w:hint="eastAsia" w:ascii="宋体" w:hAnsi="宋体" w:cs="宋体"/>
                <w:kern w:val="0"/>
                <w:szCs w:val="21"/>
              </w:rPr>
              <w:t>支持独立的网安应用行为审计策略，支持基于用户、时间、位置、工具进行策略设置。</w:t>
            </w:r>
          </w:p>
        </w:tc>
      </w:tr>
      <w:tr w14:paraId="1D80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3" w:type="pct"/>
            <w:vMerge w:val="restart"/>
            <w:noWrap w:val="0"/>
            <w:vAlign w:val="center"/>
          </w:tcPr>
          <w:p w14:paraId="0C2956BF">
            <w:pPr>
              <w:spacing w:line="360" w:lineRule="auto"/>
              <w:contextualSpacing/>
              <w:rPr>
                <w:rFonts w:hint="eastAsia" w:ascii="宋体" w:hAnsi="宋体" w:cs="宋体"/>
                <w:bCs/>
                <w:color w:val="000000"/>
                <w:szCs w:val="21"/>
              </w:rPr>
            </w:pPr>
            <w:r>
              <w:rPr>
                <w:rFonts w:hint="eastAsia" w:ascii="宋体" w:hAnsi="宋体" w:cs="宋体"/>
                <w:bCs/>
                <w:color w:val="000000"/>
                <w:szCs w:val="21"/>
              </w:rPr>
              <w:t>网页管理</w:t>
            </w:r>
          </w:p>
        </w:tc>
        <w:tc>
          <w:tcPr>
            <w:tcW w:w="734" w:type="pct"/>
            <w:noWrap w:val="0"/>
            <w:vAlign w:val="center"/>
          </w:tcPr>
          <w:p w14:paraId="628CED25">
            <w:pPr>
              <w:spacing w:line="360" w:lineRule="auto"/>
              <w:contextualSpacing/>
              <w:rPr>
                <w:rFonts w:hint="eastAsia" w:ascii="宋体" w:hAnsi="宋体" w:cs="宋体"/>
                <w:bCs/>
                <w:color w:val="000000"/>
                <w:szCs w:val="21"/>
              </w:rPr>
            </w:pPr>
            <w:r>
              <w:rPr>
                <w:rFonts w:hint="eastAsia" w:ascii="宋体" w:hAnsi="宋体" w:cs="宋体"/>
                <w:bCs/>
                <w:color w:val="000000"/>
                <w:szCs w:val="21"/>
              </w:rPr>
              <w:t>URL分类反馈</w:t>
            </w:r>
          </w:p>
        </w:tc>
        <w:tc>
          <w:tcPr>
            <w:tcW w:w="3341" w:type="pct"/>
            <w:noWrap w:val="0"/>
            <w:vAlign w:val="center"/>
          </w:tcPr>
          <w:p w14:paraId="67AA2E69">
            <w:pPr>
              <w:widowControl/>
              <w:jc w:val="left"/>
              <w:rPr>
                <w:rFonts w:hint="eastAsia" w:ascii="宋体" w:hAnsi="宋体" w:cs="宋体"/>
                <w:kern w:val="0"/>
                <w:szCs w:val="21"/>
              </w:rPr>
            </w:pPr>
            <w:r>
              <w:rPr>
                <w:rFonts w:hint="eastAsia" w:ascii="宋体" w:hAnsi="宋体" w:cs="宋体"/>
                <w:kern w:val="0"/>
                <w:szCs w:val="21"/>
              </w:rPr>
              <w:t>≥2.8亿条URL数据，在系统有URL库更新情况详细说明。</w:t>
            </w:r>
          </w:p>
          <w:p w14:paraId="6599D835">
            <w:pPr>
              <w:widowControl/>
              <w:jc w:val="left"/>
              <w:rPr>
                <w:rFonts w:hint="eastAsia" w:ascii="宋体" w:hAnsi="宋体" w:cs="宋体"/>
                <w:kern w:val="0"/>
                <w:szCs w:val="21"/>
              </w:rPr>
            </w:pPr>
            <w:r>
              <w:rPr>
                <w:rFonts w:hint="eastAsia" w:ascii="宋体" w:hAnsi="宋体" w:cs="宋体"/>
                <w:kern w:val="0"/>
                <w:szCs w:val="21"/>
              </w:rPr>
              <w:t xml:space="preserve">当用户的网页访问被网页浏览策略封堵时，用户如果发现分类错误能够在页面中向管理员进行反馈；管理员可查看用户反馈的分类错误，并可以选择向服务器反馈； </w:t>
            </w:r>
          </w:p>
        </w:tc>
      </w:tr>
      <w:tr w14:paraId="140A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23" w:type="pct"/>
            <w:vMerge w:val="continue"/>
            <w:noWrap w:val="0"/>
            <w:vAlign w:val="center"/>
          </w:tcPr>
          <w:p w14:paraId="212D52B3">
            <w:pPr>
              <w:spacing w:line="360" w:lineRule="auto"/>
              <w:contextualSpacing/>
              <w:rPr>
                <w:rFonts w:hint="eastAsia" w:ascii="宋体" w:hAnsi="宋体" w:cs="宋体"/>
                <w:bCs/>
                <w:color w:val="000000"/>
                <w:szCs w:val="21"/>
              </w:rPr>
            </w:pPr>
          </w:p>
        </w:tc>
        <w:tc>
          <w:tcPr>
            <w:tcW w:w="734" w:type="pct"/>
            <w:noWrap w:val="0"/>
            <w:vAlign w:val="center"/>
          </w:tcPr>
          <w:p w14:paraId="7F046B97">
            <w:pPr>
              <w:spacing w:line="360" w:lineRule="auto"/>
              <w:contextualSpacing/>
              <w:rPr>
                <w:rFonts w:hint="eastAsia" w:ascii="宋体" w:hAnsi="宋体" w:cs="宋体"/>
                <w:bCs/>
                <w:color w:val="000000"/>
                <w:szCs w:val="21"/>
              </w:rPr>
            </w:pPr>
            <w:r>
              <w:rPr>
                <w:rFonts w:hint="eastAsia" w:ascii="宋体" w:hAnsi="宋体" w:cs="宋体"/>
                <w:bCs/>
                <w:color w:val="000000"/>
                <w:szCs w:val="21"/>
              </w:rPr>
              <w:t>阻塞提示</w:t>
            </w:r>
          </w:p>
        </w:tc>
        <w:tc>
          <w:tcPr>
            <w:tcW w:w="3341" w:type="pct"/>
            <w:noWrap w:val="0"/>
            <w:vAlign w:val="center"/>
          </w:tcPr>
          <w:p w14:paraId="4C35BFF1">
            <w:pPr>
              <w:widowControl/>
              <w:jc w:val="left"/>
              <w:rPr>
                <w:rFonts w:hint="eastAsia" w:ascii="宋体" w:hAnsi="宋体" w:cs="宋体"/>
                <w:kern w:val="0"/>
                <w:szCs w:val="21"/>
              </w:rPr>
            </w:pPr>
            <w:r>
              <w:rPr>
                <w:rFonts w:hint="eastAsia" w:ascii="宋体" w:hAnsi="宋体" w:cs="宋体"/>
                <w:kern w:val="0"/>
                <w:szCs w:val="21"/>
              </w:rPr>
              <w:t>不同网页被阻塞后会跳转不同的阻塞页面；支持用户完全自定义</w:t>
            </w:r>
          </w:p>
        </w:tc>
      </w:tr>
      <w:tr w14:paraId="50F9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59730800">
            <w:pPr>
              <w:spacing w:line="360" w:lineRule="auto"/>
              <w:contextualSpacing/>
              <w:rPr>
                <w:rFonts w:hint="eastAsia" w:ascii="宋体" w:hAnsi="宋体" w:cs="宋体"/>
                <w:bCs/>
                <w:color w:val="000000"/>
                <w:szCs w:val="21"/>
              </w:rPr>
            </w:pPr>
          </w:p>
        </w:tc>
        <w:tc>
          <w:tcPr>
            <w:tcW w:w="734" w:type="pct"/>
            <w:noWrap w:val="0"/>
            <w:vAlign w:val="center"/>
          </w:tcPr>
          <w:p w14:paraId="25ACCAFB">
            <w:pPr>
              <w:spacing w:line="360" w:lineRule="auto"/>
              <w:contextualSpacing/>
              <w:rPr>
                <w:rFonts w:hint="eastAsia" w:ascii="宋体" w:hAnsi="宋体" w:cs="宋体"/>
                <w:bCs/>
                <w:color w:val="000000"/>
                <w:szCs w:val="21"/>
              </w:rPr>
            </w:pPr>
            <w:r>
              <w:rPr>
                <w:rFonts w:hint="eastAsia" w:ascii="宋体" w:hAnsi="宋体" w:cs="宋体"/>
                <w:bCs/>
                <w:color w:val="000000"/>
                <w:szCs w:val="21"/>
              </w:rPr>
              <w:t>免监控域名</w:t>
            </w:r>
          </w:p>
        </w:tc>
        <w:tc>
          <w:tcPr>
            <w:tcW w:w="3341" w:type="pct"/>
            <w:noWrap w:val="0"/>
            <w:vAlign w:val="center"/>
          </w:tcPr>
          <w:p w14:paraId="6392C183">
            <w:pPr>
              <w:widowControl/>
              <w:jc w:val="left"/>
              <w:rPr>
                <w:rFonts w:hint="eastAsia" w:ascii="宋体" w:hAnsi="宋体" w:cs="宋体"/>
                <w:kern w:val="0"/>
                <w:szCs w:val="21"/>
              </w:rPr>
            </w:pPr>
            <w:r>
              <w:rPr>
                <w:rFonts w:hint="eastAsia" w:ascii="宋体" w:hAnsi="宋体" w:cs="宋体"/>
                <w:kern w:val="0"/>
                <w:szCs w:val="21"/>
              </w:rPr>
              <w:t>支持配置免监控域名，用户在认证前即可访问免监控域名</w:t>
            </w:r>
          </w:p>
        </w:tc>
      </w:tr>
      <w:tr w14:paraId="1ACD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11B2A55C">
            <w:pPr>
              <w:spacing w:line="360" w:lineRule="auto"/>
              <w:contextualSpacing/>
              <w:rPr>
                <w:rFonts w:hint="eastAsia" w:ascii="宋体" w:hAnsi="宋体" w:cs="宋体"/>
                <w:bCs/>
                <w:color w:val="000000"/>
                <w:szCs w:val="21"/>
              </w:rPr>
            </w:pPr>
            <w:r>
              <w:rPr>
                <w:rFonts w:hint="eastAsia" w:ascii="宋体" w:hAnsi="宋体" w:cs="宋体"/>
                <w:bCs/>
                <w:color w:val="000000"/>
                <w:szCs w:val="21"/>
              </w:rPr>
              <w:t>邮件管理</w:t>
            </w:r>
          </w:p>
        </w:tc>
        <w:tc>
          <w:tcPr>
            <w:tcW w:w="734" w:type="pct"/>
            <w:noWrap w:val="0"/>
            <w:vAlign w:val="center"/>
          </w:tcPr>
          <w:p w14:paraId="37B4B81B">
            <w:pPr>
              <w:spacing w:line="360" w:lineRule="auto"/>
              <w:contextualSpacing/>
              <w:rPr>
                <w:rFonts w:hint="eastAsia" w:ascii="宋体" w:hAnsi="宋体" w:cs="宋体"/>
                <w:bCs/>
                <w:color w:val="000000"/>
                <w:szCs w:val="21"/>
              </w:rPr>
            </w:pPr>
            <w:r>
              <w:rPr>
                <w:rFonts w:hint="eastAsia" w:ascii="宋体" w:hAnsi="宋体" w:cs="宋体"/>
                <w:bCs/>
                <w:color w:val="000000"/>
                <w:szCs w:val="21"/>
              </w:rPr>
              <w:t>Webmail管理</w:t>
            </w:r>
          </w:p>
        </w:tc>
        <w:tc>
          <w:tcPr>
            <w:tcW w:w="3341" w:type="pct"/>
            <w:noWrap w:val="0"/>
            <w:vAlign w:val="center"/>
          </w:tcPr>
          <w:p w14:paraId="20A7EFB4">
            <w:pPr>
              <w:widowControl/>
              <w:jc w:val="left"/>
              <w:rPr>
                <w:rFonts w:hint="eastAsia" w:ascii="宋体" w:hAnsi="宋体" w:cs="宋体"/>
                <w:kern w:val="0"/>
                <w:szCs w:val="21"/>
              </w:rPr>
            </w:pPr>
            <w:r>
              <w:rPr>
                <w:rFonts w:hint="eastAsia" w:ascii="宋体" w:hAnsi="宋体" w:cs="宋体"/>
                <w:kern w:val="0"/>
                <w:szCs w:val="21"/>
              </w:rPr>
              <w:t>一条策略可实现Webmail以及SSL加密的Webmail基于发件人、收件人、主题、内容、附件名维度的记录、阻塞、告警；</w:t>
            </w:r>
          </w:p>
        </w:tc>
      </w:tr>
      <w:tr w14:paraId="30D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vMerge w:val="continue"/>
            <w:noWrap w:val="0"/>
            <w:vAlign w:val="center"/>
          </w:tcPr>
          <w:p w14:paraId="50BC03C7">
            <w:pPr>
              <w:spacing w:line="360" w:lineRule="auto"/>
              <w:contextualSpacing/>
              <w:rPr>
                <w:rFonts w:hint="eastAsia" w:ascii="宋体" w:hAnsi="宋体" w:cs="宋体"/>
                <w:bCs/>
                <w:color w:val="000000"/>
                <w:szCs w:val="21"/>
              </w:rPr>
            </w:pPr>
          </w:p>
        </w:tc>
        <w:tc>
          <w:tcPr>
            <w:tcW w:w="734" w:type="pct"/>
            <w:noWrap w:val="0"/>
            <w:vAlign w:val="center"/>
          </w:tcPr>
          <w:p w14:paraId="6EB47D9D">
            <w:pPr>
              <w:spacing w:line="360" w:lineRule="auto"/>
              <w:contextualSpacing/>
              <w:rPr>
                <w:rFonts w:hint="eastAsia" w:ascii="宋体" w:hAnsi="宋体" w:cs="宋体"/>
                <w:bCs/>
                <w:color w:val="000000"/>
                <w:szCs w:val="21"/>
              </w:rPr>
            </w:pPr>
            <w:r>
              <w:rPr>
                <w:rFonts w:hint="eastAsia" w:ascii="宋体" w:hAnsi="宋体" w:cs="宋体"/>
                <w:bCs/>
                <w:color w:val="000000"/>
                <w:szCs w:val="21"/>
              </w:rPr>
              <w:t>客户端邮件收发管理</w:t>
            </w:r>
          </w:p>
        </w:tc>
        <w:tc>
          <w:tcPr>
            <w:tcW w:w="3341" w:type="pct"/>
            <w:noWrap w:val="0"/>
            <w:vAlign w:val="center"/>
          </w:tcPr>
          <w:p w14:paraId="7F043BE6">
            <w:pPr>
              <w:widowControl/>
              <w:jc w:val="left"/>
              <w:rPr>
                <w:rFonts w:hint="eastAsia" w:ascii="宋体" w:hAnsi="宋体" w:cs="宋体"/>
                <w:kern w:val="0"/>
                <w:szCs w:val="21"/>
              </w:rPr>
            </w:pPr>
            <w:r>
              <w:rPr>
                <w:rFonts w:hint="eastAsia" w:ascii="宋体" w:hAnsi="宋体" w:cs="宋体"/>
                <w:kern w:val="0"/>
                <w:szCs w:val="21"/>
              </w:rPr>
              <w:t>能够基于发件人、收件人、主题、内容、附件名维度进行过滤、记录、告警；能够支持SSL加密的SMTP邮件审计；</w:t>
            </w:r>
          </w:p>
        </w:tc>
      </w:tr>
      <w:tr w14:paraId="3D63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noWrap w:val="0"/>
            <w:vAlign w:val="center"/>
          </w:tcPr>
          <w:p w14:paraId="1DA298D7">
            <w:pPr>
              <w:spacing w:line="360" w:lineRule="auto"/>
              <w:contextualSpacing/>
              <w:rPr>
                <w:rFonts w:hint="eastAsia" w:ascii="宋体" w:hAnsi="宋体" w:cs="宋体"/>
                <w:bCs/>
                <w:color w:val="000000"/>
                <w:szCs w:val="21"/>
              </w:rPr>
            </w:pPr>
            <w:r>
              <w:rPr>
                <w:rFonts w:hint="eastAsia" w:ascii="宋体" w:hAnsi="宋体" w:cs="宋体"/>
                <w:bCs/>
                <w:color w:val="000000"/>
                <w:szCs w:val="21"/>
              </w:rPr>
              <w:t>文件管理</w:t>
            </w:r>
          </w:p>
        </w:tc>
        <w:tc>
          <w:tcPr>
            <w:tcW w:w="734" w:type="pct"/>
            <w:noWrap w:val="0"/>
            <w:vAlign w:val="center"/>
          </w:tcPr>
          <w:p w14:paraId="5B6D54D3">
            <w:pPr>
              <w:spacing w:line="360" w:lineRule="auto"/>
              <w:contextualSpacing/>
              <w:rPr>
                <w:rFonts w:hint="eastAsia" w:ascii="宋体" w:hAnsi="宋体" w:cs="宋体"/>
                <w:bCs/>
                <w:color w:val="000000"/>
                <w:szCs w:val="21"/>
              </w:rPr>
            </w:pPr>
            <w:r>
              <w:rPr>
                <w:rFonts w:hint="eastAsia" w:ascii="宋体" w:hAnsi="宋体" w:cs="宋体"/>
                <w:bCs/>
                <w:color w:val="000000"/>
                <w:szCs w:val="21"/>
              </w:rPr>
              <w:t>文件管理</w:t>
            </w:r>
          </w:p>
        </w:tc>
        <w:tc>
          <w:tcPr>
            <w:tcW w:w="3341" w:type="pct"/>
            <w:noWrap w:val="0"/>
            <w:vAlign w:val="center"/>
          </w:tcPr>
          <w:p w14:paraId="5C7EA026">
            <w:pPr>
              <w:widowControl/>
              <w:jc w:val="left"/>
              <w:rPr>
                <w:rFonts w:hint="eastAsia" w:ascii="宋体" w:hAnsi="宋体" w:cs="宋体"/>
                <w:kern w:val="0"/>
                <w:szCs w:val="21"/>
              </w:rPr>
            </w:pPr>
            <w:r>
              <w:rPr>
                <w:rFonts w:hint="eastAsia" w:ascii="宋体" w:hAnsi="宋体" w:cs="宋体"/>
                <w:kern w:val="0"/>
                <w:szCs w:val="21"/>
              </w:rPr>
              <w:t xml:space="preserve">支持对Windows百度网盘客户端的文件标题和内容审计; </w:t>
            </w:r>
          </w:p>
          <w:p w14:paraId="6654AF56">
            <w:pPr>
              <w:widowControl/>
              <w:jc w:val="left"/>
              <w:rPr>
                <w:rFonts w:hint="eastAsia" w:ascii="宋体" w:hAnsi="宋体" w:cs="宋体"/>
                <w:kern w:val="0"/>
                <w:szCs w:val="21"/>
              </w:rPr>
            </w:pPr>
            <w:r>
              <w:rPr>
                <w:rFonts w:hint="eastAsia" w:ascii="宋体" w:hAnsi="宋体" w:cs="宋体"/>
                <w:kern w:val="0"/>
                <w:szCs w:val="21"/>
              </w:rPr>
              <w:t>支持对QQ、微信和百度网盘的PC客户端外发文件进行关键字过滤和封堵</w:t>
            </w:r>
          </w:p>
        </w:tc>
      </w:tr>
      <w:tr w14:paraId="6E6E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3" w:type="pct"/>
            <w:noWrap w:val="0"/>
            <w:vAlign w:val="center"/>
          </w:tcPr>
          <w:p w14:paraId="77765D4B">
            <w:pPr>
              <w:spacing w:line="360" w:lineRule="auto"/>
              <w:contextualSpacing/>
              <w:rPr>
                <w:rFonts w:hint="eastAsia" w:ascii="宋体" w:hAnsi="宋体" w:cs="宋体"/>
                <w:bCs/>
                <w:color w:val="000000"/>
                <w:szCs w:val="21"/>
              </w:rPr>
            </w:pPr>
            <w:r>
              <w:rPr>
                <w:rFonts w:hint="eastAsia" w:ascii="宋体" w:hAnsi="宋体" w:cs="宋体"/>
                <w:bCs/>
                <w:color w:val="000000"/>
                <w:szCs w:val="21"/>
              </w:rPr>
              <w:t>IM管理</w:t>
            </w:r>
          </w:p>
        </w:tc>
        <w:tc>
          <w:tcPr>
            <w:tcW w:w="734" w:type="pct"/>
            <w:noWrap w:val="0"/>
            <w:vAlign w:val="center"/>
          </w:tcPr>
          <w:p w14:paraId="1C58E02C">
            <w:pPr>
              <w:spacing w:line="360" w:lineRule="auto"/>
              <w:contextualSpacing/>
              <w:rPr>
                <w:rFonts w:hint="eastAsia" w:ascii="宋体" w:hAnsi="宋体" w:cs="宋体"/>
                <w:bCs/>
                <w:color w:val="000000"/>
                <w:szCs w:val="21"/>
              </w:rPr>
            </w:pPr>
            <w:r>
              <w:rPr>
                <w:rFonts w:hint="eastAsia" w:ascii="宋体" w:hAnsi="宋体" w:cs="宋体"/>
                <w:bCs/>
                <w:color w:val="000000"/>
                <w:szCs w:val="21"/>
              </w:rPr>
              <w:t>Windows版客户端微信审计</w:t>
            </w:r>
          </w:p>
        </w:tc>
        <w:tc>
          <w:tcPr>
            <w:tcW w:w="3341" w:type="pct"/>
            <w:noWrap w:val="0"/>
            <w:vAlign w:val="center"/>
          </w:tcPr>
          <w:p w14:paraId="1A749EFC">
            <w:pPr>
              <w:widowControl/>
              <w:jc w:val="left"/>
              <w:rPr>
                <w:rFonts w:hint="eastAsia" w:ascii="宋体" w:hAnsi="宋体" w:cs="宋体"/>
                <w:kern w:val="0"/>
                <w:szCs w:val="21"/>
              </w:rPr>
            </w:pPr>
            <w:r>
              <w:rPr>
                <w:rFonts w:hint="eastAsia" w:ascii="宋体" w:hAnsi="宋体" w:cs="宋体"/>
                <w:kern w:val="0"/>
                <w:szCs w:val="21"/>
              </w:rPr>
              <w:t>支持对微信windows版客户端进行聊天内容审计</w:t>
            </w:r>
            <w:r>
              <w:rPr>
                <w:rFonts w:hint="eastAsia" w:ascii="宋体" w:hAnsi="宋体" w:cs="宋体"/>
                <w:kern w:val="0"/>
                <w:szCs w:val="21"/>
              </w:rPr>
              <w:br w:type="textWrapping"/>
            </w:r>
            <w:r>
              <w:rPr>
                <w:rFonts w:hint="eastAsia" w:ascii="宋体" w:hAnsi="宋体" w:cs="宋体"/>
                <w:kern w:val="0"/>
                <w:szCs w:val="21"/>
              </w:rPr>
              <w:t>支持对微信Windows版客户端的外发文件进行文件内容审计</w:t>
            </w:r>
            <w:r>
              <w:rPr>
                <w:rFonts w:hint="eastAsia" w:ascii="宋体" w:hAnsi="宋体" w:cs="宋体"/>
                <w:kern w:val="0"/>
                <w:szCs w:val="21"/>
              </w:rPr>
              <w:br w:type="textWrapping"/>
            </w:r>
            <w:r>
              <w:rPr>
                <w:rFonts w:hint="eastAsia" w:ascii="宋体" w:hAnsi="宋体" w:cs="宋体"/>
                <w:kern w:val="0"/>
                <w:szCs w:val="21"/>
              </w:rPr>
              <w:t>支持记录发送/接受信息的微信账号</w:t>
            </w:r>
            <w:r>
              <w:rPr>
                <w:rFonts w:hint="eastAsia" w:ascii="宋体" w:hAnsi="宋体" w:cs="宋体"/>
                <w:kern w:val="0"/>
                <w:szCs w:val="21"/>
              </w:rPr>
              <w:br w:type="textWrapping"/>
            </w:r>
            <w:r>
              <w:rPr>
                <w:rFonts w:hint="eastAsia" w:ascii="宋体" w:hAnsi="宋体" w:cs="宋体"/>
                <w:kern w:val="0"/>
                <w:szCs w:val="21"/>
              </w:rPr>
              <w:t>支持记录与单人/群聊/公众号的发送/接收内容</w:t>
            </w:r>
            <w:r>
              <w:rPr>
                <w:rFonts w:hint="eastAsia" w:ascii="宋体" w:hAnsi="宋体" w:cs="宋体"/>
                <w:kern w:val="0"/>
                <w:szCs w:val="21"/>
              </w:rPr>
              <w:br w:type="textWrapping"/>
            </w:r>
            <w:r>
              <w:rPr>
                <w:rFonts w:hint="eastAsia" w:ascii="宋体" w:hAnsi="宋体" w:cs="宋体"/>
                <w:kern w:val="0"/>
                <w:szCs w:val="21"/>
              </w:rPr>
              <w:t>支持记录发送/接收文件的路径/名称/大小</w:t>
            </w:r>
            <w:r>
              <w:rPr>
                <w:rFonts w:hint="eastAsia" w:ascii="宋体" w:hAnsi="宋体" w:cs="宋体"/>
                <w:kern w:val="0"/>
                <w:szCs w:val="21"/>
              </w:rPr>
              <w:br w:type="textWrapping"/>
            </w:r>
            <w:r>
              <w:rPr>
                <w:rFonts w:hint="eastAsia" w:ascii="宋体" w:hAnsi="宋体" w:cs="宋体"/>
                <w:kern w:val="0"/>
                <w:szCs w:val="21"/>
              </w:rPr>
              <w:t>支持基于用户/位置/账号等元素对审计日志进行统计</w:t>
            </w:r>
          </w:p>
        </w:tc>
      </w:tr>
      <w:tr w14:paraId="3FA1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3" w:type="pct"/>
            <w:noWrap w:val="0"/>
            <w:vAlign w:val="center"/>
          </w:tcPr>
          <w:p w14:paraId="216286DE">
            <w:pPr>
              <w:spacing w:line="360" w:lineRule="auto"/>
              <w:contextualSpacing/>
              <w:rPr>
                <w:rFonts w:hint="eastAsia" w:ascii="宋体" w:hAnsi="宋体" w:cs="宋体"/>
                <w:bCs/>
                <w:color w:val="000000"/>
                <w:szCs w:val="21"/>
              </w:rPr>
            </w:pPr>
            <w:r>
              <w:rPr>
                <w:rFonts w:hint="eastAsia" w:ascii="宋体" w:hAnsi="宋体" w:cs="宋体"/>
                <w:bCs/>
                <w:color w:val="000000"/>
                <w:szCs w:val="21"/>
              </w:rPr>
              <w:t>数据库审计</w:t>
            </w:r>
          </w:p>
        </w:tc>
        <w:tc>
          <w:tcPr>
            <w:tcW w:w="734" w:type="pct"/>
            <w:noWrap w:val="0"/>
            <w:vAlign w:val="center"/>
          </w:tcPr>
          <w:p w14:paraId="560CFEAA">
            <w:pPr>
              <w:spacing w:line="360" w:lineRule="auto"/>
              <w:contextualSpacing/>
              <w:rPr>
                <w:rFonts w:hint="eastAsia" w:ascii="宋体" w:hAnsi="宋体" w:cs="宋体"/>
                <w:bCs/>
                <w:color w:val="000000"/>
                <w:szCs w:val="21"/>
              </w:rPr>
            </w:pPr>
            <w:r>
              <w:rPr>
                <w:rFonts w:hint="eastAsia" w:ascii="宋体" w:hAnsi="宋体" w:cs="宋体"/>
                <w:bCs/>
                <w:color w:val="000000"/>
                <w:szCs w:val="21"/>
              </w:rPr>
              <w:t>★数据库审计控制</w:t>
            </w:r>
          </w:p>
        </w:tc>
        <w:tc>
          <w:tcPr>
            <w:tcW w:w="3341" w:type="pct"/>
            <w:noWrap w:val="0"/>
            <w:vAlign w:val="center"/>
          </w:tcPr>
          <w:p w14:paraId="37D5CA8D">
            <w:pPr>
              <w:widowControl/>
              <w:jc w:val="left"/>
              <w:rPr>
                <w:rFonts w:hint="eastAsia" w:ascii="宋体" w:hAnsi="宋体" w:cs="宋体"/>
                <w:kern w:val="0"/>
                <w:szCs w:val="21"/>
              </w:rPr>
            </w:pPr>
            <w:r>
              <w:rPr>
                <w:rFonts w:hint="eastAsia" w:ascii="宋体" w:hAnsi="宋体" w:cs="宋体"/>
                <w:kern w:val="0"/>
                <w:szCs w:val="21"/>
              </w:rPr>
              <w:t>可审计、控制Oracle, MySql, SqlServer, PostgreSQL等数据库的访问与操作，包括添加、删除、修改、查询等。</w:t>
            </w:r>
          </w:p>
        </w:tc>
      </w:tr>
      <w:tr w14:paraId="15C9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59651139">
            <w:pPr>
              <w:spacing w:line="360" w:lineRule="auto"/>
              <w:contextualSpacing/>
              <w:rPr>
                <w:rFonts w:hint="eastAsia" w:ascii="宋体" w:hAnsi="宋体" w:cs="宋体"/>
                <w:bCs/>
                <w:color w:val="000000"/>
                <w:szCs w:val="21"/>
              </w:rPr>
            </w:pPr>
            <w:r>
              <w:rPr>
                <w:rFonts w:hint="eastAsia" w:ascii="宋体" w:hAnsi="宋体" w:cs="宋体"/>
                <w:bCs/>
                <w:color w:val="000000"/>
                <w:szCs w:val="21"/>
              </w:rPr>
              <w:t>协议审计</w:t>
            </w:r>
          </w:p>
        </w:tc>
        <w:tc>
          <w:tcPr>
            <w:tcW w:w="734" w:type="pct"/>
            <w:noWrap w:val="0"/>
            <w:vAlign w:val="center"/>
          </w:tcPr>
          <w:p w14:paraId="7BABC182">
            <w:pPr>
              <w:spacing w:line="360" w:lineRule="auto"/>
              <w:contextualSpacing/>
              <w:rPr>
                <w:rFonts w:hint="eastAsia" w:ascii="宋体" w:hAnsi="宋体" w:cs="宋体"/>
                <w:bCs/>
                <w:color w:val="000000"/>
                <w:szCs w:val="21"/>
              </w:rPr>
            </w:pPr>
            <w:r>
              <w:rPr>
                <w:rFonts w:hint="eastAsia" w:ascii="宋体" w:hAnsi="宋体" w:cs="宋体"/>
                <w:bCs/>
                <w:color w:val="000000"/>
                <w:szCs w:val="21"/>
              </w:rPr>
              <w:t>DNS审计</w:t>
            </w:r>
          </w:p>
        </w:tc>
        <w:tc>
          <w:tcPr>
            <w:tcW w:w="3341" w:type="pct"/>
            <w:noWrap w:val="0"/>
            <w:vAlign w:val="center"/>
          </w:tcPr>
          <w:p w14:paraId="23888A76">
            <w:pPr>
              <w:widowControl/>
              <w:jc w:val="left"/>
              <w:rPr>
                <w:rFonts w:hint="eastAsia" w:ascii="宋体" w:hAnsi="宋体" w:cs="宋体"/>
                <w:kern w:val="0"/>
                <w:szCs w:val="21"/>
              </w:rPr>
            </w:pPr>
            <w:r>
              <w:rPr>
                <w:rFonts w:hint="eastAsia" w:ascii="宋体" w:hAnsi="宋体" w:cs="宋体"/>
                <w:kern w:val="0"/>
                <w:szCs w:val="21"/>
              </w:rPr>
              <w:t>通过DNS审计策略对DNS通信内容进行审计和控制</w:t>
            </w:r>
          </w:p>
        </w:tc>
      </w:tr>
      <w:tr w14:paraId="3D8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7028ABCA">
            <w:pPr>
              <w:spacing w:line="360" w:lineRule="auto"/>
              <w:contextualSpacing/>
              <w:rPr>
                <w:rFonts w:hint="eastAsia" w:ascii="宋体" w:hAnsi="宋体" w:cs="宋体"/>
                <w:bCs/>
                <w:color w:val="000000"/>
                <w:szCs w:val="21"/>
              </w:rPr>
            </w:pPr>
          </w:p>
        </w:tc>
        <w:tc>
          <w:tcPr>
            <w:tcW w:w="734" w:type="pct"/>
            <w:noWrap w:val="0"/>
            <w:vAlign w:val="center"/>
          </w:tcPr>
          <w:p w14:paraId="464F337A">
            <w:pPr>
              <w:spacing w:line="360" w:lineRule="auto"/>
              <w:contextualSpacing/>
              <w:rPr>
                <w:rFonts w:hint="eastAsia" w:ascii="宋体" w:hAnsi="宋体" w:cs="宋体"/>
                <w:bCs/>
                <w:color w:val="000000"/>
                <w:szCs w:val="21"/>
              </w:rPr>
            </w:pPr>
            <w:r>
              <w:rPr>
                <w:rFonts w:hint="eastAsia" w:ascii="宋体" w:hAnsi="宋体" w:cs="宋体"/>
                <w:bCs/>
                <w:color w:val="000000"/>
                <w:szCs w:val="21"/>
              </w:rPr>
              <w:t>SNMP审计</w:t>
            </w:r>
          </w:p>
        </w:tc>
        <w:tc>
          <w:tcPr>
            <w:tcW w:w="3341" w:type="pct"/>
            <w:noWrap w:val="0"/>
            <w:vAlign w:val="center"/>
          </w:tcPr>
          <w:p w14:paraId="1539B7B7">
            <w:pPr>
              <w:widowControl/>
              <w:jc w:val="left"/>
              <w:rPr>
                <w:rFonts w:hint="eastAsia" w:ascii="宋体" w:hAnsi="宋体" w:cs="宋体"/>
                <w:kern w:val="0"/>
                <w:szCs w:val="21"/>
              </w:rPr>
            </w:pPr>
            <w:r>
              <w:rPr>
                <w:rFonts w:hint="eastAsia" w:ascii="宋体" w:hAnsi="宋体" w:cs="宋体"/>
                <w:kern w:val="0"/>
                <w:szCs w:val="21"/>
              </w:rPr>
              <w:t>通过SNMP审计策略对SNMP通信内容进行审计和控制</w:t>
            </w:r>
          </w:p>
        </w:tc>
      </w:tr>
      <w:tr w14:paraId="25A9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36B35735">
            <w:pPr>
              <w:spacing w:line="360" w:lineRule="auto"/>
              <w:contextualSpacing/>
              <w:rPr>
                <w:rFonts w:hint="eastAsia" w:ascii="宋体" w:hAnsi="宋体" w:cs="宋体"/>
                <w:bCs/>
                <w:color w:val="000000"/>
                <w:szCs w:val="21"/>
              </w:rPr>
            </w:pPr>
          </w:p>
        </w:tc>
        <w:tc>
          <w:tcPr>
            <w:tcW w:w="734" w:type="pct"/>
            <w:noWrap w:val="0"/>
            <w:vAlign w:val="center"/>
          </w:tcPr>
          <w:p w14:paraId="7CCA732D">
            <w:pPr>
              <w:spacing w:line="360" w:lineRule="auto"/>
              <w:contextualSpacing/>
              <w:rPr>
                <w:rFonts w:hint="eastAsia" w:ascii="宋体" w:hAnsi="宋体" w:cs="宋体"/>
                <w:bCs/>
                <w:color w:val="000000"/>
                <w:szCs w:val="21"/>
              </w:rPr>
            </w:pPr>
            <w:r>
              <w:rPr>
                <w:rFonts w:hint="eastAsia" w:ascii="宋体" w:hAnsi="宋体" w:cs="宋体"/>
                <w:bCs/>
                <w:color w:val="000000"/>
                <w:szCs w:val="21"/>
              </w:rPr>
              <w:t>NFS审计</w:t>
            </w:r>
          </w:p>
        </w:tc>
        <w:tc>
          <w:tcPr>
            <w:tcW w:w="3341" w:type="pct"/>
            <w:noWrap w:val="0"/>
            <w:vAlign w:val="center"/>
          </w:tcPr>
          <w:p w14:paraId="4AF9469C">
            <w:pPr>
              <w:widowControl/>
              <w:jc w:val="left"/>
              <w:rPr>
                <w:rFonts w:hint="eastAsia" w:ascii="宋体" w:hAnsi="宋体" w:cs="宋体"/>
                <w:kern w:val="0"/>
                <w:szCs w:val="21"/>
              </w:rPr>
            </w:pPr>
            <w:r>
              <w:rPr>
                <w:rFonts w:hint="eastAsia" w:ascii="宋体" w:hAnsi="宋体" w:cs="宋体"/>
                <w:kern w:val="0"/>
                <w:szCs w:val="21"/>
              </w:rPr>
              <w:t>通过NFS审计策略对NFS访问和传输文件进行审计和控制</w:t>
            </w:r>
          </w:p>
        </w:tc>
      </w:tr>
      <w:tr w14:paraId="7696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0BDBCF04">
            <w:pPr>
              <w:spacing w:line="360" w:lineRule="auto"/>
              <w:contextualSpacing/>
              <w:rPr>
                <w:rFonts w:hint="eastAsia" w:ascii="宋体" w:hAnsi="宋体" w:cs="宋体"/>
                <w:bCs/>
                <w:color w:val="000000"/>
                <w:szCs w:val="21"/>
              </w:rPr>
            </w:pPr>
          </w:p>
        </w:tc>
        <w:tc>
          <w:tcPr>
            <w:tcW w:w="734" w:type="pct"/>
            <w:noWrap w:val="0"/>
            <w:vAlign w:val="center"/>
          </w:tcPr>
          <w:p w14:paraId="627B2E2F">
            <w:pPr>
              <w:spacing w:line="360" w:lineRule="auto"/>
              <w:contextualSpacing/>
              <w:rPr>
                <w:rFonts w:hint="eastAsia" w:ascii="宋体" w:hAnsi="宋体" w:cs="宋体"/>
                <w:bCs/>
                <w:color w:val="000000"/>
                <w:szCs w:val="21"/>
              </w:rPr>
            </w:pPr>
            <w:r>
              <w:rPr>
                <w:rFonts w:hint="eastAsia" w:ascii="宋体" w:hAnsi="宋体" w:cs="宋体"/>
                <w:bCs/>
                <w:color w:val="000000"/>
                <w:szCs w:val="21"/>
              </w:rPr>
              <w:t>NETBIOS审计</w:t>
            </w:r>
          </w:p>
        </w:tc>
        <w:tc>
          <w:tcPr>
            <w:tcW w:w="3341" w:type="pct"/>
            <w:noWrap w:val="0"/>
            <w:vAlign w:val="center"/>
          </w:tcPr>
          <w:p w14:paraId="0998132A">
            <w:pPr>
              <w:widowControl/>
              <w:jc w:val="left"/>
              <w:rPr>
                <w:rFonts w:hint="eastAsia" w:ascii="宋体" w:hAnsi="宋体" w:cs="宋体"/>
                <w:kern w:val="0"/>
                <w:szCs w:val="21"/>
              </w:rPr>
            </w:pPr>
            <w:r>
              <w:rPr>
                <w:rFonts w:hint="eastAsia" w:ascii="宋体" w:hAnsi="宋体" w:cs="宋体"/>
                <w:kern w:val="0"/>
                <w:szCs w:val="21"/>
              </w:rPr>
              <w:t>通过NETBIOS审计策略对NETBIOS通信、登录名及文件、目录进行审计和控制</w:t>
            </w:r>
          </w:p>
        </w:tc>
      </w:tr>
      <w:tr w14:paraId="5059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3" w:type="pct"/>
            <w:noWrap w:val="0"/>
            <w:vAlign w:val="center"/>
          </w:tcPr>
          <w:p w14:paraId="4F910521">
            <w:pPr>
              <w:spacing w:line="360" w:lineRule="auto"/>
              <w:contextualSpacing/>
              <w:rPr>
                <w:rFonts w:hint="eastAsia" w:ascii="宋体" w:hAnsi="宋体" w:cs="宋体"/>
                <w:bCs/>
                <w:color w:val="000000"/>
                <w:szCs w:val="21"/>
              </w:rPr>
            </w:pPr>
            <w:r>
              <w:rPr>
                <w:rFonts w:hint="eastAsia" w:ascii="宋体" w:hAnsi="宋体" w:cs="宋体"/>
                <w:bCs/>
                <w:color w:val="000000"/>
                <w:szCs w:val="21"/>
              </w:rPr>
              <w:t>流量管理</w:t>
            </w:r>
          </w:p>
        </w:tc>
        <w:tc>
          <w:tcPr>
            <w:tcW w:w="734" w:type="pct"/>
            <w:noWrap w:val="0"/>
            <w:vAlign w:val="center"/>
          </w:tcPr>
          <w:p w14:paraId="6A7CCAC1">
            <w:pPr>
              <w:spacing w:line="360" w:lineRule="auto"/>
              <w:contextualSpacing/>
              <w:rPr>
                <w:rFonts w:hint="eastAsia" w:ascii="宋体" w:hAnsi="宋体" w:cs="宋体"/>
                <w:bCs/>
                <w:color w:val="000000"/>
                <w:szCs w:val="21"/>
              </w:rPr>
            </w:pPr>
            <w:r>
              <w:rPr>
                <w:rFonts w:hint="eastAsia" w:ascii="宋体" w:hAnsi="宋体" w:cs="宋体"/>
                <w:bCs/>
                <w:color w:val="000000"/>
                <w:szCs w:val="21"/>
              </w:rPr>
              <w:t>流控策略</w:t>
            </w:r>
          </w:p>
        </w:tc>
        <w:tc>
          <w:tcPr>
            <w:tcW w:w="3341" w:type="pct"/>
            <w:noWrap w:val="0"/>
            <w:vAlign w:val="center"/>
          </w:tcPr>
          <w:p w14:paraId="2739AF98">
            <w:pPr>
              <w:widowControl/>
              <w:jc w:val="left"/>
              <w:rPr>
                <w:rFonts w:hint="eastAsia" w:ascii="宋体" w:hAnsi="宋体" w:cs="宋体"/>
                <w:kern w:val="0"/>
                <w:szCs w:val="21"/>
              </w:rPr>
            </w:pPr>
            <w:r>
              <w:rPr>
                <w:rFonts w:hint="eastAsia" w:ascii="宋体" w:hAnsi="宋体" w:cs="宋体"/>
                <w:kern w:val="0"/>
                <w:szCs w:val="21"/>
              </w:rPr>
              <w:t>支持基于用户、时间、应用、源IP、目的IP和服务创建流量控制策略</w:t>
            </w:r>
          </w:p>
        </w:tc>
      </w:tr>
      <w:tr w14:paraId="2A50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3" w:type="pct"/>
            <w:vMerge w:val="restart"/>
            <w:noWrap w:val="0"/>
            <w:vAlign w:val="center"/>
          </w:tcPr>
          <w:p w14:paraId="414D9828">
            <w:pPr>
              <w:spacing w:line="360" w:lineRule="auto"/>
              <w:contextualSpacing/>
              <w:rPr>
                <w:rFonts w:hint="eastAsia" w:ascii="宋体" w:hAnsi="宋体" w:cs="宋体"/>
                <w:bCs/>
                <w:color w:val="000000"/>
                <w:szCs w:val="21"/>
              </w:rPr>
            </w:pPr>
            <w:r>
              <w:rPr>
                <w:rFonts w:hint="eastAsia" w:ascii="宋体" w:hAnsi="宋体" w:cs="宋体"/>
                <w:bCs/>
                <w:color w:val="000000"/>
                <w:szCs w:val="21"/>
              </w:rPr>
              <w:t>共享接入</w:t>
            </w:r>
          </w:p>
        </w:tc>
        <w:tc>
          <w:tcPr>
            <w:tcW w:w="734" w:type="pct"/>
            <w:noWrap w:val="0"/>
            <w:vAlign w:val="center"/>
          </w:tcPr>
          <w:p w14:paraId="08617BDF">
            <w:pPr>
              <w:spacing w:line="360" w:lineRule="auto"/>
              <w:contextualSpacing/>
              <w:rPr>
                <w:rFonts w:hint="eastAsia" w:ascii="宋体" w:hAnsi="宋体" w:cs="宋体"/>
                <w:bCs/>
                <w:color w:val="000000"/>
                <w:szCs w:val="21"/>
              </w:rPr>
            </w:pPr>
            <w:r>
              <w:rPr>
                <w:rFonts w:hint="eastAsia" w:ascii="宋体" w:hAnsi="宋体" w:cs="宋体"/>
                <w:bCs/>
                <w:color w:val="000000"/>
                <w:szCs w:val="21"/>
              </w:rPr>
              <w:t>共享接入多策略</w:t>
            </w:r>
          </w:p>
        </w:tc>
        <w:tc>
          <w:tcPr>
            <w:tcW w:w="3341" w:type="pct"/>
            <w:noWrap w:val="0"/>
            <w:vAlign w:val="center"/>
          </w:tcPr>
          <w:p w14:paraId="6CAA99B3">
            <w:pPr>
              <w:widowControl/>
              <w:jc w:val="left"/>
              <w:rPr>
                <w:rFonts w:hint="eastAsia" w:ascii="宋体" w:hAnsi="宋体" w:cs="宋体"/>
                <w:kern w:val="0"/>
                <w:szCs w:val="21"/>
              </w:rPr>
            </w:pPr>
            <w:r>
              <w:rPr>
                <w:rFonts w:hint="eastAsia" w:ascii="宋体" w:hAnsi="宋体" w:cs="宋体"/>
                <w:kern w:val="0"/>
                <w:szCs w:val="21"/>
              </w:rPr>
              <w:t>可基于源IP、用户、位置、终端台数、PC台数、移动台数、阻塞时间和动作，配置多条共享接入策略</w:t>
            </w:r>
          </w:p>
        </w:tc>
      </w:tr>
      <w:tr w14:paraId="6717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398A9B58">
            <w:pPr>
              <w:spacing w:line="360" w:lineRule="auto"/>
              <w:contextualSpacing/>
              <w:rPr>
                <w:rFonts w:hint="eastAsia" w:ascii="宋体" w:hAnsi="宋体" w:cs="宋体"/>
                <w:bCs/>
                <w:color w:val="000000"/>
                <w:szCs w:val="21"/>
              </w:rPr>
            </w:pPr>
          </w:p>
        </w:tc>
        <w:tc>
          <w:tcPr>
            <w:tcW w:w="734" w:type="pct"/>
            <w:noWrap w:val="0"/>
            <w:vAlign w:val="center"/>
          </w:tcPr>
          <w:p w14:paraId="337679EE">
            <w:pPr>
              <w:spacing w:line="360" w:lineRule="auto"/>
              <w:contextualSpacing/>
              <w:rPr>
                <w:rFonts w:hint="eastAsia" w:ascii="宋体" w:hAnsi="宋体" w:cs="宋体"/>
                <w:bCs/>
                <w:color w:val="000000"/>
                <w:szCs w:val="21"/>
              </w:rPr>
            </w:pPr>
            <w:r>
              <w:rPr>
                <w:rFonts w:hint="eastAsia" w:ascii="宋体" w:hAnsi="宋体" w:cs="宋体"/>
                <w:bCs/>
                <w:color w:val="000000"/>
                <w:szCs w:val="21"/>
              </w:rPr>
              <w:t>★控制热点开启</w:t>
            </w:r>
          </w:p>
        </w:tc>
        <w:tc>
          <w:tcPr>
            <w:tcW w:w="3341" w:type="pct"/>
            <w:noWrap w:val="0"/>
            <w:vAlign w:val="center"/>
          </w:tcPr>
          <w:p w14:paraId="09806C2F">
            <w:pPr>
              <w:widowControl/>
              <w:jc w:val="left"/>
              <w:rPr>
                <w:rFonts w:hint="eastAsia" w:ascii="宋体" w:hAnsi="宋体" w:cs="宋体"/>
                <w:kern w:val="0"/>
                <w:szCs w:val="21"/>
              </w:rPr>
            </w:pPr>
            <w:r>
              <w:rPr>
                <w:rFonts w:hint="eastAsia" w:ascii="宋体" w:hAnsi="宋体" w:cs="宋体"/>
                <w:kern w:val="0"/>
                <w:szCs w:val="21"/>
              </w:rPr>
              <w:t>支持配置禁用PC热点开启功能。禁用时PC仍可以使用网络，但是无法通过随身wifi或笔记本自带功能创建热点。（提供配置界面截图）</w:t>
            </w:r>
          </w:p>
        </w:tc>
      </w:tr>
      <w:tr w14:paraId="0CA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51E46C0D">
            <w:pPr>
              <w:spacing w:line="360" w:lineRule="auto"/>
              <w:contextualSpacing/>
              <w:rPr>
                <w:rFonts w:hint="eastAsia" w:ascii="宋体" w:hAnsi="宋体" w:cs="宋体"/>
                <w:bCs/>
                <w:color w:val="000000"/>
                <w:szCs w:val="21"/>
              </w:rPr>
            </w:pPr>
            <w:r>
              <w:rPr>
                <w:rFonts w:hint="eastAsia" w:ascii="宋体" w:hAnsi="宋体" w:cs="宋体"/>
                <w:bCs/>
                <w:color w:val="000000"/>
                <w:szCs w:val="21"/>
              </w:rPr>
              <w:t>数据防泄漏</w:t>
            </w:r>
          </w:p>
        </w:tc>
        <w:tc>
          <w:tcPr>
            <w:tcW w:w="734" w:type="pct"/>
            <w:noWrap w:val="0"/>
            <w:vAlign w:val="center"/>
          </w:tcPr>
          <w:p w14:paraId="39E0709D">
            <w:pPr>
              <w:spacing w:line="360" w:lineRule="auto"/>
              <w:contextualSpacing/>
              <w:rPr>
                <w:rFonts w:hint="eastAsia" w:ascii="宋体" w:hAnsi="宋体" w:cs="宋体"/>
                <w:bCs/>
                <w:color w:val="000000"/>
                <w:szCs w:val="21"/>
              </w:rPr>
            </w:pPr>
            <w:r>
              <w:rPr>
                <w:rFonts w:hint="eastAsia" w:ascii="宋体" w:hAnsi="宋体" w:cs="宋体"/>
                <w:bCs/>
                <w:color w:val="000000"/>
                <w:szCs w:val="21"/>
              </w:rPr>
              <w:t>外发途径管控</w:t>
            </w:r>
          </w:p>
        </w:tc>
        <w:tc>
          <w:tcPr>
            <w:tcW w:w="3341" w:type="pct"/>
            <w:noWrap w:val="0"/>
            <w:vAlign w:val="center"/>
          </w:tcPr>
          <w:p w14:paraId="4A3B1519">
            <w:pPr>
              <w:widowControl/>
              <w:jc w:val="left"/>
              <w:rPr>
                <w:rFonts w:hint="eastAsia" w:ascii="宋体" w:hAnsi="宋体" w:cs="宋体"/>
                <w:kern w:val="0"/>
                <w:szCs w:val="21"/>
              </w:rPr>
            </w:pPr>
            <w:r>
              <w:rPr>
                <w:rFonts w:hint="eastAsia" w:ascii="宋体" w:hAnsi="宋体" w:cs="宋体"/>
                <w:kern w:val="0"/>
                <w:szCs w:val="21"/>
              </w:rPr>
              <w:t>支持基于大小的内容外发控制。不开启SSL，对终端影响小；仅对外发控制，不影响浏览和下载等行为；可实现对网盘，webmail等的外发文件限制。</w:t>
            </w:r>
          </w:p>
        </w:tc>
      </w:tr>
      <w:tr w14:paraId="686E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1E5F63F2">
            <w:pPr>
              <w:spacing w:line="360" w:lineRule="auto"/>
              <w:contextualSpacing/>
              <w:rPr>
                <w:rFonts w:hint="eastAsia" w:ascii="宋体" w:hAnsi="宋体" w:cs="宋体"/>
                <w:bCs/>
                <w:color w:val="000000"/>
                <w:szCs w:val="21"/>
              </w:rPr>
            </w:pPr>
          </w:p>
        </w:tc>
        <w:tc>
          <w:tcPr>
            <w:tcW w:w="734" w:type="pct"/>
            <w:noWrap w:val="0"/>
            <w:vAlign w:val="center"/>
          </w:tcPr>
          <w:p w14:paraId="52B59C0E">
            <w:pPr>
              <w:spacing w:line="360" w:lineRule="auto"/>
              <w:contextualSpacing/>
              <w:rPr>
                <w:rFonts w:hint="eastAsia" w:ascii="宋体" w:hAnsi="宋体" w:cs="宋体"/>
                <w:bCs/>
                <w:color w:val="000000"/>
                <w:szCs w:val="21"/>
              </w:rPr>
            </w:pPr>
            <w:r>
              <w:rPr>
                <w:rFonts w:hint="eastAsia" w:ascii="宋体" w:hAnsi="宋体" w:cs="宋体"/>
                <w:bCs/>
                <w:color w:val="000000"/>
                <w:szCs w:val="21"/>
              </w:rPr>
              <w:t>外发文件限制</w:t>
            </w:r>
          </w:p>
        </w:tc>
        <w:tc>
          <w:tcPr>
            <w:tcW w:w="3341" w:type="pct"/>
            <w:noWrap w:val="0"/>
            <w:vAlign w:val="center"/>
          </w:tcPr>
          <w:p w14:paraId="51CDEED8">
            <w:pPr>
              <w:widowControl/>
              <w:jc w:val="left"/>
              <w:rPr>
                <w:rFonts w:hint="eastAsia" w:ascii="宋体" w:hAnsi="宋体" w:cs="宋体"/>
                <w:kern w:val="0"/>
                <w:szCs w:val="21"/>
              </w:rPr>
            </w:pPr>
            <w:r>
              <w:rPr>
                <w:rFonts w:hint="eastAsia" w:ascii="宋体" w:hAnsi="宋体" w:cs="宋体"/>
                <w:kern w:val="0"/>
                <w:szCs w:val="21"/>
              </w:rPr>
              <w:t xml:space="preserve">支持基于文件后缀的文件类型识别；支持基于文件内容对归档文件、压缩文件、加密文件、脚本文件等170+文件类型识别。修改后缀名，压缩等方式均可以识别准确类型； </w:t>
            </w:r>
          </w:p>
        </w:tc>
      </w:tr>
      <w:tr w14:paraId="0DE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continue"/>
            <w:noWrap w:val="0"/>
            <w:vAlign w:val="center"/>
          </w:tcPr>
          <w:p w14:paraId="51172117">
            <w:pPr>
              <w:spacing w:line="360" w:lineRule="auto"/>
              <w:contextualSpacing/>
              <w:rPr>
                <w:rFonts w:hint="eastAsia" w:ascii="宋体" w:hAnsi="宋体" w:cs="宋体"/>
                <w:bCs/>
                <w:color w:val="000000"/>
                <w:szCs w:val="21"/>
              </w:rPr>
            </w:pPr>
          </w:p>
        </w:tc>
        <w:tc>
          <w:tcPr>
            <w:tcW w:w="734" w:type="pct"/>
            <w:noWrap w:val="0"/>
            <w:vAlign w:val="center"/>
          </w:tcPr>
          <w:p w14:paraId="19E0595E">
            <w:pPr>
              <w:spacing w:line="360" w:lineRule="auto"/>
              <w:contextualSpacing/>
              <w:rPr>
                <w:rFonts w:hint="eastAsia" w:ascii="宋体" w:hAnsi="宋体" w:cs="宋体"/>
                <w:bCs/>
                <w:color w:val="000000"/>
                <w:szCs w:val="21"/>
              </w:rPr>
            </w:pPr>
            <w:r>
              <w:rPr>
                <w:rFonts w:hint="eastAsia" w:ascii="宋体" w:hAnsi="宋体" w:cs="宋体"/>
                <w:bCs/>
                <w:color w:val="000000"/>
                <w:szCs w:val="21"/>
              </w:rPr>
              <w:t>外发内容过滤</w:t>
            </w:r>
          </w:p>
        </w:tc>
        <w:tc>
          <w:tcPr>
            <w:tcW w:w="3341" w:type="pct"/>
            <w:noWrap w:val="0"/>
            <w:vAlign w:val="center"/>
          </w:tcPr>
          <w:p w14:paraId="0A3F399C">
            <w:pPr>
              <w:widowControl/>
              <w:jc w:val="left"/>
              <w:rPr>
                <w:rFonts w:hint="eastAsia" w:ascii="宋体" w:hAnsi="宋体" w:cs="宋体"/>
                <w:kern w:val="0"/>
                <w:szCs w:val="21"/>
              </w:rPr>
            </w:pPr>
            <w:r>
              <w:rPr>
                <w:rFonts w:hint="eastAsia" w:ascii="宋体" w:hAnsi="宋体" w:cs="宋体"/>
                <w:kern w:val="0"/>
                <w:szCs w:val="21"/>
              </w:rPr>
              <w:t xml:space="preserve">外发内容过滤，支持SCP/SFTP应用，支持基于关键字、正则过滤；支持对身份证号码、银行号码、电话号码、地址等敏感信息过滤；支持解析office系列、pdf、wps类型文件的内容识别；支持tar、zip、rar等29种压缩文件解压缩，支持最大10层文件解压缩； </w:t>
            </w:r>
          </w:p>
        </w:tc>
      </w:tr>
      <w:tr w14:paraId="17C1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3AA8CCFF">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用户管理</w:t>
            </w:r>
          </w:p>
        </w:tc>
        <w:tc>
          <w:tcPr>
            <w:tcW w:w="734" w:type="pct"/>
            <w:noWrap w:val="0"/>
            <w:vAlign w:val="center"/>
          </w:tcPr>
          <w:p w14:paraId="1579CE71">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用户识别</w:t>
            </w:r>
          </w:p>
        </w:tc>
        <w:tc>
          <w:tcPr>
            <w:tcW w:w="3341" w:type="pct"/>
            <w:noWrap w:val="0"/>
            <w:vAlign w:val="center"/>
          </w:tcPr>
          <w:p w14:paraId="21B44B20">
            <w:pPr>
              <w:widowControl/>
              <w:jc w:val="left"/>
              <w:rPr>
                <w:rFonts w:hint="eastAsia" w:ascii="宋体" w:hAnsi="宋体" w:cs="宋体"/>
                <w:kern w:val="0"/>
                <w:szCs w:val="21"/>
              </w:rPr>
            </w:pPr>
            <w:r>
              <w:rPr>
                <w:rFonts w:hint="eastAsia" w:ascii="宋体" w:hAnsi="宋体" w:cs="宋体"/>
                <w:kern w:val="0"/>
                <w:szCs w:val="21"/>
              </w:rPr>
              <w:t>支持对802.1X、华为controller、Kerberos、AD、POP3、Radius、数据库识别、PPPOE、华三iMC、城市热点、深澜计费等系统的单点登录。</w:t>
            </w:r>
          </w:p>
        </w:tc>
      </w:tr>
      <w:tr w14:paraId="3529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0C7353BD">
            <w:pPr>
              <w:spacing w:line="360" w:lineRule="auto"/>
              <w:contextualSpacing/>
              <w:rPr>
                <w:rFonts w:hint="eastAsia" w:ascii="宋体" w:hAnsi="宋体" w:cs="宋体"/>
                <w:bCs/>
                <w:color w:val="000000"/>
                <w:szCs w:val="21"/>
              </w:rPr>
            </w:pPr>
          </w:p>
        </w:tc>
        <w:tc>
          <w:tcPr>
            <w:tcW w:w="734" w:type="pct"/>
            <w:noWrap w:val="0"/>
            <w:vAlign w:val="center"/>
          </w:tcPr>
          <w:p w14:paraId="19AD8A4D">
            <w:pPr>
              <w:spacing w:line="360" w:lineRule="auto"/>
              <w:contextualSpacing/>
              <w:rPr>
                <w:rFonts w:hint="eastAsia" w:ascii="宋体" w:hAnsi="宋体" w:cs="宋体"/>
                <w:bCs/>
                <w:color w:val="000000"/>
                <w:szCs w:val="21"/>
              </w:rPr>
            </w:pPr>
            <w:r>
              <w:rPr>
                <w:rFonts w:hint="eastAsia" w:ascii="宋体" w:hAnsi="宋体" w:cs="宋体"/>
                <w:bCs/>
                <w:color w:val="000000"/>
                <w:szCs w:val="21"/>
              </w:rPr>
              <w:t>认证与认证成功页面</w:t>
            </w:r>
          </w:p>
        </w:tc>
        <w:tc>
          <w:tcPr>
            <w:tcW w:w="3341" w:type="pct"/>
            <w:noWrap w:val="0"/>
            <w:vAlign w:val="center"/>
          </w:tcPr>
          <w:p w14:paraId="1D2FB6DC">
            <w:pPr>
              <w:widowControl/>
              <w:jc w:val="left"/>
              <w:rPr>
                <w:rFonts w:hint="eastAsia" w:ascii="宋体" w:hAnsi="宋体" w:cs="宋体"/>
                <w:kern w:val="0"/>
                <w:szCs w:val="21"/>
              </w:rPr>
            </w:pPr>
            <w:r>
              <w:rPr>
                <w:rFonts w:hint="eastAsia" w:ascii="宋体" w:hAnsi="宋体" w:cs="宋体"/>
                <w:kern w:val="0"/>
                <w:szCs w:val="21"/>
              </w:rPr>
              <w:t>可以建立认证页面与多个认证跳转成功页面，供不同的Web认证策略引用，并支持用户完全自定义；支持对不同用户推送不同的认证成功页面</w:t>
            </w:r>
          </w:p>
        </w:tc>
      </w:tr>
      <w:tr w14:paraId="6F2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 w:type="pct"/>
            <w:vMerge w:val="restart"/>
            <w:noWrap w:val="0"/>
            <w:vAlign w:val="center"/>
          </w:tcPr>
          <w:p w14:paraId="3DDA0748">
            <w:pPr>
              <w:spacing w:line="360" w:lineRule="auto"/>
              <w:contextualSpacing/>
              <w:rPr>
                <w:rFonts w:hint="eastAsia" w:ascii="宋体" w:hAnsi="宋体" w:cs="宋体"/>
                <w:bCs/>
                <w:color w:val="000000"/>
                <w:szCs w:val="21"/>
              </w:rPr>
            </w:pPr>
            <w:r>
              <w:rPr>
                <w:rFonts w:hint="eastAsia" w:ascii="宋体" w:hAnsi="宋体" w:cs="宋体"/>
                <w:bCs/>
                <w:color w:val="000000"/>
                <w:szCs w:val="21"/>
              </w:rPr>
              <w:t>★系统管理</w:t>
            </w:r>
          </w:p>
        </w:tc>
        <w:tc>
          <w:tcPr>
            <w:tcW w:w="734" w:type="pct"/>
            <w:vMerge w:val="restart"/>
            <w:noWrap w:val="0"/>
            <w:vAlign w:val="center"/>
          </w:tcPr>
          <w:p w14:paraId="554238D5">
            <w:pPr>
              <w:spacing w:line="360" w:lineRule="auto"/>
              <w:contextualSpacing/>
              <w:rPr>
                <w:rFonts w:hint="eastAsia" w:ascii="宋体" w:hAnsi="宋体" w:cs="宋体"/>
                <w:bCs/>
                <w:color w:val="000000"/>
                <w:szCs w:val="21"/>
              </w:rPr>
            </w:pPr>
            <w:r>
              <w:rPr>
                <w:rFonts w:hint="eastAsia" w:ascii="宋体" w:hAnsi="宋体" w:cs="宋体"/>
                <w:bCs/>
                <w:color w:val="000000"/>
                <w:szCs w:val="21"/>
              </w:rPr>
              <w:t>日志管理</w:t>
            </w:r>
          </w:p>
        </w:tc>
        <w:tc>
          <w:tcPr>
            <w:tcW w:w="3341" w:type="pct"/>
            <w:noWrap w:val="0"/>
            <w:vAlign w:val="center"/>
          </w:tcPr>
          <w:p w14:paraId="67F89FF1">
            <w:pPr>
              <w:widowControl/>
              <w:jc w:val="left"/>
              <w:rPr>
                <w:rFonts w:hint="eastAsia" w:ascii="宋体" w:hAnsi="宋体" w:cs="宋体"/>
                <w:kern w:val="0"/>
                <w:szCs w:val="21"/>
              </w:rPr>
            </w:pPr>
            <w:r>
              <w:rPr>
                <w:rFonts w:hint="eastAsia" w:ascii="宋体" w:hAnsi="宋体" w:cs="宋体"/>
                <w:kern w:val="0"/>
                <w:szCs w:val="21"/>
              </w:rPr>
              <w:t>支持通过UDP\TCP协议向Syslog服务器或支持接收syslog外发格式的服务器上传数据的形式，导出设备上的多种日志；支持将日志数据通过设备USB接口导出。支持通过FTP和SFTP方式将日志导出到指定服务器，日志支持SSL加密传输和ZIP压缩；支持自定义文件类型；</w:t>
            </w:r>
          </w:p>
        </w:tc>
      </w:tr>
      <w:tr w14:paraId="50E0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190E961A">
            <w:pPr>
              <w:spacing w:line="360" w:lineRule="auto"/>
              <w:contextualSpacing/>
              <w:rPr>
                <w:rFonts w:hint="eastAsia" w:ascii="宋体" w:hAnsi="宋体" w:cs="宋体"/>
                <w:bCs/>
                <w:color w:val="000000"/>
                <w:szCs w:val="21"/>
              </w:rPr>
            </w:pPr>
          </w:p>
        </w:tc>
        <w:tc>
          <w:tcPr>
            <w:tcW w:w="734" w:type="pct"/>
            <w:vMerge w:val="continue"/>
            <w:noWrap w:val="0"/>
            <w:vAlign w:val="center"/>
          </w:tcPr>
          <w:p w14:paraId="021EE79A">
            <w:pPr>
              <w:spacing w:line="360" w:lineRule="auto"/>
              <w:contextualSpacing/>
              <w:rPr>
                <w:rFonts w:hint="eastAsia" w:ascii="宋体" w:hAnsi="宋体" w:cs="宋体"/>
                <w:bCs/>
                <w:color w:val="000000"/>
                <w:szCs w:val="21"/>
              </w:rPr>
            </w:pPr>
          </w:p>
        </w:tc>
        <w:tc>
          <w:tcPr>
            <w:tcW w:w="3341" w:type="pct"/>
            <w:noWrap w:val="0"/>
            <w:vAlign w:val="center"/>
          </w:tcPr>
          <w:p w14:paraId="2BFE069B">
            <w:pPr>
              <w:widowControl/>
              <w:jc w:val="left"/>
              <w:rPr>
                <w:rFonts w:hint="eastAsia" w:ascii="宋体" w:hAnsi="宋体" w:cs="宋体"/>
                <w:kern w:val="0"/>
                <w:szCs w:val="21"/>
              </w:rPr>
            </w:pPr>
            <w:r>
              <w:rPr>
                <w:rFonts w:hint="eastAsia" w:ascii="宋体" w:hAnsi="宋体" w:cs="宋体"/>
                <w:szCs w:val="21"/>
              </w:rPr>
              <w:t>支持对日志的高性能处理和存储，提供具备高性能Syslog日志处理和存储技术的第三方机构测试报告或证书复印件；</w:t>
            </w:r>
          </w:p>
        </w:tc>
      </w:tr>
      <w:tr w14:paraId="0DF9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23" w:type="pct"/>
            <w:vMerge w:val="continue"/>
            <w:noWrap w:val="0"/>
            <w:vAlign w:val="center"/>
          </w:tcPr>
          <w:p w14:paraId="3046B50F">
            <w:pPr>
              <w:spacing w:line="360" w:lineRule="auto"/>
              <w:contextualSpacing/>
              <w:rPr>
                <w:rFonts w:hint="eastAsia" w:ascii="宋体" w:hAnsi="宋体" w:cs="宋体"/>
                <w:bCs/>
                <w:color w:val="000000"/>
                <w:szCs w:val="21"/>
              </w:rPr>
            </w:pPr>
          </w:p>
        </w:tc>
        <w:tc>
          <w:tcPr>
            <w:tcW w:w="734" w:type="pct"/>
            <w:noWrap w:val="0"/>
            <w:vAlign w:val="center"/>
          </w:tcPr>
          <w:p w14:paraId="06A8E0B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支持三权制衡管理机制</w:t>
            </w:r>
          </w:p>
        </w:tc>
        <w:tc>
          <w:tcPr>
            <w:tcW w:w="3341" w:type="pct"/>
            <w:noWrap w:val="0"/>
            <w:vAlign w:val="center"/>
          </w:tcPr>
          <w:p w14:paraId="4F5A2538">
            <w:pPr>
              <w:widowControl/>
              <w:jc w:val="left"/>
              <w:rPr>
                <w:rFonts w:hint="eastAsia" w:ascii="宋体" w:hAnsi="宋体" w:cs="宋体"/>
                <w:szCs w:val="21"/>
              </w:rPr>
            </w:pPr>
            <w:r>
              <w:rPr>
                <w:rFonts w:hint="eastAsia" w:ascii="宋体" w:hAnsi="宋体" w:cs="宋体"/>
                <w:kern w:val="0"/>
                <w:szCs w:val="21"/>
              </w:rPr>
              <w:t>支持策略管理、日志审计、权限分配相互独立的三权制衡管理机制，避免超级管理员权限过大的弊端。系统管理员和审计员的账号创建，权限变更需要审核员审批才能生效。管理员和审计员的操作会形成日志受审核员监督。</w:t>
            </w:r>
          </w:p>
        </w:tc>
      </w:tr>
      <w:tr w14:paraId="77E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58" w:type="pct"/>
            <w:gridSpan w:val="2"/>
            <w:vMerge w:val="restart"/>
            <w:noWrap w:val="0"/>
            <w:vAlign w:val="center"/>
          </w:tcPr>
          <w:p w14:paraId="65C858F7">
            <w:pPr>
              <w:spacing w:line="360" w:lineRule="auto"/>
              <w:contextualSpacing/>
              <w:rPr>
                <w:rFonts w:hint="eastAsia" w:ascii="宋体" w:hAnsi="宋体" w:cs="宋体"/>
                <w:bCs/>
                <w:color w:val="000000"/>
                <w:szCs w:val="21"/>
              </w:rPr>
            </w:pPr>
            <w:r>
              <w:rPr>
                <w:rFonts w:hint="eastAsia" w:ascii="宋体" w:hAnsi="宋体" w:cs="宋体"/>
                <w:bCs/>
                <w:color w:val="000000"/>
                <w:szCs w:val="21"/>
              </w:rPr>
              <w:t>资质 （提供证书复印件等证明材料）</w:t>
            </w:r>
          </w:p>
        </w:tc>
        <w:tc>
          <w:tcPr>
            <w:tcW w:w="3341" w:type="pct"/>
            <w:noWrap w:val="0"/>
            <w:vAlign w:val="center"/>
          </w:tcPr>
          <w:p w14:paraId="63693F7D">
            <w:pPr>
              <w:widowControl/>
              <w:rPr>
                <w:rFonts w:hint="eastAsia" w:ascii="宋体" w:hAnsi="宋体" w:cs="宋体"/>
                <w:kern w:val="0"/>
                <w:szCs w:val="21"/>
              </w:rPr>
            </w:pPr>
            <w:r>
              <w:rPr>
                <w:rFonts w:hint="eastAsia" w:ascii="宋体" w:hAnsi="宋体" w:cs="宋体"/>
                <w:kern w:val="0"/>
                <w:szCs w:val="21"/>
              </w:rPr>
              <w:t>产品制造商具备DSMM数据安全能力成熟度认证证书</w:t>
            </w:r>
          </w:p>
        </w:tc>
      </w:tr>
      <w:tr w14:paraId="0828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58" w:type="pct"/>
            <w:gridSpan w:val="2"/>
            <w:vMerge w:val="continue"/>
            <w:noWrap w:val="0"/>
            <w:vAlign w:val="center"/>
          </w:tcPr>
          <w:p w14:paraId="56F52792">
            <w:pPr>
              <w:widowControl/>
              <w:jc w:val="center"/>
              <w:rPr>
                <w:rFonts w:hint="eastAsia" w:ascii="宋体" w:hAnsi="宋体" w:cs="宋体"/>
                <w:b/>
                <w:kern w:val="0"/>
                <w:szCs w:val="21"/>
              </w:rPr>
            </w:pPr>
          </w:p>
        </w:tc>
        <w:tc>
          <w:tcPr>
            <w:tcW w:w="3341" w:type="pct"/>
            <w:noWrap w:val="0"/>
            <w:vAlign w:val="center"/>
          </w:tcPr>
          <w:p w14:paraId="2B9830E1">
            <w:pPr>
              <w:widowControl/>
              <w:rPr>
                <w:rFonts w:hint="eastAsia" w:ascii="宋体" w:hAnsi="宋体" w:cs="宋体"/>
                <w:kern w:val="0"/>
                <w:szCs w:val="21"/>
              </w:rPr>
            </w:pPr>
            <w:r>
              <w:rPr>
                <w:rFonts w:hint="eastAsia" w:ascii="宋体" w:hAnsi="宋体" w:cs="宋体"/>
                <w:kern w:val="0"/>
                <w:szCs w:val="21"/>
              </w:rPr>
              <w:t>设备制造商具备信息通信行业企业信用等级评价--运维服务领域（AAA）</w:t>
            </w:r>
          </w:p>
        </w:tc>
      </w:tr>
      <w:tr w14:paraId="079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58" w:type="pct"/>
            <w:gridSpan w:val="2"/>
            <w:noWrap w:val="0"/>
            <w:vAlign w:val="center"/>
          </w:tcPr>
          <w:p w14:paraId="4CAAA22E">
            <w:pPr>
              <w:widowControl/>
              <w:jc w:val="center"/>
              <w:rPr>
                <w:rFonts w:hint="eastAsia" w:ascii="宋体" w:hAnsi="宋体" w:cs="宋体"/>
                <w:kern w:val="0"/>
                <w:szCs w:val="21"/>
              </w:rPr>
            </w:pPr>
            <w:r>
              <w:rPr>
                <w:rFonts w:hint="eastAsia" w:ascii="宋体" w:hAnsi="宋体" w:cs="宋体"/>
                <w:szCs w:val="21"/>
              </w:rPr>
              <w:t>其他</w:t>
            </w:r>
          </w:p>
        </w:tc>
        <w:tc>
          <w:tcPr>
            <w:tcW w:w="3341" w:type="pct"/>
            <w:noWrap w:val="0"/>
            <w:vAlign w:val="center"/>
          </w:tcPr>
          <w:p w14:paraId="0DB61A66">
            <w:pPr>
              <w:widowControl/>
              <w:rPr>
                <w:rFonts w:hint="eastAsia" w:ascii="宋体" w:hAnsi="宋体" w:cs="宋体"/>
                <w:kern w:val="0"/>
                <w:szCs w:val="21"/>
              </w:rPr>
            </w:pPr>
            <w:r>
              <w:rPr>
                <w:rFonts w:hint="eastAsia" w:ascii="宋体" w:hAnsi="宋体" w:cs="宋体"/>
                <w:kern w:val="0"/>
                <w:szCs w:val="21"/>
              </w:rPr>
              <w:t>中标后三个工作日内提供五年原厂商质保服务承诺函。中标后将对上述功能要求进行逐一测试验证，测试中发现虚假应标的行为将予以废标处理并保留追究相关责任的权利。</w:t>
            </w:r>
          </w:p>
        </w:tc>
      </w:tr>
    </w:tbl>
    <w:p w14:paraId="276D4043">
      <w:pPr>
        <w:rPr>
          <w:rFonts w:hint="eastAsia"/>
        </w:rPr>
      </w:pPr>
    </w:p>
    <w:p w14:paraId="184148C3">
      <w:pPr>
        <w:pStyle w:val="3"/>
        <w:numPr>
          <w:ilvl w:val="0"/>
          <w:numId w:val="3"/>
        </w:numPr>
        <w:ind w:firstLine="422"/>
        <w:rPr>
          <w:rFonts w:hint="eastAsia"/>
        </w:rPr>
      </w:pPr>
      <w:r>
        <w:rPr>
          <w:rFonts w:hint="eastAsia"/>
        </w:rPr>
        <w:t>出口边界防火墙</w:t>
      </w:r>
    </w:p>
    <w:tbl>
      <w:tblPr>
        <w:tblStyle w:val="9"/>
        <w:tblW w:w="478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24"/>
        <w:gridCol w:w="1367"/>
        <w:gridCol w:w="6398"/>
      </w:tblGrid>
      <w:tr w14:paraId="08A65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24" w:type="dxa"/>
            <w:tcBorders>
              <w:bottom w:val="single" w:color="auto" w:sz="4" w:space="0"/>
              <w:right w:val="single" w:color="000000" w:sz="4" w:space="0"/>
            </w:tcBorders>
            <w:noWrap w:val="0"/>
            <w:vAlign w:val="center"/>
          </w:tcPr>
          <w:p w14:paraId="384D84DA">
            <w:pPr>
              <w:jc w:val="left"/>
              <w:rPr>
                <w:rFonts w:hint="eastAsia"/>
                <w:b/>
                <w:bCs/>
                <w:lang w:eastAsia="zh-Hans"/>
              </w:rPr>
            </w:pPr>
            <w:r>
              <w:rPr>
                <w:rFonts w:hint="eastAsia"/>
                <w:b/>
                <w:bCs/>
              </w:rPr>
              <w:t>技术指标</w:t>
            </w:r>
          </w:p>
        </w:tc>
        <w:tc>
          <w:tcPr>
            <w:tcW w:w="7765" w:type="dxa"/>
            <w:gridSpan w:val="2"/>
            <w:tcBorders>
              <w:left w:val="single" w:color="000000" w:sz="4" w:space="0"/>
              <w:bottom w:val="single" w:color="auto" w:sz="4" w:space="0"/>
            </w:tcBorders>
            <w:noWrap w:val="0"/>
            <w:vAlign w:val="center"/>
          </w:tcPr>
          <w:p w14:paraId="76B94A19">
            <w:pPr>
              <w:jc w:val="left"/>
              <w:rPr>
                <w:rFonts w:hint="eastAsia"/>
                <w:b/>
                <w:bCs/>
                <w:lang w:eastAsia="zh-Hans"/>
              </w:rPr>
            </w:pPr>
            <w:r>
              <w:rPr>
                <w:rFonts w:hint="eastAsia"/>
                <w:b/>
                <w:bCs/>
              </w:rPr>
              <w:t>指标要求</w:t>
            </w:r>
          </w:p>
        </w:tc>
      </w:tr>
      <w:tr w14:paraId="5D892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1" w:type="pct"/>
            <w:tcBorders>
              <w:top w:val="single" w:color="auto" w:sz="4" w:space="0"/>
              <w:bottom w:val="single" w:color="auto" w:sz="4" w:space="0"/>
              <w:right w:val="single" w:color="auto" w:sz="4" w:space="0"/>
            </w:tcBorders>
            <w:noWrap w:val="0"/>
            <w:vAlign w:val="center"/>
          </w:tcPr>
          <w:p w14:paraId="5082166A">
            <w:pPr>
              <w:spacing w:line="360" w:lineRule="auto"/>
              <w:contextualSpacing/>
              <w:rPr>
                <w:rFonts w:hint="eastAsia" w:ascii="宋体" w:hAnsi="宋体" w:cs="宋体"/>
                <w:bCs/>
                <w:color w:val="000000"/>
                <w:szCs w:val="21"/>
              </w:rPr>
            </w:pPr>
            <w:r>
              <w:rPr>
                <w:rFonts w:hint="eastAsia" w:ascii="宋体" w:hAnsi="宋体" w:cs="宋体"/>
                <w:bCs/>
                <w:color w:val="000000"/>
                <w:szCs w:val="21"/>
              </w:rPr>
              <w:t>产品规格</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7B671528">
            <w:pPr>
              <w:spacing w:line="360" w:lineRule="auto"/>
              <w:contextualSpacing/>
              <w:rPr>
                <w:rFonts w:hint="eastAsia" w:ascii="宋体" w:hAnsi="宋体" w:cs="宋体"/>
                <w:bCs/>
                <w:color w:val="000000"/>
                <w:szCs w:val="21"/>
              </w:rPr>
            </w:pPr>
            <w:r>
              <w:rPr>
                <w:rFonts w:hint="eastAsia" w:ascii="宋体" w:hAnsi="宋体" w:cs="宋体"/>
                <w:bCs/>
                <w:color w:val="000000"/>
                <w:szCs w:val="21"/>
              </w:rPr>
              <w:t>▲规格要求</w:t>
            </w:r>
          </w:p>
        </w:tc>
        <w:tc>
          <w:tcPr>
            <w:tcW w:w="3558" w:type="pct"/>
            <w:tcBorders>
              <w:top w:val="single" w:color="auto" w:sz="4" w:space="0"/>
              <w:left w:val="single" w:color="auto" w:sz="4" w:space="0"/>
              <w:bottom w:val="single" w:color="auto" w:sz="4" w:space="0"/>
            </w:tcBorders>
            <w:noWrap w:val="0"/>
            <w:vAlign w:val="center"/>
          </w:tcPr>
          <w:p w14:paraId="4C394EFF">
            <w:pPr>
              <w:spacing w:line="360" w:lineRule="auto"/>
              <w:contextualSpacing/>
              <w:rPr>
                <w:rFonts w:hint="eastAsia" w:ascii="宋体" w:hAnsi="宋体" w:cs="宋体"/>
                <w:bCs/>
                <w:color w:val="000000"/>
                <w:szCs w:val="21"/>
              </w:rPr>
            </w:pPr>
            <w:r>
              <w:rPr>
                <w:rFonts w:hint="eastAsia" w:ascii="宋体" w:hAnsi="宋体" w:cs="宋体"/>
                <w:bCs/>
                <w:color w:val="000000"/>
                <w:szCs w:val="21"/>
              </w:rPr>
              <w:t xml:space="preserve">性能参数：网络层吞吐量（大包）：≥20Gb，应用层吞吐量：≥7Gb，带宽性能：≥4.5Gb，支持用户数：≥50000，包转发率：≥625Kpps，每秒新建连接数：≥80000，最大并发连接数：≥3200000。 </w:t>
            </w:r>
          </w:p>
          <w:p w14:paraId="3A0F748E">
            <w:pPr>
              <w:spacing w:line="360" w:lineRule="auto"/>
              <w:contextualSpacing/>
              <w:rPr>
                <w:rFonts w:hint="eastAsia" w:ascii="宋体" w:hAnsi="宋体" w:cs="宋体"/>
                <w:bCs/>
                <w:color w:val="000000"/>
                <w:szCs w:val="21"/>
              </w:rPr>
            </w:pPr>
            <w:r>
              <w:rPr>
                <w:rFonts w:hint="eastAsia" w:ascii="宋体" w:hAnsi="宋体" w:cs="宋体"/>
                <w:bCs/>
                <w:color w:val="000000"/>
                <w:szCs w:val="21"/>
              </w:rPr>
              <w:t>硬件参数：规格：≥2U，内存大小：≥32G，硬盘容量：≥128G SSD+960G SSD，电源：冗余电源，接口：≥4千兆电口+4千兆光口SFP+2万兆光口SFP+。</w:t>
            </w:r>
          </w:p>
          <w:p w14:paraId="64F2C873">
            <w:pPr>
              <w:spacing w:line="360" w:lineRule="auto"/>
              <w:contextualSpacing/>
              <w:rPr>
                <w:rFonts w:hint="eastAsia" w:ascii="宋体" w:hAnsi="宋体" w:cs="宋体"/>
                <w:bCs/>
                <w:color w:val="000000"/>
                <w:szCs w:val="21"/>
              </w:rPr>
            </w:pPr>
            <w:r>
              <w:rPr>
                <w:rFonts w:hint="eastAsia" w:ascii="宋体" w:hAnsi="宋体" w:cs="宋体"/>
                <w:kern w:val="0"/>
                <w:szCs w:val="21"/>
              </w:rPr>
              <w:t>采用国产化处理器硬件架构及国产化处理系统，满足信创要求。</w:t>
            </w:r>
          </w:p>
          <w:p w14:paraId="559A05CD">
            <w:pPr>
              <w:spacing w:line="360" w:lineRule="auto"/>
              <w:contextualSpacing/>
              <w:rPr>
                <w:rFonts w:hint="eastAsia" w:ascii="宋体" w:hAnsi="宋体" w:cs="宋体"/>
                <w:bCs/>
                <w:color w:val="000000"/>
                <w:szCs w:val="21"/>
              </w:rPr>
            </w:pPr>
            <w:r>
              <w:rPr>
                <w:rFonts w:hint="eastAsia" w:ascii="宋体" w:hAnsi="宋体" w:cs="宋体"/>
                <w:b/>
                <w:color w:val="000000"/>
                <w:szCs w:val="21"/>
              </w:rPr>
              <w:t>提供5年硬件质保和软件升级服务。</w:t>
            </w:r>
          </w:p>
        </w:tc>
      </w:tr>
      <w:tr w14:paraId="520E7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1" w:type="pct"/>
            <w:tcBorders>
              <w:top w:val="single" w:color="auto" w:sz="4" w:space="0"/>
              <w:bottom w:val="single" w:color="auto" w:sz="4" w:space="0"/>
              <w:right w:val="single" w:color="auto" w:sz="4" w:space="0"/>
            </w:tcBorders>
            <w:noWrap w:val="0"/>
            <w:vAlign w:val="center"/>
          </w:tcPr>
          <w:p w14:paraId="34AE6996">
            <w:pPr>
              <w:spacing w:line="360" w:lineRule="auto"/>
              <w:contextualSpacing/>
              <w:rPr>
                <w:rFonts w:hint="eastAsia" w:ascii="宋体" w:hAnsi="宋体" w:cs="宋体"/>
                <w:bCs/>
                <w:color w:val="000000"/>
                <w:szCs w:val="21"/>
              </w:rPr>
            </w:pPr>
            <w:r>
              <w:rPr>
                <w:rFonts w:hint="eastAsia" w:ascii="宋体" w:hAnsi="宋体" w:cs="宋体"/>
                <w:bCs/>
                <w:color w:val="000000"/>
                <w:szCs w:val="21"/>
              </w:rPr>
              <w:t>实时监控</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487063B4">
            <w:pPr>
              <w:spacing w:line="360" w:lineRule="auto"/>
              <w:contextualSpacing/>
              <w:rPr>
                <w:rFonts w:hint="eastAsia" w:ascii="宋体" w:hAnsi="宋体" w:cs="宋体"/>
                <w:bCs/>
                <w:color w:val="000000"/>
                <w:szCs w:val="21"/>
              </w:rPr>
            </w:pPr>
            <w:r>
              <w:rPr>
                <w:rFonts w:hint="eastAsia" w:ascii="宋体" w:hAnsi="宋体" w:cs="宋体"/>
                <w:bCs/>
                <w:color w:val="000000"/>
                <w:szCs w:val="21"/>
              </w:rPr>
              <w:t>可视化分析展示</w:t>
            </w:r>
          </w:p>
        </w:tc>
        <w:tc>
          <w:tcPr>
            <w:tcW w:w="3558" w:type="pct"/>
            <w:tcBorders>
              <w:top w:val="single" w:color="auto" w:sz="4" w:space="0"/>
              <w:left w:val="single" w:color="auto" w:sz="4" w:space="0"/>
              <w:bottom w:val="single" w:color="auto" w:sz="4" w:space="0"/>
            </w:tcBorders>
            <w:noWrap w:val="0"/>
            <w:vAlign w:val="center"/>
          </w:tcPr>
          <w:p w14:paraId="2EE0E055">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支持首页分析显示接入用户人数、终端类型；带宽质量分析、实时流量排名；资产类型分布、新设备发现趋势、终端违规检查项排行、终端违规用户排行；</w:t>
            </w:r>
          </w:p>
        </w:tc>
      </w:tr>
      <w:tr w14:paraId="5243A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pct"/>
            <w:vMerge w:val="restart"/>
            <w:tcBorders>
              <w:top w:val="single" w:color="auto" w:sz="4" w:space="0"/>
              <w:bottom w:val="single" w:color="auto" w:sz="4" w:space="0"/>
              <w:right w:val="single" w:color="auto" w:sz="4" w:space="0"/>
            </w:tcBorders>
            <w:noWrap w:val="0"/>
            <w:vAlign w:val="center"/>
          </w:tcPr>
          <w:p w14:paraId="4FA31C57">
            <w:pPr>
              <w:spacing w:line="360" w:lineRule="auto"/>
              <w:contextualSpacing/>
              <w:rPr>
                <w:rFonts w:hint="eastAsia" w:ascii="宋体" w:hAnsi="宋体" w:cs="宋体"/>
                <w:bCs/>
                <w:color w:val="000000"/>
                <w:szCs w:val="21"/>
              </w:rPr>
            </w:pPr>
            <w:r>
              <w:rPr>
                <w:rFonts w:hint="eastAsia" w:ascii="宋体" w:hAnsi="宋体" w:cs="宋体"/>
                <w:bCs/>
                <w:color w:val="000000"/>
                <w:szCs w:val="21"/>
              </w:rPr>
              <w:t>排障工具</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62C2D04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支持网络故障排查</w:t>
            </w:r>
          </w:p>
        </w:tc>
        <w:tc>
          <w:tcPr>
            <w:tcW w:w="3558" w:type="pct"/>
            <w:tcBorders>
              <w:top w:val="single" w:color="auto" w:sz="4" w:space="0"/>
              <w:left w:val="single" w:color="auto" w:sz="4" w:space="0"/>
              <w:bottom w:val="single" w:color="auto" w:sz="4" w:space="0"/>
            </w:tcBorders>
            <w:noWrap w:val="0"/>
            <w:vAlign w:val="center"/>
          </w:tcPr>
          <w:p w14:paraId="04C428F9">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支持PPS异常、丢包异常、ARP异常、内网DOS攻击等异常情况实时监测，显示每日异常事件个数及情况；</w:t>
            </w:r>
          </w:p>
        </w:tc>
      </w:tr>
      <w:tr w14:paraId="45720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pct"/>
            <w:vMerge w:val="continue"/>
            <w:tcBorders>
              <w:top w:val="single" w:color="auto" w:sz="4" w:space="0"/>
              <w:bottom w:val="single" w:color="auto" w:sz="4" w:space="0"/>
              <w:right w:val="single" w:color="auto" w:sz="4" w:space="0"/>
            </w:tcBorders>
            <w:noWrap w:val="0"/>
            <w:vAlign w:val="center"/>
          </w:tcPr>
          <w:p w14:paraId="4F02744C">
            <w:pPr>
              <w:spacing w:line="360" w:lineRule="auto"/>
              <w:contextualSpacing/>
              <w:rPr>
                <w:rFonts w:hint="eastAsia" w:ascii="宋体" w:hAnsi="宋体" w:cs="宋体"/>
                <w:bCs/>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09675F0">
            <w:pPr>
              <w:spacing w:line="360" w:lineRule="auto"/>
              <w:contextualSpacing/>
              <w:rPr>
                <w:rFonts w:hint="eastAsia" w:ascii="宋体" w:hAnsi="宋体" w:cs="宋体"/>
                <w:bCs/>
                <w:color w:val="000000"/>
                <w:szCs w:val="21"/>
              </w:rPr>
            </w:pPr>
            <w:r>
              <w:rPr>
                <w:rFonts w:hint="eastAsia" w:ascii="宋体" w:hAnsi="宋体" w:cs="宋体"/>
                <w:bCs/>
                <w:color w:val="000000"/>
                <w:szCs w:val="21"/>
              </w:rPr>
              <w:t>Web访问质量检测</w:t>
            </w:r>
          </w:p>
        </w:tc>
        <w:tc>
          <w:tcPr>
            <w:tcW w:w="3558" w:type="pct"/>
            <w:tcBorders>
              <w:top w:val="single" w:color="auto" w:sz="4" w:space="0"/>
              <w:left w:val="single" w:color="auto" w:sz="4" w:space="0"/>
              <w:bottom w:val="single" w:color="auto" w:sz="4" w:space="0"/>
            </w:tcBorders>
            <w:noWrap w:val="0"/>
            <w:vAlign w:val="center"/>
          </w:tcPr>
          <w:p w14:paraId="5F3A8A8E">
            <w:pPr>
              <w:spacing w:line="360" w:lineRule="auto"/>
              <w:contextualSpacing/>
              <w:rPr>
                <w:rFonts w:hint="eastAsia" w:ascii="宋体" w:hAnsi="宋体" w:cs="宋体"/>
                <w:bCs/>
                <w:color w:val="000000"/>
                <w:szCs w:val="21"/>
              </w:rPr>
            </w:pPr>
            <w:r>
              <w:rPr>
                <w:rFonts w:hint="eastAsia" w:ascii="宋体" w:hAnsi="宋体" w:cs="宋体"/>
                <w:bCs/>
                <w:color w:val="000000"/>
                <w:szCs w:val="21"/>
              </w:rPr>
              <w:t>针对内网用户的web访问质量进行检测，对整体网络提供清晰的整体网络质量评级；（提供产品界面截图）</w:t>
            </w:r>
          </w:p>
        </w:tc>
      </w:tr>
      <w:tr w14:paraId="15523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tcBorders>
              <w:top w:val="single" w:color="auto" w:sz="4" w:space="0"/>
              <w:bottom w:val="single" w:color="auto" w:sz="4" w:space="0"/>
              <w:right w:val="single" w:color="auto" w:sz="4" w:space="0"/>
            </w:tcBorders>
            <w:noWrap w:val="0"/>
            <w:vAlign w:val="center"/>
          </w:tcPr>
          <w:p w14:paraId="6734BA85">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66186A50">
            <w:pPr>
              <w:spacing w:line="360" w:lineRule="auto"/>
              <w:contextualSpacing/>
              <w:rPr>
                <w:rFonts w:hint="eastAsia" w:ascii="宋体" w:hAnsi="宋体" w:cs="宋体"/>
                <w:bCs/>
                <w:color w:val="000000"/>
                <w:szCs w:val="21"/>
              </w:rPr>
            </w:pPr>
            <w:r>
              <w:rPr>
                <w:rFonts w:hint="eastAsia" w:ascii="宋体" w:hAnsi="宋体" w:cs="宋体"/>
                <w:bCs/>
                <w:color w:val="000000"/>
                <w:szCs w:val="21"/>
              </w:rPr>
              <w:t>特权DKey</w:t>
            </w:r>
          </w:p>
        </w:tc>
        <w:tc>
          <w:tcPr>
            <w:tcW w:w="3558" w:type="pct"/>
            <w:tcBorders>
              <w:top w:val="single" w:color="auto" w:sz="4" w:space="0"/>
              <w:left w:val="single" w:color="auto" w:sz="4" w:space="0"/>
              <w:bottom w:val="single" w:color="auto" w:sz="4" w:space="0"/>
            </w:tcBorders>
            <w:noWrap w:val="0"/>
            <w:vAlign w:val="center"/>
          </w:tcPr>
          <w:p w14:paraId="59CB4B11">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支持针对特权用户配置免认证key、免审计key、免控制key；</w:t>
            </w:r>
          </w:p>
        </w:tc>
      </w:tr>
      <w:tr w14:paraId="4FB1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81" w:type="pct"/>
            <w:tcBorders>
              <w:top w:val="single" w:color="auto" w:sz="4" w:space="0"/>
              <w:bottom w:val="single" w:color="auto" w:sz="4" w:space="0"/>
              <w:right w:val="single" w:color="auto" w:sz="4" w:space="0"/>
            </w:tcBorders>
            <w:noWrap w:val="0"/>
            <w:vAlign w:val="center"/>
          </w:tcPr>
          <w:p w14:paraId="5451E317">
            <w:pPr>
              <w:spacing w:line="360" w:lineRule="auto"/>
              <w:contextualSpacing/>
              <w:rPr>
                <w:rFonts w:hint="eastAsia" w:ascii="宋体" w:hAnsi="宋体" w:cs="宋体"/>
                <w:bCs/>
                <w:color w:val="000000"/>
                <w:szCs w:val="21"/>
              </w:rPr>
            </w:pPr>
            <w:r>
              <w:rPr>
                <w:rFonts w:hint="eastAsia" w:ascii="宋体" w:hAnsi="宋体" w:cs="宋体"/>
                <w:bCs/>
                <w:color w:val="000000"/>
                <w:szCs w:val="21"/>
              </w:rPr>
              <w:t>第三方用户源</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525A60AB">
            <w:pPr>
              <w:spacing w:line="360" w:lineRule="auto"/>
              <w:contextualSpacing/>
              <w:rPr>
                <w:rFonts w:hint="eastAsia" w:ascii="宋体" w:hAnsi="宋体" w:cs="宋体"/>
                <w:bCs/>
                <w:color w:val="000000"/>
                <w:szCs w:val="21"/>
              </w:rPr>
            </w:pPr>
            <w:r>
              <w:rPr>
                <w:rFonts w:hint="eastAsia" w:ascii="宋体" w:hAnsi="宋体" w:cs="宋体"/>
                <w:bCs/>
                <w:color w:val="000000"/>
                <w:szCs w:val="21"/>
              </w:rPr>
              <w:t>服务器支持</w:t>
            </w:r>
          </w:p>
        </w:tc>
        <w:tc>
          <w:tcPr>
            <w:tcW w:w="3558" w:type="pct"/>
            <w:tcBorders>
              <w:top w:val="single" w:color="auto" w:sz="4" w:space="0"/>
              <w:left w:val="single" w:color="auto" w:sz="4" w:space="0"/>
              <w:bottom w:val="single" w:color="auto" w:sz="4" w:space="0"/>
            </w:tcBorders>
            <w:noWrap w:val="0"/>
            <w:vAlign w:val="center"/>
          </w:tcPr>
          <w:p w14:paraId="4A54E9D7">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支持LDAP、Radius、POP3等第三方认证；支持ISA\lotus ldap\novell ldap\oracle、sql server、db2、mysql等数据库等第三方认证；</w:t>
            </w:r>
          </w:p>
        </w:tc>
      </w:tr>
      <w:tr w14:paraId="510B1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681" w:type="pct"/>
            <w:vMerge w:val="restart"/>
            <w:tcBorders>
              <w:top w:val="single" w:color="auto" w:sz="4" w:space="0"/>
              <w:bottom w:val="single" w:color="auto" w:sz="4" w:space="0"/>
              <w:right w:val="single" w:color="auto" w:sz="4" w:space="0"/>
            </w:tcBorders>
            <w:noWrap w:val="0"/>
            <w:vAlign w:val="center"/>
          </w:tcPr>
          <w:p w14:paraId="63AB2469">
            <w:pPr>
              <w:spacing w:line="360" w:lineRule="auto"/>
              <w:contextualSpacing/>
              <w:rPr>
                <w:rFonts w:hint="eastAsia" w:ascii="宋体" w:hAnsi="宋体" w:cs="宋体"/>
                <w:bCs/>
                <w:color w:val="000000"/>
                <w:szCs w:val="21"/>
              </w:rPr>
            </w:pPr>
            <w:r>
              <w:rPr>
                <w:rFonts w:hint="eastAsia" w:ascii="宋体" w:hAnsi="宋体" w:cs="宋体"/>
                <w:bCs/>
                <w:color w:val="000000"/>
                <w:szCs w:val="21"/>
              </w:rPr>
              <w:t>认证方式</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06D68964">
            <w:pPr>
              <w:spacing w:line="360" w:lineRule="auto"/>
              <w:contextualSpacing/>
              <w:rPr>
                <w:rFonts w:hint="eastAsia" w:ascii="宋体" w:hAnsi="宋体" w:cs="宋体"/>
                <w:bCs/>
                <w:color w:val="000000"/>
                <w:szCs w:val="21"/>
              </w:rPr>
            </w:pPr>
            <w:r>
              <w:rPr>
                <w:rFonts w:hint="eastAsia" w:ascii="宋体" w:hAnsi="宋体" w:cs="宋体"/>
                <w:bCs/>
                <w:color w:val="000000"/>
                <w:szCs w:val="21"/>
              </w:rPr>
              <w:t>单点登录</w:t>
            </w:r>
          </w:p>
        </w:tc>
        <w:tc>
          <w:tcPr>
            <w:tcW w:w="3558" w:type="pct"/>
            <w:tcBorders>
              <w:top w:val="single" w:color="auto" w:sz="4" w:space="0"/>
              <w:left w:val="single" w:color="auto" w:sz="4" w:space="0"/>
              <w:bottom w:val="single" w:color="auto" w:sz="4" w:space="0"/>
            </w:tcBorders>
            <w:noWrap w:val="0"/>
            <w:vAlign w:val="center"/>
          </w:tcPr>
          <w:p w14:paraId="68F13BC1">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支持radius、AD、POP3、Proxy、PPPOE、 H3C IMC/CAMS、锐捷 SAM、城市热点等系统进行认证单点登录，简化用户操作，可强制指定用户、指定IP段的用户必须使用单点登录；</w:t>
            </w:r>
          </w:p>
        </w:tc>
      </w:tr>
      <w:tr w14:paraId="1E32F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681" w:type="pct"/>
            <w:vMerge w:val="continue"/>
            <w:tcBorders>
              <w:top w:val="single" w:color="auto" w:sz="4" w:space="0"/>
              <w:bottom w:val="single" w:color="auto" w:sz="4" w:space="0"/>
              <w:right w:val="single" w:color="auto" w:sz="4" w:space="0"/>
            </w:tcBorders>
            <w:noWrap w:val="0"/>
            <w:vAlign w:val="center"/>
          </w:tcPr>
          <w:p w14:paraId="3C04FBB9">
            <w:pPr>
              <w:spacing w:line="360" w:lineRule="auto"/>
              <w:contextualSpacing/>
              <w:rPr>
                <w:rFonts w:hint="eastAsia" w:ascii="宋体" w:hAnsi="宋体" w:cs="宋体"/>
                <w:bCs/>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23BD7C0">
            <w:pPr>
              <w:spacing w:line="360" w:lineRule="auto"/>
              <w:contextualSpacing/>
              <w:rPr>
                <w:rFonts w:hint="eastAsia" w:ascii="宋体" w:hAnsi="宋体" w:cs="宋体"/>
                <w:bCs/>
                <w:color w:val="000000"/>
                <w:szCs w:val="21"/>
              </w:rPr>
            </w:pPr>
            <w:r>
              <w:rPr>
                <w:rFonts w:hint="eastAsia" w:ascii="宋体" w:hAnsi="宋体" w:cs="宋体"/>
                <w:bCs/>
                <w:color w:val="000000"/>
                <w:szCs w:val="21"/>
              </w:rPr>
              <w:t>绑定短信和微信快捷认证</w:t>
            </w:r>
          </w:p>
        </w:tc>
        <w:tc>
          <w:tcPr>
            <w:tcW w:w="3558" w:type="pct"/>
            <w:tcBorders>
              <w:top w:val="single" w:color="auto" w:sz="4" w:space="0"/>
              <w:left w:val="single" w:color="auto" w:sz="4" w:space="0"/>
              <w:bottom w:val="single" w:color="auto" w:sz="4" w:space="0"/>
            </w:tcBorders>
            <w:noWrap w:val="0"/>
            <w:vAlign w:val="center"/>
          </w:tcPr>
          <w:p w14:paraId="3D0209A8">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支持终端用户账号绑定手机号码和微信号，绑定后可以通过手机验证码和微信扫码实现上网快捷登录认证；</w:t>
            </w:r>
          </w:p>
        </w:tc>
      </w:tr>
      <w:tr w14:paraId="03373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vMerge w:val="continue"/>
            <w:tcBorders>
              <w:top w:val="single" w:color="auto" w:sz="4" w:space="0"/>
              <w:bottom w:val="single" w:color="auto" w:sz="4" w:space="0"/>
              <w:right w:val="single" w:color="auto" w:sz="4" w:space="0"/>
            </w:tcBorders>
            <w:noWrap w:val="0"/>
            <w:vAlign w:val="center"/>
          </w:tcPr>
          <w:p w14:paraId="53CB690E">
            <w:pPr>
              <w:spacing w:line="360" w:lineRule="auto"/>
              <w:contextualSpacing/>
              <w:rPr>
                <w:rFonts w:hint="eastAsia" w:ascii="宋体" w:hAnsi="宋体" w:cs="宋体"/>
                <w:bCs/>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BC70DC7">
            <w:pPr>
              <w:spacing w:line="360" w:lineRule="auto"/>
              <w:contextualSpacing/>
              <w:rPr>
                <w:rFonts w:hint="eastAsia" w:ascii="宋体" w:hAnsi="宋体" w:cs="宋体"/>
                <w:bCs/>
                <w:color w:val="000000"/>
                <w:szCs w:val="21"/>
              </w:rPr>
            </w:pPr>
            <w:r>
              <w:rPr>
                <w:rFonts w:hint="eastAsia" w:ascii="宋体" w:hAnsi="宋体" w:cs="宋体"/>
                <w:bCs/>
                <w:color w:val="000000"/>
                <w:szCs w:val="21"/>
              </w:rPr>
              <w:t>会议扫码认证</w:t>
            </w:r>
          </w:p>
        </w:tc>
        <w:tc>
          <w:tcPr>
            <w:tcW w:w="3558" w:type="pct"/>
            <w:tcBorders>
              <w:top w:val="single" w:color="auto" w:sz="4" w:space="0"/>
              <w:left w:val="single" w:color="auto" w:sz="4" w:space="0"/>
              <w:bottom w:val="single" w:color="auto" w:sz="4" w:space="0"/>
            </w:tcBorders>
            <w:noWrap w:val="0"/>
            <w:vAlign w:val="center"/>
          </w:tcPr>
          <w:p w14:paraId="52DD1AFC">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支持提供二维码和会议号，用户扫码或输入会议号认证上网；支持通过验证手机号码实名认证；</w:t>
            </w:r>
          </w:p>
        </w:tc>
      </w:tr>
      <w:tr w14:paraId="5CEBB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pct"/>
            <w:vMerge w:val="restart"/>
            <w:tcBorders>
              <w:top w:val="single" w:color="auto" w:sz="4" w:space="0"/>
              <w:bottom w:val="single" w:color="auto" w:sz="4" w:space="0"/>
              <w:right w:val="single" w:color="auto" w:sz="4" w:space="0"/>
            </w:tcBorders>
            <w:noWrap w:val="0"/>
            <w:vAlign w:val="center"/>
          </w:tcPr>
          <w:p w14:paraId="7D92EB78">
            <w:pPr>
              <w:spacing w:line="360" w:lineRule="auto"/>
              <w:contextualSpacing/>
              <w:rPr>
                <w:rFonts w:hint="eastAsia" w:ascii="宋体" w:hAnsi="宋体" w:cs="宋体"/>
                <w:bCs/>
                <w:color w:val="000000"/>
                <w:szCs w:val="21"/>
              </w:rPr>
            </w:pPr>
            <w:r>
              <w:rPr>
                <w:rFonts w:hint="eastAsia" w:ascii="宋体" w:hAnsi="宋体" w:cs="宋体"/>
                <w:bCs/>
                <w:color w:val="000000"/>
                <w:szCs w:val="21"/>
              </w:rPr>
              <w:t>终端资产管理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2B88ECFD">
            <w:pPr>
              <w:spacing w:line="360" w:lineRule="auto"/>
              <w:contextualSpacing/>
              <w:rPr>
                <w:rFonts w:hint="eastAsia" w:ascii="宋体" w:hAnsi="宋体" w:cs="宋体"/>
                <w:bCs/>
                <w:color w:val="000000"/>
                <w:szCs w:val="21"/>
              </w:rPr>
            </w:pPr>
            <w:r>
              <w:rPr>
                <w:rFonts w:hint="eastAsia" w:ascii="宋体" w:hAnsi="宋体" w:cs="宋体"/>
                <w:bCs/>
                <w:color w:val="000000"/>
                <w:szCs w:val="21"/>
              </w:rPr>
              <w:t>IP管理</w:t>
            </w:r>
          </w:p>
        </w:tc>
        <w:tc>
          <w:tcPr>
            <w:tcW w:w="3558" w:type="pct"/>
            <w:tcBorders>
              <w:top w:val="single" w:color="auto" w:sz="4" w:space="0"/>
              <w:left w:val="single" w:color="auto" w:sz="4" w:space="0"/>
              <w:bottom w:val="single" w:color="auto" w:sz="4" w:space="0"/>
            </w:tcBorders>
            <w:noWrap w:val="0"/>
            <w:vAlign w:val="center"/>
          </w:tcPr>
          <w:p w14:paraId="28D037AA">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支持图形化查看当前内网IP使用情况，帮助管理员减少人工维护IP表的工作量；</w:t>
            </w:r>
          </w:p>
        </w:tc>
      </w:tr>
      <w:tr w14:paraId="645DA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681" w:type="pct"/>
            <w:vMerge w:val="continue"/>
            <w:tcBorders>
              <w:top w:val="single" w:color="auto" w:sz="4" w:space="0"/>
              <w:bottom w:val="single" w:color="auto" w:sz="4" w:space="0"/>
              <w:right w:val="single" w:color="auto" w:sz="4" w:space="0"/>
            </w:tcBorders>
            <w:noWrap w:val="0"/>
            <w:vAlign w:val="center"/>
          </w:tcPr>
          <w:p w14:paraId="4049A41F">
            <w:pPr>
              <w:jc w:val="left"/>
              <w:rPr>
                <w:rFonts w:hint="eastAsia" w:ascii="宋体" w:hAnsi="宋体" w:cs="宋体"/>
                <w:b/>
                <w:bCs/>
                <w:color w:val="000000"/>
                <w:sz w:val="18"/>
                <w:szCs w:val="18"/>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BBF5B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终端识别发现</w:t>
            </w:r>
          </w:p>
        </w:tc>
        <w:tc>
          <w:tcPr>
            <w:tcW w:w="3558" w:type="pct"/>
            <w:tcBorders>
              <w:top w:val="single" w:color="auto" w:sz="4" w:space="0"/>
              <w:left w:val="single" w:color="auto" w:sz="4" w:space="0"/>
              <w:bottom w:val="single" w:color="auto" w:sz="4" w:space="0"/>
            </w:tcBorders>
            <w:noWrap w:val="0"/>
            <w:vAlign w:val="center"/>
          </w:tcPr>
          <w:p w14:paraId="5C0C5AB5">
            <w:pPr>
              <w:spacing w:line="360" w:lineRule="auto"/>
              <w:contextualSpacing/>
              <w:rPr>
                <w:rFonts w:hint="eastAsia" w:ascii="宋体" w:hAnsi="宋体" w:cs="宋体"/>
                <w:bCs/>
                <w:color w:val="000000"/>
                <w:szCs w:val="21"/>
              </w:rPr>
            </w:pPr>
            <w:r>
              <w:rPr>
                <w:rFonts w:hint="eastAsia" w:ascii="宋体" w:hAnsi="宋体" w:cs="宋体"/>
                <w:bCs/>
                <w:color w:val="000000"/>
                <w:szCs w:val="21"/>
              </w:rPr>
              <w:t xml:space="preserve">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  </w:t>
            </w:r>
          </w:p>
        </w:tc>
      </w:tr>
      <w:tr w14:paraId="3636C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1" w:type="pct"/>
            <w:tcBorders>
              <w:top w:val="single" w:color="auto" w:sz="4" w:space="0"/>
              <w:bottom w:val="single" w:color="auto" w:sz="4" w:space="0"/>
              <w:right w:val="single" w:color="auto" w:sz="4" w:space="0"/>
            </w:tcBorders>
            <w:noWrap w:val="0"/>
            <w:vAlign w:val="center"/>
          </w:tcPr>
          <w:p w14:paraId="43F1A09B">
            <w:pPr>
              <w:spacing w:line="360" w:lineRule="auto"/>
              <w:contextualSpacing/>
              <w:rPr>
                <w:rFonts w:hint="eastAsia" w:ascii="宋体" w:hAnsi="宋体" w:cs="宋体"/>
                <w:bCs/>
                <w:color w:val="000000"/>
                <w:szCs w:val="21"/>
              </w:rPr>
            </w:pPr>
            <w:r>
              <w:rPr>
                <w:rFonts w:hint="eastAsia" w:ascii="宋体" w:hAnsi="宋体" w:cs="宋体"/>
                <w:bCs/>
                <w:color w:val="000000"/>
                <w:szCs w:val="21"/>
              </w:rPr>
              <w:t>共享接入管理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6EFA3BF">
            <w:pPr>
              <w:spacing w:line="360" w:lineRule="auto"/>
              <w:contextualSpacing/>
              <w:rPr>
                <w:rFonts w:hint="eastAsia" w:ascii="宋体" w:hAnsi="宋体" w:cs="宋体"/>
                <w:bCs/>
                <w:color w:val="000000"/>
                <w:szCs w:val="21"/>
              </w:rPr>
            </w:pPr>
            <w:r>
              <w:rPr>
                <w:rFonts w:hint="eastAsia" w:ascii="宋体" w:hAnsi="宋体" w:cs="宋体"/>
                <w:bCs/>
                <w:color w:val="000000"/>
                <w:szCs w:val="21"/>
              </w:rPr>
              <w:t>防共享接入</w:t>
            </w:r>
          </w:p>
        </w:tc>
        <w:tc>
          <w:tcPr>
            <w:tcW w:w="3558" w:type="pct"/>
            <w:tcBorders>
              <w:top w:val="single" w:color="auto" w:sz="4" w:space="0"/>
              <w:left w:val="single" w:color="auto" w:sz="4" w:space="0"/>
              <w:bottom w:val="single" w:color="auto" w:sz="4" w:space="0"/>
            </w:tcBorders>
            <w:noWrap w:val="0"/>
            <w:vAlign w:val="center"/>
          </w:tcPr>
          <w:p w14:paraId="459CCF7F">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支持发现私接路由（或者共享软件等）共享网络的行为，支持“仅统计电脑”和“统计所有终端”两种模式，自定义配置终端数量和冻结时间，支持添加信任列表，支持例外排除功能；</w:t>
            </w:r>
          </w:p>
        </w:tc>
      </w:tr>
      <w:tr w14:paraId="02FF9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vMerge w:val="restart"/>
            <w:tcBorders>
              <w:top w:val="single" w:color="auto" w:sz="4" w:space="0"/>
              <w:bottom w:val="single" w:color="auto" w:sz="4" w:space="0"/>
              <w:right w:val="single" w:color="auto" w:sz="4" w:space="0"/>
            </w:tcBorders>
            <w:noWrap w:val="0"/>
            <w:vAlign w:val="center"/>
          </w:tcPr>
          <w:p w14:paraId="780FDE63">
            <w:pPr>
              <w:spacing w:line="360" w:lineRule="auto"/>
              <w:contextualSpacing/>
              <w:rPr>
                <w:rFonts w:hint="eastAsia" w:ascii="宋体" w:hAnsi="宋体" w:cs="宋体"/>
                <w:bCs/>
                <w:color w:val="000000"/>
                <w:szCs w:val="21"/>
              </w:rPr>
            </w:pPr>
            <w:r>
              <w:rPr>
                <w:rFonts w:hint="eastAsia" w:ascii="宋体" w:hAnsi="宋体" w:cs="宋体"/>
                <w:bCs/>
                <w:color w:val="000000"/>
                <w:szCs w:val="21"/>
              </w:rPr>
              <w:t>网页访问管理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65844A70">
            <w:pPr>
              <w:spacing w:line="360" w:lineRule="auto"/>
              <w:contextualSpacing/>
              <w:rPr>
                <w:rFonts w:hint="eastAsia" w:ascii="宋体" w:hAnsi="宋体" w:cs="宋体"/>
                <w:bCs/>
                <w:color w:val="000000"/>
                <w:szCs w:val="21"/>
              </w:rPr>
            </w:pPr>
            <w:r>
              <w:rPr>
                <w:rFonts w:hint="eastAsia" w:ascii="宋体" w:hAnsi="宋体" w:cs="宋体"/>
                <w:bCs/>
                <w:color w:val="000000"/>
                <w:szCs w:val="21"/>
              </w:rPr>
              <w:t>URL库管理</w:t>
            </w:r>
          </w:p>
        </w:tc>
        <w:tc>
          <w:tcPr>
            <w:tcW w:w="3558" w:type="pct"/>
            <w:tcBorders>
              <w:top w:val="single" w:color="auto" w:sz="4" w:space="0"/>
              <w:left w:val="single" w:color="auto" w:sz="4" w:space="0"/>
              <w:bottom w:val="single" w:color="auto" w:sz="4" w:space="0"/>
            </w:tcBorders>
            <w:noWrap w:val="0"/>
            <w:vAlign w:val="center"/>
          </w:tcPr>
          <w:p w14:paraId="0A78C274">
            <w:pPr>
              <w:spacing w:line="360" w:lineRule="auto"/>
              <w:contextualSpacing/>
              <w:rPr>
                <w:rFonts w:hint="eastAsia" w:ascii="宋体" w:hAnsi="宋体" w:cs="宋体"/>
                <w:bCs/>
                <w:color w:val="000000"/>
                <w:szCs w:val="21"/>
              </w:rPr>
            </w:pPr>
            <w:r>
              <w:rPr>
                <w:rFonts w:hint="eastAsia" w:ascii="宋体" w:hAnsi="宋体" w:cs="宋体"/>
                <w:bCs/>
                <w:color w:val="000000"/>
                <w:szCs w:val="21"/>
              </w:rPr>
              <w:t>设备内置海量预分类的URL地址库，能够针对各种URL类型做识别和分类，同时所有URL类型都支持区分“网站浏览”、“文件上传”、“其他上传”、“HTTPS”等细分行为并分别做权限控制；</w:t>
            </w:r>
          </w:p>
        </w:tc>
      </w:tr>
      <w:tr w14:paraId="72553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81" w:type="pct"/>
            <w:vMerge w:val="continue"/>
            <w:tcBorders>
              <w:top w:val="single" w:color="auto" w:sz="4" w:space="0"/>
              <w:bottom w:val="single" w:color="auto" w:sz="4" w:space="0"/>
              <w:right w:val="single" w:color="auto" w:sz="4" w:space="0"/>
            </w:tcBorders>
            <w:noWrap w:val="0"/>
            <w:vAlign w:val="center"/>
          </w:tcPr>
          <w:p w14:paraId="49C6B29A">
            <w:pPr>
              <w:spacing w:line="360" w:lineRule="auto"/>
              <w:contextualSpacing/>
              <w:rPr>
                <w:rFonts w:hint="eastAsia" w:ascii="宋体" w:hAnsi="宋体" w:cs="宋体"/>
                <w:bCs/>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3848095">
            <w:pPr>
              <w:spacing w:line="360" w:lineRule="auto"/>
              <w:contextualSpacing/>
              <w:rPr>
                <w:rFonts w:hint="eastAsia" w:ascii="宋体" w:hAnsi="宋体" w:cs="宋体"/>
                <w:bCs/>
                <w:color w:val="000000"/>
                <w:szCs w:val="21"/>
              </w:rPr>
            </w:pPr>
            <w:r>
              <w:rPr>
                <w:rFonts w:hint="eastAsia" w:ascii="宋体" w:hAnsi="宋体" w:cs="宋体"/>
                <w:bCs/>
                <w:color w:val="000000"/>
                <w:szCs w:val="21"/>
              </w:rPr>
              <w:t>★SSL加密网页识别过滤</w:t>
            </w:r>
          </w:p>
        </w:tc>
        <w:tc>
          <w:tcPr>
            <w:tcW w:w="3558" w:type="pct"/>
            <w:tcBorders>
              <w:top w:val="single" w:color="auto" w:sz="4" w:space="0"/>
              <w:left w:val="single" w:color="auto" w:sz="4" w:space="0"/>
              <w:bottom w:val="single" w:color="auto" w:sz="4" w:space="0"/>
            </w:tcBorders>
            <w:noWrap w:val="0"/>
            <w:vAlign w:val="center"/>
          </w:tcPr>
          <w:p w14:paraId="1CCCF14A">
            <w:pPr>
              <w:spacing w:line="360" w:lineRule="auto"/>
              <w:contextualSpacing/>
              <w:rPr>
                <w:rFonts w:hint="eastAsia" w:ascii="宋体" w:hAnsi="宋体" w:cs="宋体"/>
                <w:bCs/>
                <w:color w:val="000000"/>
                <w:szCs w:val="21"/>
              </w:rPr>
            </w:pPr>
            <w:r>
              <w:rPr>
                <w:rFonts w:hint="eastAsia" w:ascii="宋体" w:hAnsi="宋体" w:cs="宋体"/>
                <w:bCs/>
                <w:color w:val="000000"/>
                <w:szCs w:val="21"/>
              </w:rPr>
              <w:t>为确保我单位不会通过SSL加密内容发生通过互联网出口泄密事件，要求设备必须能够识别并过滤SSL加密的钓鱼网站、金融购物网站、非法网站等，提供自主知识产权证明；审计SSL网页时，支持加密证书自动分发功能，用户点击网页上的工具即可一次性安装完成。解决管理员给每台PC单独安装证书的问题，提供第三方权威机构检测报告证明；</w:t>
            </w:r>
          </w:p>
        </w:tc>
      </w:tr>
      <w:tr w14:paraId="64DC3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1" w:type="pct"/>
            <w:vMerge w:val="restart"/>
            <w:tcBorders>
              <w:top w:val="single" w:color="auto" w:sz="4" w:space="0"/>
              <w:bottom w:val="single" w:color="auto" w:sz="4" w:space="0"/>
              <w:right w:val="single" w:color="auto" w:sz="4" w:space="0"/>
            </w:tcBorders>
            <w:noWrap w:val="0"/>
            <w:vAlign w:val="center"/>
          </w:tcPr>
          <w:p w14:paraId="33209FA4">
            <w:pPr>
              <w:spacing w:line="360" w:lineRule="auto"/>
              <w:contextualSpacing/>
              <w:rPr>
                <w:rFonts w:hint="eastAsia" w:ascii="宋体" w:hAnsi="宋体" w:cs="宋体"/>
                <w:bCs/>
                <w:color w:val="000000"/>
                <w:szCs w:val="21"/>
              </w:rPr>
            </w:pPr>
            <w:r>
              <w:rPr>
                <w:rFonts w:hint="eastAsia" w:ascii="宋体" w:hAnsi="宋体" w:cs="宋体"/>
                <w:bCs/>
                <w:color w:val="000000"/>
                <w:szCs w:val="21"/>
              </w:rPr>
              <w:t>应用管理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478E5E99">
            <w:pPr>
              <w:spacing w:line="360" w:lineRule="auto"/>
              <w:contextualSpacing/>
              <w:rPr>
                <w:rFonts w:hint="eastAsia" w:ascii="宋体" w:hAnsi="宋体" w:cs="宋体"/>
                <w:bCs/>
                <w:color w:val="000000"/>
                <w:szCs w:val="21"/>
              </w:rPr>
            </w:pPr>
            <w:r>
              <w:rPr>
                <w:rFonts w:hint="eastAsia" w:ascii="宋体" w:hAnsi="宋体" w:cs="宋体"/>
                <w:bCs/>
                <w:color w:val="000000"/>
                <w:szCs w:val="21"/>
              </w:rPr>
              <w:t>应用识别规则库</w:t>
            </w:r>
          </w:p>
        </w:tc>
        <w:tc>
          <w:tcPr>
            <w:tcW w:w="3558" w:type="pct"/>
            <w:tcBorders>
              <w:top w:val="single" w:color="auto" w:sz="4" w:space="0"/>
              <w:left w:val="single" w:color="auto" w:sz="4" w:space="0"/>
              <w:bottom w:val="single" w:color="auto" w:sz="4" w:space="0"/>
            </w:tcBorders>
            <w:noWrap w:val="0"/>
            <w:vAlign w:val="center"/>
          </w:tcPr>
          <w:p w14:paraId="29853FB8">
            <w:pPr>
              <w:spacing w:line="360" w:lineRule="auto"/>
              <w:contextualSpacing/>
              <w:rPr>
                <w:rFonts w:hint="eastAsia" w:ascii="宋体" w:hAnsi="宋体" w:cs="宋体"/>
                <w:bCs/>
                <w:color w:val="000000"/>
                <w:szCs w:val="21"/>
              </w:rPr>
            </w:pPr>
            <w:r>
              <w:rPr>
                <w:rFonts w:hint="eastAsia" w:ascii="宋体" w:hAnsi="宋体" w:cs="宋体"/>
                <w:bCs/>
                <w:color w:val="000000"/>
                <w:szCs w:val="21"/>
              </w:rPr>
              <w:t>设备内置应用识别规则库，支持超过9000种以上应用规则数、支持超过6000种以上的应用；支持根据标签选择应用，并支持给每个应用自定义标签；支持根据标签选择一类应用做控制；</w:t>
            </w:r>
          </w:p>
        </w:tc>
      </w:tr>
      <w:tr w14:paraId="1C2DA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pct"/>
            <w:vMerge w:val="continue"/>
            <w:tcBorders>
              <w:top w:val="single" w:color="auto" w:sz="4" w:space="0"/>
              <w:bottom w:val="single" w:color="auto" w:sz="4" w:space="0"/>
              <w:right w:val="single" w:color="auto" w:sz="4" w:space="0"/>
            </w:tcBorders>
            <w:noWrap w:val="0"/>
            <w:vAlign w:val="center"/>
          </w:tcPr>
          <w:p w14:paraId="33D3B94F">
            <w:pPr>
              <w:spacing w:line="360" w:lineRule="auto"/>
              <w:contextualSpacing/>
              <w:rPr>
                <w:rFonts w:hint="eastAsia" w:ascii="宋体" w:hAnsi="宋体" w:cs="宋体"/>
                <w:bCs/>
                <w:color w:val="000000"/>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0D46E401">
            <w:pPr>
              <w:spacing w:line="360" w:lineRule="auto"/>
              <w:contextualSpacing/>
              <w:rPr>
                <w:rFonts w:hint="eastAsia" w:ascii="宋体" w:hAnsi="宋体" w:cs="宋体"/>
                <w:bCs/>
                <w:color w:val="000000"/>
                <w:szCs w:val="21"/>
              </w:rPr>
            </w:pPr>
            <w:r>
              <w:rPr>
                <w:rFonts w:hint="eastAsia" w:ascii="宋体" w:hAnsi="宋体" w:cs="宋体"/>
                <w:bCs/>
                <w:color w:val="000000"/>
                <w:szCs w:val="21"/>
              </w:rPr>
              <w:t>★QQ白名单</w:t>
            </w:r>
          </w:p>
        </w:tc>
        <w:tc>
          <w:tcPr>
            <w:tcW w:w="3558" w:type="pct"/>
            <w:tcBorders>
              <w:top w:val="single" w:color="auto" w:sz="4" w:space="0"/>
              <w:left w:val="single" w:color="auto" w:sz="4" w:space="0"/>
              <w:bottom w:val="single" w:color="auto" w:sz="4" w:space="0"/>
            </w:tcBorders>
            <w:noWrap w:val="0"/>
            <w:vAlign w:val="center"/>
          </w:tcPr>
          <w:p w14:paraId="659DA494">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支持QQ白名单功能，仅允许使用列表中的QQ号，支持PC和移动QQ应用；</w:t>
            </w:r>
          </w:p>
        </w:tc>
      </w:tr>
      <w:tr w14:paraId="60CE6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tcBorders>
              <w:top w:val="single" w:color="auto" w:sz="4" w:space="0"/>
              <w:bottom w:val="single" w:color="auto" w:sz="4" w:space="0"/>
              <w:right w:val="single" w:color="auto" w:sz="4" w:space="0"/>
            </w:tcBorders>
            <w:noWrap w:val="0"/>
            <w:vAlign w:val="center"/>
          </w:tcPr>
          <w:p w14:paraId="615137B6">
            <w:pPr>
              <w:spacing w:line="360" w:lineRule="auto"/>
              <w:contextualSpacing/>
              <w:rPr>
                <w:rFonts w:hint="eastAsia" w:ascii="宋体" w:hAnsi="宋体" w:cs="宋体"/>
                <w:bCs/>
                <w:color w:val="000000"/>
                <w:szCs w:val="21"/>
              </w:rPr>
            </w:pPr>
            <w:r>
              <w:rPr>
                <w:rFonts w:hint="eastAsia" w:ascii="宋体" w:hAnsi="宋体" w:cs="宋体"/>
                <w:bCs/>
                <w:color w:val="000000"/>
                <w:szCs w:val="21"/>
              </w:rPr>
              <w:t>邮件管理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26B393A4">
            <w:pPr>
              <w:spacing w:line="360" w:lineRule="auto"/>
              <w:contextualSpacing/>
              <w:rPr>
                <w:rFonts w:hint="eastAsia" w:ascii="宋体" w:hAnsi="宋体" w:cs="宋体"/>
                <w:bCs/>
                <w:color w:val="000000"/>
                <w:szCs w:val="21"/>
              </w:rPr>
            </w:pPr>
            <w:r>
              <w:rPr>
                <w:rFonts w:hint="eastAsia" w:ascii="宋体" w:hAnsi="宋体" w:cs="宋体"/>
                <w:bCs/>
                <w:color w:val="000000"/>
                <w:szCs w:val="21"/>
              </w:rPr>
              <w:t>Webmail管理</w:t>
            </w:r>
          </w:p>
        </w:tc>
        <w:tc>
          <w:tcPr>
            <w:tcW w:w="3558" w:type="pct"/>
            <w:tcBorders>
              <w:top w:val="single" w:color="auto" w:sz="4" w:space="0"/>
              <w:left w:val="single" w:color="auto" w:sz="4" w:space="0"/>
              <w:bottom w:val="single" w:color="auto" w:sz="4" w:space="0"/>
            </w:tcBorders>
            <w:noWrap w:val="0"/>
            <w:vAlign w:val="center"/>
          </w:tcPr>
          <w:p w14:paraId="7E026B4D">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支持允许用户登录Webmail收邮件，而禁止发送Webmail邮件的功能</w:t>
            </w:r>
          </w:p>
        </w:tc>
      </w:tr>
      <w:tr w14:paraId="24BA3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tcBorders>
              <w:top w:val="single" w:color="auto" w:sz="4" w:space="0"/>
              <w:bottom w:val="single" w:color="auto" w:sz="4" w:space="0"/>
              <w:right w:val="single" w:color="auto" w:sz="4" w:space="0"/>
            </w:tcBorders>
            <w:noWrap w:val="0"/>
            <w:vAlign w:val="center"/>
          </w:tcPr>
          <w:p w14:paraId="264FEB4C">
            <w:pPr>
              <w:spacing w:line="360" w:lineRule="auto"/>
              <w:contextualSpacing/>
              <w:rPr>
                <w:rFonts w:hint="eastAsia" w:ascii="宋体" w:hAnsi="宋体" w:cs="宋体"/>
                <w:bCs/>
                <w:color w:val="000000"/>
                <w:szCs w:val="21"/>
              </w:rPr>
            </w:pPr>
            <w:r>
              <w:rPr>
                <w:rFonts w:hint="eastAsia" w:ascii="宋体" w:hAnsi="宋体" w:cs="宋体"/>
                <w:bCs/>
                <w:color w:val="000000"/>
                <w:szCs w:val="21"/>
              </w:rPr>
              <w:t>代理管理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10281791">
            <w:pPr>
              <w:spacing w:line="360" w:lineRule="auto"/>
              <w:contextualSpacing/>
              <w:rPr>
                <w:rFonts w:hint="eastAsia" w:ascii="宋体" w:hAnsi="宋体" w:cs="宋体"/>
                <w:bCs/>
                <w:color w:val="000000"/>
                <w:szCs w:val="21"/>
              </w:rPr>
            </w:pPr>
            <w:r>
              <w:rPr>
                <w:rFonts w:hint="eastAsia" w:ascii="宋体" w:hAnsi="宋体" w:cs="宋体"/>
                <w:bCs/>
                <w:color w:val="000000"/>
                <w:szCs w:val="21"/>
              </w:rPr>
              <w:t>禁止使用代理</w:t>
            </w:r>
          </w:p>
        </w:tc>
        <w:tc>
          <w:tcPr>
            <w:tcW w:w="3558" w:type="pct"/>
            <w:tcBorders>
              <w:top w:val="single" w:color="auto" w:sz="4" w:space="0"/>
              <w:left w:val="single" w:color="auto" w:sz="4" w:space="0"/>
              <w:bottom w:val="single" w:color="auto" w:sz="4" w:space="0"/>
            </w:tcBorders>
            <w:noWrap w:val="0"/>
            <w:vAlign w:val="center"/>
          </w:tcPr>
          <w:p w14:paraId="78491783">
            <w:pPr>
              <w:spacing w:line="360" w:lineRule="auto"/>
              <w:contextualSpacing/>
              <w:rPr>
                <w:rFonts w:hint="eastAsia" w:ascii="宋体" w:hAnsi="宋体" w:cs="宋体"/>
                <w:bCs/>
                <w:color w:val="000000"/>
                <w:szCs w:val="21"/>
              </w:rPr>
            </w:pPr>
            <w:r>
              <w:rPr>
                <w:rFonts w:hint="eastAsia" w:ascii="宋体" w:hAnsi="宋体" w:cs="宋体"/>
                <w:bCs/>
                <w:color w:val="000000"/>
                <w:szCs w:val="21"/>
              </w:rPr>
              <w:t>支持代理控制功能，不允许使用外部HTTP代理，不允许使用外部SOCKS4/5代理，不允许在HTTP，SSL一些的标准端口上使用其他协议；（比如在80端口上传输非HTTP协议数据，在443端口上传输非HTTPS协议数据等）</w:t>
            </w:r>
          </w:p>
        </w:tc>
      </w:tr>
      <w:tr w14:paraId="3DCC8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1" w:type="pct"/>
            <w:tcBorders>
              <w:top w:val="single" w:color="auto" w:sz="4" w:space="0"/>
              <w:bottom w:val="single" w:color="auto" w:sz="4" w:space="0"/>
              <w:right w:val="single" w:color="auto" w:sz="4" w:space="0"/>
            </w:tcBorders>
            <w:noWrap w:val="0"/>
            <w:vAlign w:val="center"/>
          </w:tcPr>
          <w:p w14:paraId="2712C86D">
            <w:pPr>
              <w:spacing w:line="360" w:lineRule="auto"/>
              <w:contextualSpacing/>
              <w:rPr>
                <w:rFonts w:hint="eastAsia" w:ascii="宋体" w:hAnsi="宋体" w:cs="宋体"/>
                <w:bCs/>
                <w:color w:val="000000"/>
                <w:szCs w:val="21"/>
              </w:rPr>
            </w:pPr>
            <w:r>
              <w:rPr>
                <w:rFonts w:hint="eastAsia" w:ascii="宋体" w:hAnsi="宋体" w:cs="宋体"/>
                <w:bCs/>
                <w:color w:val="000000"/>
                <w:szCs w:val="21"/>
              </w:rPr>
              <w:t>流量管理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7E083FB8">
            <w:pPr>
              <w:spacing w:line="360" w:lineRule="auto"/>
              <w:contextualSpacing/>
              <w:rPr>
                <w:rFonts w:hint="eastAsia" w:ascii="宋体" w:hAnsi="宋体" w:cs="宋体"/>
                <w:bCs/>
                <w:color w:val="000000"/>
                <w:szCs w:val="21"/>
              </w:rPr>
            </w:pPr>
            <w:r>
              <w:rPr>
                <w:rFonts w:hint="eastAsia" w:ascii="宋体" w:hAnsi="宋体" w:cs="宋体"/>
                <w:bCs/>
                <w:color w:val="000000"/>
                <w:szCs w:val="21"/>
              </w:rPr>
              <w:t>P2P智能流控</w:t>
            </w:r>
          </w:p>
        </w:tc>
        <w:tc>
          <w:tcPr>
            <w:tcW w:w="3558" w:type="pct"/>
            <w:tcBorders>
              <w:top w:val="single" w:color="auto" w:sz="4" w:space="0"/>
              <w:left w:val="single" w:color="auto" w:sz="4" w:space="0"/>
              <w:bottom w:val="single" w:color="auto" w:sz="4" w:space="0"/>
            </w:tcBorders>
            <w:noWrap w:val="0"/>
            <w:vAlign w:val="center"/>
          </w:tcPr>
          <w:p w14:paraId="047F5726">
            <w:pPr>
              <w:spacing w:line="360" w:lineRule="auto"/>
              <w:contextualSpacing/>
              <w:rPr>
                <w:rFonts w:hint="eastAsia" w:ascii="宋体" w:hAnsi="宋体" w:cs="宋体"/>
                <w:bCs/>
                <w:color w:val="000000"/>
                <w:szCs w:val="21"/>
              </w:rPr>
            </w:pPr>
            <w:r>
              <w:rPr>
                <w:rFonts w:hint="eastAsia" w:ascii="宋体" w:hAnsi="宋体" w:cs="宋体"/>
                <w:bCs/>
                <w:color w:val="000000"/>
                <w:szCs w:val="21"/>
              </w:rPr>
              <w:t xml:space="preserve">支持通过抑制P2P的下行丢包，来减缓P2P的下行流量，从而解决网络出口在做流控后仍然压力较大的问题； </w:t>
            </w:r>
          </w:p>
        </w:tc>
      </w:tr>
      <w:tr w14:paraId="75031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pct"/>
            <w:tcBorders>
              <w:top w:val="single" w:color="auto" w:sz="4" w:space="0"/>
              <w:bottom w:val="single" w:color="auto" w:sz="4" w:space="0"/>
              <w:right w:val="single" w:color="auto" w:sz="4" w:space="0"/>
            </w:tcBorders>
            <w:noWrap w:val="0"/>
            <w:vAlign w:val="center"/>
          </w:tcPr>
          <w:p w14:paraId="0C2EBEED">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用户配额管理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714F5B33">
            <w:pPr>
              <w:spacing w:line="360" w:lineRule="auto"/>
              <w:contextualSpacing/>
              <w:rPr>
                <w:rFonts w:hint="eastAsia" w:ascii="宋体" w:hAnsi="宋体" w:cs="宋体"/>
                <w:bCs/>
                <w:color w:val="000000"/>
                <w:szCs w:val="21"/>
              </w:rPr>
            </w:pPr>
            <w:r>
              <w:rPr>
                <w:rFonts w:hint="eastAsia" w:ascii="宋体" w:hAnsi="宋体" w:cs="宋体"/>
                <w:bCs/>
                <w:color w:val="000000"/>
                <w:szCs w:val="21"/>
              </w:rPr>
              <w:t>★用户限额度</w:t>
            </w:r>
          </w:p>
        </w:tc>
        <w:tc>
          <w:tcPr>
            <w:tcW w:w="3558" w:type="pct"/>
            <w:tcBorders>
              <w:top w:val="single" w:color="auto" w:sz="4" w:space="0"/>
              <w:left w:val="single" w:color="auto" w:sz="4" w:space="0"/>
              <w:bottom w:val="single" w:color="auto" w:sz="4" w:space="0"/>
            </w:tcBorders>
            <w:noWrap w:val="0"/>
            <w:vAlign w:val="center"/>
          </w:tcPr>
          <w:p w14:paraId="6E1A707E">
            <w:pPr>
              <w:widowControl/>
              <w:jc w:val="left"/>
              <w:textAlignment w:val="center"/>
              <w:rPr>
                <w:rFonts w:hint="eastAsia" w:ascii="宋体" w:hAnsi="宋体" w:cs="宋体"/>
                <w:color w:val="000000"/>
                <w:sz w:val="18"/>
                <w:szCs w:val="18"/>
              </w:rPr>
            </w:pPr>
            <w:r>
              <w:rPr>
                <w:rFonts w:hint="eastAsia" w:ascii="宋体" w:hAnsi="宋体" w:cs="宋体"/>
                <w:bCs/>
                <w:color w:val="000000"/>
                <w:szCs w:val="21"/>
              </w:rPr>
              <w:t>基于“流量”、“流速”、“时长”设置配额，当配额耗尽后，将用户加入到指定的流控黑名单惩罚通道中；用户指定应用上网流速超过预设阈值后，网关自动提醒该用户；</w:t>
            </w:r>
          </w:p>
        </w:tc>
      </w:tr>
      <w:tr w14:paraId="531C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tcBorders>
              <w:top w:val="single" w:color="auto" w:sz="4" w:space="0"/>
              <w:bottom w:val="single" w:color="auto" w:sz="4" w:space="0"/>
              <w:right w:val="single" w:color="auto" w:sz="4" w:space="0"/>
            </w:tcBorders>
            <w:noWrap w:val="0"/>
            <w:vAlign w:val="center"/>
          </w:tcPr>
          <w:p w14:paraId="35605B52">
            <w:pPr>
              <w:spacing w:line="360" w:lineRule="auto"/>
              <w:contextualSpacing/>
              <w:rPr>
                <w:rFonts w:hint="eastAsia" w:ascii="宋体" w:hAnsi="宋体" w:cs="宋体"/>
                <w:bCs/>
                <w:color w:val="000000"/>
                <w:szCs w:val="21"/>
              </w:rPr>
            </w:pPr>
            <w:r>
              <w:rPr>
                <w:rFonts w:hint="eastAsia" w:ascii="宋体" w:hAnsi="宋体" w:cs="宋体"/>
                <w:bCs/>
                <w:color w:val="000000"/>
                <w:szCs w:val="21"/>
              </w:rPr>
              <w:t>上网代理模块</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2AC8D471">
            <w:pPr>
              <w:spacing w:line="360" w:lineRule="auto"/>
              <w:contextualSpacing/>
              <w:rPr>
                <w:rFonts w:hint="eastAsia" w:ascii="宋体" w:hAnsi="宋体" w:cs="宋体"/>
                <w:bCs/>
                <w:color w:val="000000"/>
                <w:szCs w:val="21"/>
              </w:rPr>
            </w:pPr>
            <w:r>
              <w:rPr>
                <w:rFonts w:hint="eastAsia" w:ascii="宋体" w:hAnsi="宋体" w:cs="宋体"/>
                <w:bCs/>
                <w:color w:val="000000"/>
                <w:szCs w:val="21"/>
              </w:rPr>
              <w:t>ICAP转发数据展示</w:t>
            </w:r>
          </w:p>
        </w:tc>
        <w:tc>
          <w:tcPr>
            <w:tcW w:w="3558" w:type="pct"/>
            <w:tcBorders>
              <w:top w:val="single" w:color="auto" w:sz="4" w:space="0"/>
              <w:left w:val="single" w:color="auto" w:sz="4" w:space="0"/>
              <w:bottom w:val="single" w:color="auto" w:sz="4" w:space="0"/>
            </w:tcBorders>
            <w:noWrap w:val="0"/>
            <w:vAlign w:val="center"/>
          </w:tcPr>
          <w:p w14:paraId="07C28C27">
            <w:pPr>
              <w:widowControl/>
              <w:jc w:val="left"/>
              <w:textAlignment w:val="center"/>
              <w:rPr>
                <w:rFonts w:hint="eastAsia" w:ascii="宋体" w:hAnsi="宋体" w:cs="宋体"/>
                <w:color w:val="000000"/>
                <w:sz w:val="18"/>
                <w:szCs w:val="18"/>
              </w:rPr>
            </w:pPr>
            <w:r>
              <w:rPr>
                <w:rFonts w:hint="eastAsia" w:ascii="宋体" w:hAnsi="宋体" w:cs="宋体"/>
                <w:bCs/>
                <w:color w:val="000000"/>
                <w:szCs w:val="21"/>
              </w:rPr>
              <w:t>支持ICAP服务器转发的流量信息（包含总请求数、成功/失败请求数、收/发字节数、拒绝请求数、排队请求数）可视化展示；</w:t>
            </w:r>
          </w:p>
        </w:tc>
      </w:tr>
      <w:tr w14:paraId="623E8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1" w:type="pct"/>
            <w:tcBorders>
              <w:top w:val="single" w:color="auto" w:sz="4" w:space="0"/>
              <w:bottom w:val="single" w:color="auto" w:sz="4" w:space="0"/>
              <w:right w:val="single" w:color="auto" w:sz="4" w:space="0"/>
            </w:tcBorders>
            <w:noWrap w:val="0"/>
            <w:vAlign w:val="center"/>
          </w:tcPr>
          <w:p w14:paraId="6E93CB88">
            <w:pPr>
              <w:spacing w:line="360" w:lineRule="auto"/>
              <w:contextualSpacing/>
              <w:rPr>
                <w:rFonts w:ascii="宋体" w:hAnsi="宋体" w:cs="宋体"/>
                <w:b/>
                <w:color w:val="000000"/>
                <w:szCs w:val="21"/>
              </w:rPr>
            </w:pPr>
            <w:r>
              <w:rPr>
                <w:rFonts w:hint="eastAsia" w:ascii="宋体" w:hAnsi="宋体" w:cs="宋体"/>
                <w:b/>
                <w:color w:val="000000"/>
                <w:szCs w:val="21"/>
              </w:rPr>
              <w:t>其他</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0705F30F">
            <w:pPr>
              <w:spacing w:line="360" w:lineRule="auto"/>
              <w:contextualSpacing/>
              <w:rPr>
                <w:rFonts w:ascii="宋体" w:hAnsi="宋体" w:cs="宋体"/>
                <w:b/>
                <w:color w:val="000000"/>
                <w:szCs w:val="21"/>
              </w:rPr>
            </w:pPr>
            <w:r>
              <w:rPr>
                <w:rFonts w:hint="eastAsia" w:ascii="宋体" w:hAnsi="宋体" w:cs="宋体"/>
                <w:b/>
                <w:color w:val="000000"/>
                <w:szCs w:val="21"/>
              </w:rPr>
              <w:t>兼容联动</w:t>
            </w:r>
          </w:p>
        </w:tc>
        <w:tc>
          <w:tcPr>
            <w:tcW w:w="3558" w:type="pct"/>
            <w:tcBorders>
              <w:top w:val="single" w:color="auto" w:sz="4" w:space="0"/>
              <w:left w:val="single" w:color="auto" w:sz="4" w:space="0"/>
              <w:bottom w:val="single" w:color="auto" w:sz="4" w:space="0"/>
            </w:tcBorders>
            <w:noWrap w:val="0"/>
            <w:vAlign w:val="center"/>
          </w:tcPr>
          <w:p w14:paraId="53E83933">
            <w:pPr>
              <w:widowControl/>
              <w:jc w:val="left"/>
              <w:textAlignment w:val="center"/>
              <w:rPr>
                <w:rFonts w:ascii="宋体" w:hAnsi="宋体" w:cs="宋体"/>
                <w:b/>
                <w:color w:val="000000"/>
                <w:szCs w:val="21"/>
              </w:rPr>
            </w:pPr>
            <w:r>
              <w:rPr>
                <w:rFonts w:hint="eastAsia" w:ascii="宋体" w:hAnsi="宋体" w:cs="宋体"/>
                <w:b/>
                <w:color w:val="000000"/>
                <w:szCs w:val="21"/>
              </w:rPr>
              <w:t>兼容医院在用的MSS服务和XDR平台，可实现远程策略下发功能。提供证明材料。</w:t>
            </w:r>
          </w:p>
        </w:tc>
      </w:tr>
    </w:tbl>
    <w:p w14:paraId="1BAFE992">
      <w:pPr>
        <w:rPr>
          <w:rFonts w:hint="eastAsia" w:ascii="Arial" w:hAnsi="Arial"/>
          <w:b/>
          <w:bCs/>
          <w:szCs w:val="32"/>
        </w:rPr>
      </w:pPr>
    </w:p>
    <w:p w14:paraId="4A9B966E">
      <w:pPr>
        <w:pStyle w:val="3"/>
        <w:numPr>
          <w:ilvl w:val="0"/>
          <w:numId w:val="3"/>
        </w:numPr>
        <w:ind w:firstLine="422"/>
        <w:rPr>
          <w:rFonts w:hint="eastAsia"/>
        </w:rPr>
      </w:pPr>
      <w:r>
        <w:rPr>
          <w:rFonts w:hint="eastAsia"/>
        </w:rPr>
        <w:t>Api网关平台</w:t>
      </w:r>
    </w:p>
    <w:tbl>
      <w:tblPr>
        <w:tblStyle w:val="9"/>
        <w:tblpPr w:leftFromText="180" w:rightFromText="180" w:vertAnchor="text" w:horzAnchor="page" w:tblpX="1472" w:tblpY="361"/>
        <w:tblOverlap w:val="never"/>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685"/>
        <w:gridCol w:w="6059"/>
      </w:tblGrid>
      <w:tr w14:paraId="0E1A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noWrap w:val="0"/>
            <w:vAlign w:val="center"/>
          </w:tcPr>
          <w:p w14:paraId="589E40C0">
            <w:pPr>
              <w:jc w:val="left"/>
              <w:rPr>
                <w:rFonts w:hint="eastAsia"/>
                <w:b/>
                <w:bCs/>
                <w:lang w:eastAsia="zh-Hans"/>
              </w:rPr>
            </w:pPr>
            <w:r>
              <w:rPr>
                <w:rFonts w:hint="eastAsia"/>
                <w:b/>
                <w:bCs/>
              </w:rPr>
              <w:t>技术指标</w:t>
            </w:r>
          </w:p>
        </w:tc>
        <w:tc>
          <w:tcPr>
            <w:tcW w:w="7744" w:type="dxa"/>
            <w:gridSpan w:val="2"/>
            <w:noWrap w:val="0"/>
            <w:vAlign w:val="center"/>
          </w:tcPr>
          <w:p w14:paraId="11D0F48A">
            <w:pPr>
              <w:jc w:val="left"/>
              <w:rPr>
                <w:rFonts w:hint="eastAsia"/>
                <w:b/>
                <w:bCs/>
                <w:lang w:eastAsia="zh-Hans"/>
              </w:rPr>
            </w:pPr>
            <w:r>
              <w:rPr>
                <w:rFonts w:hint="eastAsia"/>
                <w:b/>
                <w:bCs/>
              </w:rPr>
              <w:t>指标要求</w:t>
            </w:r>
          </w:p>
        </w:tc>
      </w:tr>
      <w:tr w14:paraId="0D00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restart"/>
            <w:noWrap w:val="0"/>
            <w:vAlign w:val="center"/>
          </w:tcPr>
          <w:p w14:paraId="108E9831">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数据开放服务资产注册</w:t>
            </w:r>
          </w:p>
        </w:tc>
        <w:tc>
          <w:tcPr>
            <w:tcW w:w="1685" w:type="dxa"/>
            <w:noWrap w:val="0"/>
            <w:vAlign w:val="center"/>
          </w:tcPr>
          <w:p w14:paraId="5C06E7B5">
            <w:pPr>
              <w:widowControl/>
              <w:jc w:val="left"/>
              <w:textAlignment w:val="center"/>
              <w:rPr>
                <w:rFonts w:ascii="宋体" w:hAnsi="宋体" w:cs="宋体"/>
                <w:bCs/>
                <w:color w:val="000000"/>
                <w:szCs w:val="21"/>
              </w:rPr>
            </w:pPr>
            <w:r>
              <w:rPr>
                <w:rFonts w:hint="eastAsia" w:ascii="宋体" w:hAnsi="宋体" w:cs="宋体"/>
                <w:bCs/>
                <w:color w:val="000000"/>
                <w:szCs w:val="21"/>
              </w:rPr>
              <w:t>基础要求</w:t>
            </w:r>
          </w:p>
        </w:tc>
        <w:tc>
          <w:tcPr>
            <w:tcW w:w="6059" w:type="dxa"/>
            <w:noWrap w:val="0"/>
            <w:vAlign w:val="center"/>
          </w:tcPr>
          <w:p w14:paraId="71DD632C">
            <w:pPr>
              <w:jc w:val="left"/>
              <w:rPr>
                <w:b/>
                <w:bCs/>
              </w:rPr>
            </w:pPr>
            <w:r>
              <w:rPr>
                <w:rFonts w:hint="eastAsia"/>
                <w:b/>
                <w:bCs/>
              </w:rPr>
              <w:t>软件提供一年原厂服务</w:t>
            </w:r>
            <w:r>
              <w:rPr>
                <w:rFonts w:hint="eastAsia" w:ascii="宋体" w:hAnsi="宋体" w:cs="宋体"/>
                <w:b/>
                <w:color w:val="000000"/>
                <w:szCs w:val="21"/>
              </w:rPr>
              <w:t>和软件升级服务，</w:t>
            </w:r>
            <w:r>
              <w:rPr>
                <w:rFonts w:hint="eastAsia" w:ascii="宋体" w:hAnsi="宋体" w:cs="宋体"/>
                <w:b/>
                <w:color w:val="FF0000"/>
                <w:szCs w:val="21"/>
              </w:rPr>
              <w:t>所有系统接入全部免费。</w:t>
            </w:r>
          </w:p>
        </w:tc>
      </w:tr>
      <w:tr w14:paraId="1D9C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7E87A19D">
            <w:pPr>
              <w:widowControl/>
              <w:jc w:val="left"/>
              <w:textAlignment w:val="center"/>
              <w:rPr>
                <w:rFonts w:hint="eastAsia" w:ascii="宋体" w:hAnsi="宋体" w:cs="宋体"/>
                <w:bCs/>
                <w:color w:val="000000"/>
                <w:szCs w:val="21"/>
              </w:rPr>
            </w:pPr>
          </w:p>
        </w:tc>
        <w:tc>
          <w:tcPr>
            <w:tcW w:w="1685" w:type="dxa"/>
            <w:noWrap w:val="0"/>
            <w:vAlign w:val="center"/>
          </w:tcPr>
          <w:p w14:paraId="2504E3DD">
            <w:pPr>
              <w:widowControl/>
              <w:jc w:val="left"/>
              <w:textAlignment w:val="center"/>
              <w:rPr>
                <w:rFonts w:hint="eastAsia" w:ascii="宋体" w:hAnsi="宋体" w:cs="宋体"/>
                <w:bCs/>
                <w:color w:val="000000"/>
                <w:szCs w:val="21"/>
              </w:rPr>
            </w:pPr>
            <w:r>
              <w:rPr>
                <w:rFonts w:hint="eastAsia" w:ascii="宋体" w:hAnsi="宋体" w:cs="宋体"/>
                <w:bCs/>
                <w:color w:val="000000"/>
                <w:szCs w:val="21"/>
              </w:rPr>
              <w:t>系统信息注册</w:t>
            </w:r>
          </w:p>
        </w:tc>
        <w:tc>
          <w:tcPr>
            <w:tcW w:w="6059" w:type="dxa"/>
            <w:noWrap w:val="0"/>
            <w:vAlign w:val="center"/>
          </w:tcPr>
          <w:p w14:paraId="587DAE5F">
            <w:pPr>
              <w:widowControl/>
              <w:jc w:val="left"/>
              <w:textAlignment w:val="center"/>
              <w:rPr>
                <w:rFonts w:hint="eastAsia" w:ascii="宋体" w:hAnsi="宋体" w:cs="宋体"/>
                <w:bCs/>
                <w:color w:val="000000"/>
                <w:szCs w:val="21"/>
              </w:rPr>
            </w:pPr>
            <w:r>
              <w:rPr>
                <w:rFonts w:hint="eastAsia" w:ascii="宋体" w:hAnsi="宋体" w:cs="宋体"/>
                <w:bCs/>
                <w:color w:val="000000"/>
                <w:szCs w:val="21"/>
              </w:rPr>
              <w:t>系统信息支持新建、编辑、变更、删除、禁用/恢复；多条件组合搜索、查看、系统列表信息呈现、系统发布</w:t>
            </w:r>
          </w:p>
        </w:tc>
      </w:tr>
      <w:tr w14:paraId="6888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2D75573B">
            <w:pPr>
              <w:widowControl/>
              <w:jc w:val="left"/>
              <w:textAlignment w:val="center"/>
              <w:rPr>
                <w:rFonts w:hint="eastAsia" w:ascii="宋体" w:hAnsi="宋体" w:cs="宋体"/>
                <w:bCs/>
                <w:color w:val="000000"/>
                <w:szCs w:val="21"/>
              </w:rPr>
            </w:pPr>
          </w:p>
        </w:tc>
        <w:tc>
          <w:tcPr>
            <w:tcW w:w="1685" w:type="dxa"/>
            <w:vMerge w:val="restart"/>
            <w:noWrap w:val="0"/>
            <w:vAlign w:val="center"/>
          </w:tcPr>
          <w:p w14:paraId="44BFB4B5">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API服务注册</w:t>
            </w:r>
          </w:p>
        </w:tc>
        <w:tc>
          <w:tcPr>
            <w:tcW w:w="6059" w:type="dxa"/>
            <w:noWrap w:val="0"/>
            <w:vAlign w:val="center"/>
          </w:tcPr>
          <w:p w14:paraId="47887ADF">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支持服务分类管理</w:t>
            </w:r>
          </w:p>
        </w:tc>
      </w:tr>
      <w:tr w14:paraId="269F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6A7AA7C8">
            <w:pPr>
              <w:widowControl/>
              <w:jc w:val="left"/>
              <w:textAlignment w:val="center"/>
              <w:rPr>
                <w:rFonts w:hint="eastAsia" w:ascii="宋体" w:hAnsi="宋体" w:cs="宋体"/>
                <w:bCs/>
                <w:color w:val="000000"/>
                <w:szCs w:val="21"/>
              </w:rPr>
            </w:pPr>
          </w:p>
        </w:tc>
        <w:tc>
          <w:tcPr>
            <w:tcW w:w="1685" w:type="dxa"/>
            <w:vMerge w:val="continue"/>
            <w:noWrap w:val="0"/>
            <w:vAlign w:val="center"/>
          </w:tcPr>
          <w:p w14:paraId="2707E291">
            <w:pPr>
              <w:widowControl/>
              <w:jc w:val="left"/>
              <w:textAlignment w:val="center"/>
              <w:rPr>
                <w:rFonts w:hint="eastAsia" w:ascii="宋体" w:hAnsi="宋体" w:cs="宋体"/>
                <w:bCs/>
                <w:color w:val="000000"/>
                <w:szCs w:val="21"/>
              </w:rPr>
            </w:pPr>
          </w:p>
        </w:tc>
        <w:tc>
          <w:tcPr>
            <w:tcW w:w="6059" w:type="dxa"/>
            <w:noWrap w:val="0"/>
            <w:vAlign w:val="center"/>
          </w:tcPr>
          <w:p w14:paraId="3BEE1CB7">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支持Webservice服务模式</w:t>
            </w:r>
          </w:p>
        </w:tc>
      </w:tr>
      <w:tr w14:paraId="21E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7AD41F8E">
            <w:pPr>
              <w:widowControl/>
              <w:jc w:val="left"/>
              <w:textAlignment w:val="center"/>
              <w:rPr>
                <w:rFonts w:hint="eastAsia" w:ascii="宋体" w:hAnsi="宋体" w:cs="宋体"/>
                <w:bCs/>
                <w:color w:val="000000"/>
                <w:szCs w:val="21"/>
              </w:rPr>
            </w:pPr>
          </w:p>
        </w:tc>
        <w:tc>
          <w:tcPr>
            <w:tcW w:w="1685" w:type="dxa"/>
            <w:vMerge w:val="continue"/>
            <w:noWrap w:val="0"/>
            <w:vAlign w:val="center"/>
          </w:tcPr>
          <w:p w14:paraId="7E11369C">
            <w:pPr>
              <w:widowControl/>
              <w:jc w:val="left"/>
              <w:textAlignment w:val="center"/>
              <w:rPr>
                <w:rFonts w:hint="eastAsia" w:ascii="宋体" w:hAnsi="宋体" w:cs="宋体"/>
                <w:bCs/>
                <w:color w:val="000000"/>
                <w:szCs w:val="21"/>
              </w:rPr>
            </w:pPr>
          </w:p>
        </w:tc>
        <w:tc>
          <w:tcPr>
            <w:tcW w:w="6059" w:type="dxa"/>
            <w:noWrap/>
            <w:vAlign w:val="center"/>
          </w:tcPr>
          <w:p w14:paraId="29808358">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支持Restful服务模式</w:t>
            </w:r>
          </w:p>
        </w:tc>
      </w:tr>
      <w:tr w14:paraId="70E2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20D1C11D">
            <w:pPr>
              <w:widowControl/>
              <w:jc w:val="left"/>
              <w:textAlignment w:val="center"/>
              <w:rPr>
                <w:rFonts w:hint="eastAsia" w:ascii="宋体" w:hAnsi="宋体" w:cs="宋体"/>
                <w:bCs/>
                <w:color w:val="000000"/>
                <w:szCs w:val="21"/>
              </w:rPr>
            </w:pPr>
          </w:p>
        </w:tc>
        <w:tc>
          <w:tcPr>
            <w:tcW w:w="1685" w:type="dxa"/>
            <w:vMerge w:val="continue"/>
            <w:noWrap w:val="0"/>
            <w:vAlign w:val="center"/>
          </w:tcPr>
          <w:p w14:paraId="55374095">
            <w:pPr>
              <w:widowControl/>
              <w:jc w:val="left"/>
              <w:textAlignment w:val="center"/>
              <w:rPr>
                <w:rFonts w:hint="eastAsia" w:ascii="宋体" w:hAnsi="宋体" w:cs="宋体"/>
                <w:bCs/>
                <w:color w:val="000000"/>
                <w:szCs w:val="21"/>
              </w:rPr>
            </w:pPr>
          </w:p>
        </w:tc>
        <w:tc>
          <w:tcPr>
            <w:tcW w:w="6059" w:type="dxa"/>
            <w:noWrap w:val="0"/>
            <w:vAlign w:val="center"/>
          </w:tcPr>
          <w:p w14:paraId="728F00A5">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支持指定的SDK服务模式</w:t>
            </w:r>
          </w:p>
        </w:tc>
      </w:tr>
      <w:tr w14:paraId="554D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5B6ACAB7">
            <w:pPr>
              <w:widowControl/>
              <w:jc w:val="left"/>
              <w:textAlignment w:val="center"/>
              <w:rPr>
                <w:rFonts w:hint="eastAsia" w:ascii="宋体" w:hAnsi="宋体" w:cs="宋体"/>
                <w:bCs/>
                <w:color w:val="000000"/>
                <w:szCs w:val="21"/>
              </w:rPr>
            </w:pPr>
          </w:p>
        </w:tc>
        <w:tc>
          <w:tcPr>
            <w:tcW w:w="1685" w:type="dxa"/>
            <w:vMerge w:val="continue"/>
            <w:noWrap w:val="0"/>
            <w:vAlign w:val="center"/>
          </w:tcPr>
          <w:p w14:paraId="2126FF74">
            <w:pPr>
              <w:widowControl/>
              <w:jc w:val="left"/>
              <w:textAlignment w:val="center"/>
              <w:rPr>
                <w:rFonts w:hint="eastAsia" w:ascii="宋体" w:hAnsi="宋体" w:cs="宋体"/>
                <w:bCs/>
                <w:color w:val="000000"/>
                <w:szCs w:val="21"/>
              </w:rPr>
            </w:pPr>
          </w:p>
        </w:tc>
        <w:tc>
          <w:tcPr>
            <w:tcW w:w="6059" w:type="dxa"/>
            <w:noWrap w:val="0"/>
            <w:vAlign w:val="center"/>
          </w:tcPr>
          <w:p w14:paraId="6E614669">
            <w:pPr>
              <w:widowControl/>
              <w:jc w:val="left"/>
              <w:textAlignment w:val="center"/>
              <w:rPr>
                <w:rFonts w:hint="eastAsia" w:ascii="宋体" w:hAnsi="宋体" w:cs="宋体"/>
                <w:bCs/>
                <w:color w:val="000000"/>
                <w:szCs w:val="21"/>
              </w:rPr>
            </w:pPr>
            <w:r>
              <w:rPr>
                <w:rFonts w:hint="eastAsia" w:ascii="宋体" w:hAnsi="宋体" w:cs="宋体"/>
                <w:bCs/>
                <w:color w:val="000000"/>
                <w:szCs w:val="21"/>
              </w:rPr>
              <w:t>特殊SDK的定制开发</w:t>
            </w:r>
          </w:p>
        </w:tc>
      </w:tr>
      <w:tr w14:paraId="7EC8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15076F08">
            <w:pPr>
              <w:widowControl/>
              <w:jc w:val="left"/>
              <w:textAlignment w:val="center"/>
              <w:rPr>
                <w:rFonts w:hint="eastAsia" w:ascii="宋体" w:hAnsi="宋体" w:cs="宋体"/>
                <w:bCs/>
                <w:color w:val="000000"/>
                <w:szCs w:val="21"/>
              </w:rPr>
            </w:pPr>
          </w:p>
        </w:tc>
        <w:tc>
          <w:tcPr>
            <w:tcW w:w="1685" w:type="dxa"/>
            <w:vMerge w:val="restart"/>
            <w:noWrap w:val="0"/>
            <w:vAlign w:val="center"/>
          </w:tcPr>
          <w:p w14:paraId="7E12336C">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API接口注册</w:t>
            </w:r>
          </w:p>
        </w:tc>
        <w:tc>
          <w:tcPr>
            <w:tcW w:w="6059" w:type="dxa"/>
            <w:noWrap w:val="0"/>
            <w:vAlign w:val="center"/>
          </w:tcPr>
          <w:p w14:paraId="63FBA929">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支持按接口状态、接口描述内容、接口名称等多条件组合检索查看</w:t>
            </w:r>
          </w:p>
        </w:tc>
      </w:tr>
      <w:tr w14:paraId="768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25" w:type="dxa"/>
            <w:vMerge w:val="continue"/>
            <w:noWrap w:val="0"/>
            <w:vAlign w:val="center"/>
          </w:tcPr>
          <w:p w14:paraId="312F83BA">
            <w:pPr>
              <w:widowControl/>
              <w:jc w:val="left"/>
              <w:textAlignment w:val="center"/>
              <w:rPr>
                <w:rFonts w:hint="eastAsia" w:ascii="宋体" w:hAnsi="宋体" w:cs="宋体"/>
                <w:bCs/>
                <w:color w:val="000000"/>
                <w:szCs w:val="21"/>
              </w:rPr>
            </w:pPr>
          </w:p>
        </w:tc>
        <w:tc>
          <w:tcPr>
            <w:tcW w:w="1685" w:type="dxa"/>
            <w:vMerge w:val="continue"/>
            <w:noWrap w:val="0"/>
            <w:vAlign w:val="center"/>
          </w:tcPr>
          <w:p w14:paraId="0F2B6AE3">
            <w:pPr>
              <w:widowControl/>
              <w:jc w:val="left"/>
              <w:textAlignment w:val="center"/>
              <w:rPr>
                <w:rFonts w:hint="eastAsia" w:ascii="宋体" w:hAnsi="宋体" w:cs="宋体"/>
                <w:bCs/>
                <w:color w:val="000000"/>
                <w:szCs w:val="21"/>
              </w:rPr>
            </w:pPr>
          </w:p>
        </w:tc>
        <w:tc>
          <w:tcPr>
            <w:tcW w:w="6059" w:type="dxa"/>
            <w:noWrap w:val="0"/>
            <w:vAlign w:val="center"/>
          </w:tcPr>
          <w:p w14:paraId="1D9D5740">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手工录入接口的出入参，定义内容包含基本信息（服务地址、服务名称、超时时间、接口名称、接口编号、接口分类、接口描述等）、入参参数定义（参数位置支持4种：Path、Query、Header、Body，支持内容格式：json、xml（支持CDATA，复杂类型的定义及管控））、出参参数定义，出入参示例预览、支持出入参数导入</w:t>
            </w:r>
          </w:p>
        </w:tc>
      </w:tr>
      <w:tr w14:paraId="249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25" w:type="dxa"/>
            <w:vMerge w:val="continue"/>
            <w:noWrap w:val="0"/>
            <w:vAlign w:val="center"/>
          </w:tcPr>
          <w:p w14:paraId="30775CAD">
            <w:pPr>
              <w:widowControl/>
              <w:jc w:val="left"/>
              <w:textAlignment w:val="center"/>
              <w:rPr>
                <w:rFonts w:hint="eastAsia" w:ascii="宋体" w:hAnsi="宋体" w:cs="宋体"/>
                <w:bCs/>
                <w:color w:val="000000"/>
                <w:szCs w:val="21"/>
              </w:rPr>
            </w:pPr>
          </w:p>
        </w:tc>
        <w:tc>
          <w:tcPr>
            <w:tcW w:w="1685" w:type="dxa"/>
            <w:vMerge w:val="continue"/>
            <w:noWrap w:val="0"/>
            <w:vAlign w:val="center"/>
          </w:tcPr>
          <w:p w14:paraId="48D4589A">
            <w:pPr>
              <w:widowControl/>
              <w:jc w:val="left"/>
              <w:textAlignment w:val="center"/>
              <w:rPr>
                <w:rFonts w:hint="eastAsia" w:ascii="宋体" w:hAnsi="宋体" w:cs="宋体"/>
                <w:bCs/>
                <w:color w:val="000000"/>
                <w:szCs w:val="21"/>
              </w:rPr>
            </w:pPr>
          </w:p>
        </w:tc>
        <w:tc>
          <w:tcPr>
            <w:tcW w:w="6059" w:type="dxa"/>
            <w:noWrap w:val="0"/>
            <w:vAlign w:val="center"/>
          </w:tcPr>
          <w:p w14:paraId="6EDFF2C5">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支持基于代码示例导入参数，自动解析出入参名称、位置等信息</w:t>
            </w:r>
          </w:p>
        </w:tc>
      </w:tr>
      <w:tr w14:paraId="1E06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25" w:type="dxa"/>
            <w:vMerge w:val="continue"/>
            <w:noWrap w:val="0"/>
            <w:vAlign w:val="center"/>
          </w:tcPr>
          <w:p w14:paraId="77690AFF">
            <w:pPr>
              <w:widowControl/>
              <w:jc w:val="left"/>
              <w:textAlignment w:val="center"/>
              <w:rPr>
                <w:rFonts w:hint="eastAsia" w:ascii="宋体" w:hAnsi="宋体" w:cs="宋体"/>
                <w:bCs/>
                <w:color w:val="000000"/>
                <w:szCs w:val="21"/>
              </w:rPr>
            </w:pPr>
          </w:p>
        </w:tc>
        <w:tc>
          <w:tcPr>
            <w:tcW w:w="1685" w:type="dxa"/>
            <w:vMerge w:val="continue"/>
            <w:noWrap w:val="0"/>
            <w:vAlign w:val="center"/>
          </w:tcPr>
          <w:p w14:paraId="3847114C">
            <w:pPr>
              <w:widowControl/>
              <w:jc w:val="left"/>
              <w:textAlignment w:val="center"/>
              <w:rPr>
                <w:rFonts w:hint="eastAsia" w:ascii="宋体" w:hAnsi="宋体" w:cs="宋体"/>
                <w:bCs/>
                <w:color w:val="000000"/>
                <w:szCs w:val="21"/>
              </w:rPr>
            </w:pPr>
          </w:p>
        </w:tc>
        <w:tc>
          <w:tcPr>
            <w:tcW w:w="6059" w:type="dxa"/>
            <w:noWrap w:val="0"/>
            <w:vAlign w:val="center"/>
          </w:tcPr>
          <w:p w14:paraId="2AD9FF1C">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支持基于Excel表模版导入参数，自动解析出入参名称、位置等信息</w:t>
            </w:r>
          </w:p>
        </w:tc>
      </w:tr>
      <w:tr w14:paraId="1669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25" w:type="dxa"/>
            <w:vMerge w:val="continue"/>
            <w:noWrap w:val="0"/>
            <w:vAlign w:val="center"/>
          </w:tcPr>
          <w:p w14:paraId="1F2126EE">
            <w:pPr>
              <w:widowControl/>
              <w:jc w:val="left"/>
              <w:textAlignment w:val="center"/>
              <w:rPr>
                <w:rFonts w:hint="eastAsia" w:ascii="宋体" w:hAnsi="宋体" w:cs="宋体"/>
                <w:bCs/>
                <w:color w:val="000000"/>
                <w:szCs w:val="21"/>
              </w:rPr>
            </w:pPr>
          </w:p>
        </w:tc>
        <w:tc>
          <w:tcPr>
            <w:tcW w:w="1685" w:type="dxa"/>
            <w:vMerge w:val="continue"/>
            <w:noWrap w:val="0"/>
            <w:vAlign w:val="center"/>
          </w:tcPr>
          <w:p w14:paraId="36F3FF51">
            <w:pPr>
              <w:widowControl/>
              <w:jc w:val="left"/>
              <w:textAlignment w:val="center"/>
              <w:rPr>
                <w:rFonts w:hint="eastAsia" w:ascii="宋体" w:hAnsi="宋体" w:cs="宋体"/>
                <w:bCs/>
                <w:color w:val="000000"/>
                <w:szCs w:val="21"/>
              </w:rPr>
            </w:pPr>
          </w:p>
        </w:tc>
        <w:tc>
          <w:tcPr>
            <w:tcW w:w="6059" w:type="dxa"/>
            <w:noWrap w:val="0"/>
            <w:vAlign w:val="center"/>
          </w:tcPr>
          <w:p w14:paraId="1EB00600">
            <w:pPr>
              <w:widowControl/>
              <w:jc w:val="left"/>
              <w:textAlignment w:val="center"/>
              <w:rPr>
                <w:rFonts w:hint="eastAsia" w:ascii="宋体" w:hAnsi="宋体" w:cs="宋体"/>
                <w:bCs/>
                <w:color w:val="000000"/>
                <w:szCs w:val="21"/>
              </w:rPr>
            </w:pPr>
            <w:r>
              <w:rPr>
                <w:rFonts w:hint="eastAsia" w:ascii="宋体" w:hAnsi="宋体" w:cs="宋体"/>
                <w:bCs/>
                <w:color w:val="000000"/>
                <w:szCs w:val="21"/>
              </w:rPr>
              <w:t>接口列表支持按接口名称、接口编号、路径/方法/模式 系统名称、服务名称、接口分类、接口状态、关联应用数、禁用时间等呈现数据</w:t>
            </w:r>
          </w:p>
        </w:tc>
      </w:tr>
      <w:tr w14:paraId="77F3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C5216BC">
            <w:pPr>
              <w:widowControl/>
              <w:jc w:val="left"/>
              <w:textAlignment w:val="center"/>
              <w:rPr>
                <w:rFonts w:hint="eastAsia" w:ascii="宋体" w:hAnsi="宋体" w:cs="宋体"/>
                <w:bCs/>
                <w:color w:val="000000"/>
                <w:szCs w:val="21"/>
              </w:rPr>
            </w:pPr>
          </w:p>
        </w:tc>
        <w:tc>
          <w:tcPr>
            <w:tcW w:w="1685" w:type="dxa"/>
            <w:vMerge w:val="continue"/>
            <w:noWrap w:val="0"/>
            <w:vAlign w:val="center"/>
          </w:tcPr>
          <w:p w14:paraId="2ECB9196">
            <w:pPr>
              <w:widowControl/>
              <w:jc w:val="left"/>
              <w:textAlignment w:val="center"/>
              <w:rPr>
                <w:rFonts w:hint="eastAsia" w:ascii="宋体" w:hAnsi="宋体" w:cs="宋体"/>
                <w:bCs/>
                <w:color w:val="000000"/>
                <w:szCs w:val="21"/>
              </w:rPr>
            </w:pPr>
          </w:p>
        </w:tc>
        <w:tc>
          <w:tcPr>
            <w:tcW w:w="6059" w:type="dxa"/>
            <w:noWrap w:val="0"/>
            <w:vAlign w:val="center"/>
          </w:tcPr>
          <w:p w14:paraId="667D76BF">
            <w:pPr>
              <w:widowControl/>
              <w:jc w:val="left"/>
              <w:textAlignment w:val="center"/>
              <w:rPr>
                <w:rFonts w:hint="eastAsia" w:ascii="宋体" w:hAnsi="宋体" w:cs="宋体"/>
                <w:bCs/>
                <w:color w:val="000000"/>
                <w:szCs w:val="21"/>
              </w:rPr>
            </w:pPr>
            <w:r>
              <w:rPr>
                <w:rFonts w:hint="eastAsia" w:ascii="宋体" w:hAnsi="宋体" w:cs="宋体"/>
                <w:bCs/>
                <w:color w:val="000000"/>
                <w:szCs w:val="21"/>
              </w:rPr>
              <w:t>接口有效期自动化判别，用于自动关闭接口服务以及接口授权的判断</w:t>
            </w:r>
          </w:p>
        </w:tc>
      </w:tr>
      <w:tr w14:paraId="338A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5363DBFD">
            <w:pPr>
              <w:widowControl/>
              <w:jc w:val="left"/>
              <w:textAlignment w:val="center"/>
              <w:rPr>
                <w:rFonts w:hint="eastAsia" w:ascii="宋体" w:hAnsi="宋体" w:cs="宋体"/>
                <w:bCs/>
                <w:color w:val="000000"/>
                <w:szCs w:val="21"/>
              </w:rPr>
            </w:pPr>
          </w:p>
        </w:tc>
        <w:tc>
          <w:tcPr>
            <w:tcW w:w="1685" w:type="dxa"/>
            <w:vMerge w:val="continue"/>
            <w:noWrap w:val="0"/>
            <w:vAlign w:val="center"/>
          </w:tcPr>
          <w:p w14:paraId="2E59687D">
            <w:pPr>
              <w:widowControl/>
              <w:jc w:val="left"/>
              <w:textAlignment w:val="center"/>
              <w:rPr>
                <w:rFonts w:hint="eastAsia" w:ascii="宋体" w:hAnsi="宋体" w:cs="宋体"/>
                <w:bCs/>
                <w:color w:val="000000"/>
                <w:szCs w:val="21"/>
              </w:rPr>
            </w:pPr>
          </w:p>
        </w:tc>
        <w:tc>
          <w:tcPr>
            <w:tcW w:w="6059" w:type="dxa"/>
            <w:noWrap w:val="0"/>
            <w:vAlign w:val="center"/>
          </w:tcPr>
          <w:p w14:paraId="16381B4B">
            <w:pPr>
              <w:widowControl/>
              <w:jc w:val="left"/>
              <w:textAlignment w:val="center"/>
              <w:rPr>
                <w:rFonts w:hint="eastAsia" w:ascii="宋体" w:hAnsi="宋体" w:cs="宋体"/>
                <w:bCs/>
                <w:color w:val="000000"/>
                <w:szCs w:val="21"/>
              </w:rPr>
            </w:pPr>
            <w:r>
              <w:rPr>
                <w:rFonts w:hint="eastAsia" w:ascii="宋体" w:hAnsi="宋体" w:cs="宋体"/>
                <w:bCs/>
                <w:color w:val="000000"/>
                <w:szCs w:val="21"/>
              </w:rPr>
              <w:t>接口拓扑支持图形化呈现接口、系统、服务、应用间的关联性</w:t>
            </w:r>
          </w:p>
        </w:tc>
      </w:tr>
      <w:tr w14:paraId="53E6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716F0753">
            <w:pPr>
              <w:widowControl/>
              <w:jc w:val="left"/>
              <w:textAlignment w:val="center"/>
              <w:rPr>
                <w:rFonts w:hint="eastAsia" w:ascii="宋体" w:hAnsi="宋体" w:cs="宋体"/>
                <w:bCs/>
                <w:color w:val="000000"/>
                <w:szCs w:val="21"/>
              </w:rPr>
            </w:pPr>
          </w:p>
        </w:tc>
        <w:tc>
          <w:tcPr>
            <w:tcW w:w="1685" w:type="dxa"/>
            <w:vMerge w:val="restart"/>
            <w:noWrap w:val="0"/>
            <w:vAlign w:val="center"/>
          </w:tcPr>
          <w:p w14:paraId="6DC6A7EA">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应用信息注册</w:t>
            </w:r>
          </w:p>
        </w:tc>
        <w:tc>
          <w:tcPr>
            <w:tcW w:w="6059" w:type="dxa"/>
            <w:noWrap w:val="0"/>
            <w:vAlign w:val="center"/>
          </w:tcPr>
          <w:p w14:paraId="42B82550">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应用信息支持新建、编辑、变更、删除、禁用/恢复、多条件组合搜索、查看、应用列表信息呈现、应用发布、证书下载</w:t>
            </w:r>
          </w:p>
        </w:tc>
      </w:tr>
      <w:tr w14:paraId="4780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9121C9E">
            <w:pPr>
              <w:widowControl/>
              <w:jc w:val="left"/>
              <w:textAlignment w:val="center"/>
              <w:rPr>
                <w:rFonts w:hint="eastAsia" w:ascii="宋体" w:hAnsi="宋体" w:cs="宋体"/>
                <w:bCs/>
                <w:color w:val="000000"/>
                <w:szCs w:val="21"/>
              </w:rPr>
            </w:pPr>
          </w:p>
        </w:tc>
        <w:tc>
          <w:tcPr>
            <w:tcW w:w="1685" w:type="dxa"/>
            <w:vMerge w:val="continue"/>
            <w:noWrap w:val="0"/>
            <w:vAlign w:val="center"/>
          </w:tcPr>
          <w:p w14:paraId="269782B3">
            <w:pPr>
              <w:widowControl/>
              <w:jc w:val="left"/>
              <w:textAlignment w:val="center"/>
              <w:rPr>
                <w:rFonts w:hint="eastAsia" w:ascii="宋体" w:hAnsi="宋体" w:cs="宋体"/>
                <w:bCs/>
                <w:color w:val="000000"/>
                <w:szCs w:val="21"/>
              </w:rPr>
            </w:pPr>
          </w:p>
        </w:tc>
        <w:tc>
          <w:tcPr>
            <w:tcW w:w="6059" w:type="dxa"/>
            <w:noWrap w:val="0"/>
            <w:vAlign w:val="center"/>
          </w:tcPr>
          <w:p w14:paraId="511228B7">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应用访问有效期设置，支持自动化判别系统状态</w:t>
            </w:r>
          </w:p>
        </w:tc>
      </w:tr>
      <w:tr w14:paraId="1557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627FA8B8">
            <w:pPr>
              <w:widowControl/>
              <w:jc w:val="left"/>
              <w:textAlignment w:val="center"/>
              <w:rPr>
                <w:rFonts w:hint="eastAsia" w:ascii="宋体" w:hAnsi="宋体" w:cs="宋体"/>
                <w:bCs/>
                <w:color w:val="000000"/>
                <w:szCs w:val="21"/>
              </w:rPr>
            </w:pPr>
          </w:p>
        </w:tc>
        <w:tc>
          <w:tcPr>
            <w:tcW w:w="1685" w:type="dxa"/>
            <w:vMerge w:val="continue"/>
            <w:noWrap w:val="0"/>
            <w:vAlign w:val="center"/>
          </w:tcPr>
          <w:p w14:paraId="6981401A">
            <w:pPr>
              <w:widowControl/>
              <w:jc w:val="left"/>
              <w:textAlignment w:val="center"/>
              <w:rPr>
                <w:rFonts w:hint="eastAsia" w:ascii="宋体" w:hAnsi="宋体" w:cs="宋体"/>
                <w:bCs/>
                <w:color w:val="000000"/>
                <w:szCs w:val="21"/>
              </w:rPr>
            </w:pPr>
          </w:p>
        </w:tc>
        <w:tc>
          <w:tcPr>
            <w:tcW w:w="6059" w:type="dxa"/>
            <w:noWrap w:val="0"/>
            <w:vAlign w:val="center"/>
          </w:tcPr>
          <w:p w14:paraId="13A9ECAA">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支持接口文档下载功能</w:t>
            </w:r>
          </w:p>
        </w:tc>
      </w:tr>
      <w:tr w14:paraId="0621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72894414">
            <w:pPr>
              <w:widowControl/>
              <w:jc w:val="left"/>
              <w:textAlignment w:val="center"/>
              <w:rPr>
                <w:rFonts w:hint="eastAsia" w:ascii="宋体" w:hAnsi="宋体" w:cs="宋体"/>
                <w:bCs/>
                <w:color w:val="000000"/>
                <w:szCs w:val="21"/>
              </w:rPr>
            </w:pPr>
          </w:p>
        </w:tc>
        <w:tc>
          <w:tcPr>
            <w:tcW w:w="1685" w:type="dxa"/>
            <w:vMerge w:val="continue"/>
            <w:noWrap w:val="0"/>
            <w:vAlign w:val="center"/>
          </w:tcPr>
          <w:p w14:paraId="331F94E4">
            <w:pPr>
              <w:widowControl/>
              <w:jc w:val="left"/>
              <w:textAlignment w:val="center"/>
              <w:rPr>
                <w:rFonts w:hint="eastAsia" w:ascii="宋体" w:hAnsi="宋体" w:cs="宋体"/>
                <w:bCs/>
                <w:color w:val="000000"/>
                <w:szCs w:val="21"/>
              </w:rPr>
            </w:pPr>
          </w:p>
        </w:tc>
        <w:tc>
          <w:tcPr>
            <w:tcW w:w="6059" w:type="dxa"/>
            <w:noWrap w:val="0"/>
            <w:vAlign w:val="center"/>
          </w:tcPr>
          <w:p w14:paraId="6A8244B3">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支持应用标识、应用证书的生成、证书下载</w:t>
            </w:r>
          </w:p>
        </w:tc>
      </w:tr>
      <w:tr w14:paraId="6A84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5A569BE5">
            <w:pPr>
              <w:widowControl/>
              <w:jc w:val="left"/>
              <w:textAlignment w:val="center"/>
              <w:rPr>
                <w:rFonts w:hint="eastAsia" w:ascii="宋体" w:hAnsi="宋体" w:cs="宋体"/>
                <w:bCs/>
                <w:color w:val="000000"/>
                <w:szCs w:val="21"/>
              </w:rPr>
            </w:pPr>
          </w:p>
        </w:tc>
        <w:tc>
          <w:tcPr>
            <w:tcW w:w="1685" w:type="dxa"/>
            <w:vMerge w:val="continue"/>
            <w:noWrap w:val="0"/>
            <w:vAlign w:val="center"/>
          </w:tcPr>
          <w:p w14:paraId="169EC045">
            <w:pPr>
              <w:widowControl/>
              <w:jc w:val="left"/>
              <w:textAlignment w:val="center"/>
              <w:rPr>
                <w:rFonts w:hint="eastAsia" w:ascii="宋体" w:hAnsi="宋体" w:cs="宋体"/>
                <w:bCs/>
                <w:color w:val="000000"/>
                <w:szCs w:val="21"/>
              </w:rPr>
            </w:pPr>
          </w:p>
        </w:tc>
        <w:tc>
          <w:tcPr>
            <w:tcW w:w="6059" w:type="dxa"/>
            <w:noWrap w:val="0"/>
            <w:vAlign w:val="center"/>
          </w:tcPr>
          <w:p w14:paraId="75674C78">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支持选择接口，编辑接口、删除接口、查看接口、接口出入参示例查看、接口列表信息呈现、生效版本查看</w:t>
            </w:r>
          </w:p>
        </w:tc>
      </w:tr>
      <w:tr w14:paraId="0930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32817FD6">
            <w:pPr>
              <w:spacing w:line="360" w:lineRule="auto"/>
              <w:contextualSpacing/>
              <w:rPr>
                <w:rFonts w:hint="eastAsia" w:ascii="宋体" w:hAnsi="宋体" w:cs="宋体"/>
                <w:bCs/>
                <w:color w:val="000000"/>
                <w:szCs w:val="21"/>
              </w:rPr>
            </w:pPr>
          </w:p>
        </w:tc>
        <w:tc>
          <w:tcPr>
            <w:tcW w:w="1685" w:type="dxa"/>
            <w:vMerge w:val="continue"/>
            <w:noWrap w:val="0"/>
            <w:vAlign w:val="center"/>
          </w:tcPr>
          <w:p w14:paraId="3AE2A5FD">
            <w:pPr>
              <w:spacing w:line="360" w:lineRule="auto"/>
              <w:contextualSpacing/>
              <w:rPr>
                <w:rFonts w:hint="eastAsia" w:ascii="宋体" w:hAnsi="宋体" w:cs="宋体"/>
                <w:bCs/>
                <w:color w:val="000000"/>
                <w:szCs w:val="21"/>
              </w:rPr>
            </w:pPr>
          </w:p>
        </w:tc>
        <w:tc>
          <w:tcPr>
            <w:tcW w:w="6059" w:type="dxa"/>
            <w:noWrap w:val="0"/>
            <w:vAlign w:val="center"/>
          </w:tcPr>
          <w:p w14:paraId="7905BB1B">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支持自定义参数设置（修改父节点、修改节点名称）、出入参格式设置</w:t>
            </w:r>
          </w:p>
        </w:tc>
      </w:tr>
      <w:tr w14:paraId="4D51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13ACA8A5">
            <w:pPr>
              <w:spacing w:line="360" w:lineRule="auto"/>
              <w:contextualSpacing/>
              <w:rPr>
                <w:rFonts w:hint="eastAsia" w:ascii="宋体" w:hAnsi="宋体" w:cs="宋体"/>
                <w:bCs/>
                <w:color w:val="000000"/>
                <w:szCs w:val="21"/>
              </w:rPr>
            </w:pPr>
          </w:p>
        </w:tc>
        <w:tc>
          <w:tcPr>
            <w:tcW w:w="1685" w:type="dxa"/>
            <w:vMerge w:val="continue"/>
            <w:noWrap w:val="0"/>
            <w:vAlign w:val="center"/>
          </w:tcPr>
          <w:p w14:paraId="120AC4B7">
            <w:pPr>
              <w:spacing w:line="360" w:lineRule="auto"/>
              <w:contextualSpacing/>
              <w:rPr>
                <w:rFonts w:hint="eastAsia" w:ascii="宋体" w:hAnsi="宋体" w:cs="宋体"/>
                <w:bCs/>
                <w:color w:val="000000"/>
                <w:szCs w:val="21"/>
              </w:rPr>
            </w:pPr>
          </w:p>
        </w:tc>
        <w:tc>
          <w:tcPr>
            <w:tcW w:w="6059" w:type="dxa"/>
            <w:noWrap w:val="0"/>
            <w:vAlign w:val="center"/>
          </w:tcPr>
          <w:p w14:paraId="20AD5244">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支持根据应用部署位置不同，生成对接文档进行差异化生成，用于满足医院不同业务访问形态下的对接方式</w:t>
            </w:r>
          </w:p>
        </w:tc>
      </w:tr>
      <w:tr w14:paraId="419C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25" w:type="dxa"/>
            <w:vMerge w:val="restart"/>
            <w:noWrap w:val="0"/>
            <w:vAlign w:val="center"/>
          </w:tcPr>
          <w:p w14:paraId="643EAEFF">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数据开放服务聚合</w:t>
            </w:r>
          </w:p>
        </w:tc>
        <w:tc>
          <w:tcPr>
            <w:tcW w:w="1685" w:type="dxa"/>
            <w:noWrap w:val="0"/>
            <w:vAlign w:val="center"/>
          </w:tcPr>
          <w:p w14:paraId="0ED427EA">
            <w:pPr>
              <w:widowControl/>
              <w:jc w:val="left"/>
              <w:textAlignment w:val="center"/>
              <w:rPr>
                <w:rFonts w:hint="eastAsia" w:ascii="宋体" w:hAnsi="宋体" w:cs="宋体"/>
                <w:b/>
                <w:color w:val="FF0000"/>
                <w:szCs w:val="21"/>
              </w:rPr>
            </w:pPr>
            <w:r>
              <w:rPr>
                <w:rFonts w:hint="eastAsia" w:ascii="宋体" w:hAnsi="宋体" w:cs="宋体"/>
                <w:b/>
                <w:color w:val="FF0000"/>
                <w:szCs w:val="21"/>
              </w:rPr>
              <w:t>服务路由</w:t>
            </w:r>
          </w:p>
        </w:tc>
        <w:tc>
          <w:tcPr>
            <w:tcW w:w="6059" w:type="dxa"/>
            <w:noWrap w:val="0"/>
            <w:vAlign w:val="center"/>
          </w:tcPr>
          <w:p w14:paraId="312ACD1A">
            <w:pPr>
              <w:widowControl/>
              <w:jc w:val="left"/>
              <w:textAlignment w:val="center"/>
              <w:rPr>
                <w:rFonts w:hint="eastAsia" w:ascii="宋体" w:hAnsi="宋体" w:cs="宋体"/>
                <w:b/>
                <w:color w:val="FF0000"/>
                <w:szCs w:val="21"/>
              </w:rPr>
            </w:pPr>
            <w:r>
              <w:rPr>
                <w:rFonts w:hint="eastAsia" w:ascii="宋体" w:hAnsi="宋体" w:cs="宋体"/>
                <w:b/>
                <w:color w:val="FF0000"/>
                <w:szCs w:val="21"/>
              </w:rPr>
              <w:t>数据开放服务升级过程中，通过访问入参数值进行新老服务路由，实现一个访问对应两套服务的协议转换和自动路由。</w:t>
            </w:r>
          </w:p>
        </w:tc>
      </w:tr>
      <w:tr w14:paraId="4FC2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25" w:type="dxa"/>
            <w:vMerge w:val="continue"/>
            <w:noWrap w:val="0"/>
            <w:vAlign w:val="center"/>
          </w:tcPr>
          <w:p w14:paraId="43B15743">
            <w:pPr>
              <w:widowControl/>
              <w:jc w:val="left"/>
              <w:textAlignment w:val="center"/>
              <w:rPr>
                <w:rFonts w:hint="eastAsia" w:ascii="宋体" w:hAnsi="宋体" w:cs="宋体"/>
                <w:bCs/>
                <w:color w:val="000000"/>
                <w:szCs w:val="21"/>
              </w:rPr>
            </w:pPr>
          </w:p>
        </w:tc>
        <w:tc>
          <w:tcPr>
            <w:tcW w:w="1685" w:type="dxa"/>
            <w:noWrap w:val="0"/>
            <w:vAlign w:val="center"/>
          </w:tcPr>
          <w:p w14:paraId="58090254">
            <w:pPr>
              <w:widowControl/>
              <w:jc w:val="left"/>
              <w:textAlignment w:val="center"/>
              <w:rPr>
                <w:rFonts w:hint="eastAsia" w:ascii="宋体" w:hAnsi="宋体" w:cs="宋体"/>
                <w:b/>
                <w:color w:val="FF0000"/>
                <w:szCs w:val="21"/>
              </w:rPr>
            </w:pPr>
            <w:r>
              <w:rPr>
                <w:rFonts w:hint="eastAsia" w:ascii="宋体" w:hAnsi="宋体" w:cs="宋体"/>
                <w:b/>
                <w:color w:val="FF0000"/>
                <w:szCs w:val="21"/>
              </w:rPr>
              <w:t>横向聚合</w:t>
            </w:r>
          </w:p>
        </w:tc>
        <w:tc>
          <w:tcPr>
            <w:tcW w:w="6059" w:type="dxa"/>
            <w:noWrap w:val="0"/>
            <w:vAlign w:val="center"/>
          </w:tcPr>
          <w:p w14:paraId="05900E0C">
            <w:pPr>
              <w:widowControl/>
              <w:jc w:val="left"/>
              <w:textAlignment w:val="center"/>
              <w:rPr>
                <w:rFonts w:hint="eastAsia" w:ascii="宋体" w:hAnsi="宋体" w:cs="宋体"/>
                <w:b/>
                <w:color w:val="FF0000"/>
                <w:szCs w:val="21"/>
              </w:rPr>
            </w:pPr>
            <w:r>
              <w:rPr>
                <w:rFonts w:hint="eastAsia" w:ascii="宋体" w:hAnsi="宋体" w:cs="宋体"/>
                <w:b/>
                <w:color w:val="FF0000"/>
                <w:szCs w:val="21"/>
              </w:rPr>
              <w:t>数据开放服务升级过程中，对新老两个数据服务的返回结果，按参数进行内容组合，以兼容关联业务的数据访问。</w:t>
            </w:r>
          </w:p>
        </w:tc>
      </w:tr>
      <w:tr w14:paraId="503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restart"/>
            <w:noWrap w:val="0"/>
            <w:vAlign w:val="center"/>
          </w:tcPr>
          <w:p w14:paraId="53C4828A">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★数据开放服务授权管理</w:t>
            </w:r>
          </w:p>
        </w:tc>
        <w:tc>
          <w:tcPr>
            <w:tcW w:w="1685" w:type="dxa"/>
            <w:noWrap w:val="0"/>
            <w:vAlign w:val="center"/>
          </w:tcPr>
          <w:p w14:paraId="0F7DA841">
            <w:pPr>
              <w:widowControl/>
              <w:jc w:val="left"/>
              <w:textAlignment w:val="center"/>
              <w:rPr>
                <w:rFonts w:hint="eastAsia" w:ascii="宋体" w:hAnsi="宋体" w:cs="宋体"/>
                <w:bCs/>
                <w:color w:val="000000"/>
                <w:szCs w:val="21"/>
              </w:rPr>
            </w:pPr>
            <w:r>
              <w:rPr>
                <w:rFonts w:hint="eastAsia" w:ascii="宋体" w:hAnsi="宋体" w:cs="宋体"/>
                <w:bCs/>
                <w:color w:val="000000"/>
                <w:szCs w:val="21"/>
              </w:rPr>
              <w:t>系统开放服务审核</w:t>
            </w:r>
          </w:p>
        </w:tc>
        <w:tc>
          <w:tcPr>
            <w:tcW w:w="6059" w:type="dxa"/>
            <w:noWrap w:val="0"/>
            <w:vAlign w:val="center"/>
          </w:tcPr>
          <w:p w14:paraId="1AD5DBA7">
            <w:pPr>
              <w:widowControl/>
              <w:jc w:val="left"/>
              <w:textAlignment w:val="center"/>
              <w:rPr>
                <w:rFonts w:hint="eastAsia" w:ascii="宋体" w:hAnsi="宋体" w:cs="宋体"/>
                <w:bCs/>
                <w:color w:val="000000"/>
                <w:szCs w:val="21"/>
              </w:rPr>
            </w:pPr>
            <w:r>
              <w:rPr>
                <w:rFonts w:hint="eastAsia" w:ascii="宋体" w:hAnsi="宋体" w:cs="宋体"/>
                <w:bCs/>
                <w:color w:val="000000"/>
                <w:szCs w:val="21"/>
              </w:rPr>
              <w:t>系统访问有效期设置，支持自动化判别系统状态；</w:t>
            </w:r>
          </w:p>
        </w:tc>
      </w:tr>
      <w:tr w14:paraId="375F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F9E3B7A">
            <w:pPr>
              <w:widowControl/>
              <w:jc w:val="left"/>
              <w:textAlignment w:val="center"/>
              <w:rPr>
                <w:rFonts w:hint="eastAsia" w:ascii="宋体" w:hAnsi="宋体" w:cs="宋体"/>
                <w:bCs/>
                <w:color w:val="000000"/>
                <w:szCs w:val="21"/>
              </w:rPr>
            </w:pPr>
          </w:p>
        </w:tc>
        <w:tc>
          <w:tcPr>
            <w:tcW w:w="1685" w:type="dxa"/>
            <w:noWrap w:val="0"/>
            <w:vAlign w:val="center"/>
          </w:tcPr>
          <w:p w14:paraId="340F5751">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API服务开放审核</w:t>
            </w:r>
          </w:p>
        </w:tc>
        <w:tc>
          <w:tcPr>
            <w:tcW w:w="6059" w:type="dxa"/>
            <w:noWrap w:val="0"/>
            <w:vAlign w:val="center"/>
          </w:tcPr>
          <w:p w14:paraId="5A24BCCB">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支持访问有效期设置，支持自动化判别服务状态，支持服务部署位置配置</w:t>
            </w:r>
          </w:p>
        </w:tc>
      </w:tr>
      <w:tr w14:paraId="5D32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CAC9A9D">
            <w:pPr>
              <w:widowControl/>
              <w:jc w:val="left"/>
              <w:textAlignment w:val="center"/>
              <w:rPr>
                <w:rFonts w:hint="eastAsia" w:ascii="宋体" w:hAnsi="宋体" w:cs="宋体"/>
                <w:bCs/>
                <w:color w:val="000000"/>
                <w:szCs w:val="21"/>
              </w:rPr>
            </w:pPr>
          </w:p>
        </w:tc>
        <w:tc>
          <w:tcPr>
            <w:tcW w:w="1685" w:type="dxa"/>
            <w:noWrap w:val="0"/>
            <w:vAlign w:val="center"/>
          </w:tcPr>
          <w:p w14:paraId="46711D2C">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API接口开放审核</w:t>
            </w:r>
          </w:p>
        </w:tc>
        <w:tc>
          <w:tcPr>
            <w:tcW w:w="6059" w:type="dxa"/>
            <w:noWrap w:val="0"/>
            <w:vAlign w:val="center"/>
          </w:tcPr>
          <w:p w14:paraId="26B6D069">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支持关闭、开启单一接口的参数校验</w:t>
            </w:r>
          </w:p>
        </w:tc>
      </w:tr>
      <w:tr w14:paraId="685C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37FFE623">
            <w:pPr>
              <w:widowControl/>
              <w:jc w:val="left"/>
              <w:textAlignment w:val="center"/>
              <w:rPr>
                <w:rFonts w:hint="eastAsia" w:ascii="宋体" w:hAnsi="宋体" w:cs="宋体"/>
                <w:bCs/>
                <w:color w:val="000000"/>
                <w:szCs w:val="21"/>
              </w:rPr>
            </w:pPr>
          </w:p>
        </w:tc>
        <w:tc>
          <w:tcPr>
            <w:tcW w:w="1685" w:type="dxa"/>
            <w:noWrap w:val="0"/>
            <w:vAlign w:val="center"/>
          </w:tcPr>
          <w:p w14:paraId="3F1728F3">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API接口变更审核</w:t>
            </w:r>
          </w:p>
        </w:tc>
        <w:tc>
          <w:tcPr>
            <w:tcW w:w="6059" w:type="dxa"/>
            <w:noWrap w:val="0"/>
            <w:vAlign w:val="center"/>
          </w:tcPr>
          <w:p w14:paraId="4BAFF7DC">
            <w:pPr>
              <w:widowControl/>
              <w:jc w:val="left"/>
              <w:textAlignment w:val="center"/>
              <w:rPr>
                <w:rFonts w:hint="eastAsia" w:ascii="宋体" w:hAnsi="宋体" w:cs="宋体"/>
                <w:bCs/>
                <w:color w:val="000000"/>
                <w:szCs w:val="21"/>
              </w:rPr>
            </w:pPr>
            <w:r>
              <w:rPr>
                <w:rFonts w:hint="eastAsia" w:ascii="宋体" w:hAnsi="宋体" w:cs="宋体"/>
                <w:bCs/>
                <w:color w:val="000000"/>
                <w:szCs w:val="21"/>
              </w:rPr>
              <w:t>对接口的参数增删改行为进行审核，变更信息自动归属到厂商、系统、服务下，形成资产变更台账</w:t>
            </w:r>
          </w:p>
        </w:tc>
      </w:tr>
      <w:tr w14:paraId="0CC5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25" w:type="dxa"/>
            <w:vMerge w:val="continue"/>
            <w:noWrap w:val="0"/>
            <w:vAlign w:val="center"/>
          </w:tcPr>
          <w:p w14:paraId="2C699BC0">
            <w:pPr>
              <w:widowControl/>
              <w:jc w:val="left"/>
              <w:textAlignment w:val="center"/>
              <w:rPr>
                <w:rFonts w:hint="eastAsia" w:ascii="宋体" w:hAnsi="宋体" w:cs="宋体"/>
                <w:bCs/>
                <w:color w:val="000000"/>
                <w:szCs w:val="21"/>
              </w:rPr>
            </w:pPr>
          </w:p>
        </w:tc>
        <w:tc>
          <w:tcPr>
            <w:tcW w:w="1685" w:type="dxa"/>
            <w:noWrap w:val="0"/>
            <w:vAlign w:val="center"/>
          </w:tcPr>
          <w:p w14:paraId="721DDE5E">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API接口禁用</w:t>
            </w:r>
          </w:p>
        </w:tc>
        <w:tc>
          <w:tcPr>
            <w:tcW w:w="6059" w:type="dxa"/>
            <w:noWrap w:val="0"/>
            <w:vAlign w:val="center"/>
          </w:tcPr>
          <w:p w14:paraId="3ED4B3FD">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支持按照厂商、系统、服务等维度批量禁用接口，也支持单个接口的禁用</w:t>
            </w:r>
          </w:p>
        </w:tc>
      </w:tr>
      <w:tr w14:paraId="03FF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25" w:type="dxa"/>
            <w:vMerge w:val="continue"/>
            <w:noWrap w:val="0"/>
            <w:vAlign w:val="center"/>
          </w:tcPr>
          <w:p w14:paraId="448F3737">
            <w:pPr>
              <w:widowControl/>
              <w:jc w:val="left"/>
              <w:textAlignment w:val="center"/>
              <w:rPr>
                <w:rFonts w:hint="eastAsia" w:ascii="宋体" w:hAnsi="宋体" w:cs="宋体"/>
                <w:bCs/>
                <w:color w:val="000000"/>
                <w:szCs w:val="21"/>
              </w:rPr>
            </w:pPr>
          </w:p>
        </w:tc>
        <w:tc>
          <w:tcPr>
            <w:tcW w:w="1685" w:type="dxa"/>
            <w:noWrap w:val="0"/>
            <w:vAlign w:val="center"/>
          </w:tcPr>
          <w:p w14:paraId="11536C31">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应用申请API接口审核</w:t>
            </w:r>
          </w:p>
        </w:tc>
        <w:tc>
          <w:tcPr>
            <w:tcW w:w="6059" w:type="dxa"/>
            <w:noWrap w:val="0"/>
            <w:vAlign w:val="center"/>
          </w:tcPr>
          <w:p w14:paraId="6E74E2E6">
            <w:pPr>
              <w:widowControl/>
              <w:jc w:val="left"/>
              <w:textAlignment w:val="center"/>
              <w:rPr>
                <w:rFonts w:hint="eastAsia" w:ascii="宋体" w:hAnsi="宋体" w:cs="宋体"/>
                <w:bCs/>
                <w:color w:val="000000"/>
                <w:szCs w:val="21"/>
              </w:rPr>
            </w:pPr>
            <w:r>
              <w:rPr>
                <w:rFonts w:hint="eastAsia" w:ascii="宋体" w:hAnsi="宋体" w:cs="宋体"/>
                <w:bCs/>
                <w:color w:val="000000"/>
                <w:szCs w:val="21"/>
              </w:rPr>
              <w:t>1、应用厂商基本信息确认</w:t>
            </w:r>
            <w:r>
              <w:rPr>
                <w:rFonts w:hint="eastAsia" w:ascii="宋体" w:hAnsi="宋体" w:cs="宋体"/>
                <w:bCs/>
                <w:color w:val="000000"/>
                <w:szCs w:val="21"/>
              </w:rPr>
              <w:br w:type="textWrapping"/>
            </w:r>
            <w:r>
              <w:rPr>
                <w:rFonts w:hint="eastAsia" w:ascii="宋体" w:hAnsi="宋体" w:cs="宋体"/>
                <w:bCs/>
                <w:color w:val="000000"/>
                <w:szCs w:val="21"/>
              </w:rPr>
              <w:t>2、应用申请使用的API服务-接口信息是否正确，授权周期的设置（永久，指定结束时间的授权）</w:t>
            </w:r>
            <w:r>
              <w:rPr>
                <w:rFonts w:hint="eastAsia" w:ascii="宋体" w:hAnsi="宋体" w:cs="宋体"/>
                <w:bCs/>
                <w:color w:val="000000"/>
                <w:szCs w:val="21"/>
              </w:rPr>
              <w:br w:type="textWrapping"/>
            </w:r>
            <w:r>
              <w:rPr>
                <w:rFonts w:hint="eastAsia" w:ascii="宋体" w:hAnsi="宋体" w:cs="宋体"/>
                <w:bCs/>
                <w:color w:val="000000"/>
                <w:szCs w:val="21"/>
              </w:rPr>
              <w:t>3、API接口参数级别的授权，支持参数字段加密、屏蔽、常量复制等出参策略的设置。</w:t>
            </w:r>
            <w:r>
              <w:rPr>
                <w:rFonts w:hint="eastAsia" w:ascii="宋体" w:hAnsi="宋体" w:cs="宋体"/>
                <w:bCs/>
                <w:color w:val="000000"/>
                <w:szCs w:val="21"/>
              </w:rPr>
              <w:br w:type="textWrapping"/>
            </w:r>
            <w:r>
              <w:rPr>
                <w:rFonts w:hint="eastAsia" w:ascii="宋体" w:hAnsi="宋体" w:cs="宋体"/>
                <w:bCs/>
                <w:color w:val="000000"/>
                <w:szCs w:val="21"/>
              </w:rPr>
              <w:t>4、支持审批意见批注，拒绝的原因厂商可见，方便整改，比如患者信息请求必须单一患者请求，入参中必须带非数组形式的患者ID。</w:t>
            </w:r>
          </w:p>
        </w:tc>
      </w:tr>
      <w:tr w14:paraId="7F47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225" w:type="dxa"/>
            <w:vMerge w:val="continue"/>
            <w:noWrap w:val="0"/>
            <w:vAlign w:val="center"/>
          </w:tcPr>
          <w:p w14:paraId="356007EB">
            <w:pPr>
              <w:widowControl/>
              <w:jc w:val="left"/>
              <w:textAlignment w:val="center"/>
              <w:rPr>
                <w:rFonts w:hint="eastAsia" w:ascii="宋体" w:hAnsi="宋体" w:cs="宋体"/>
                <w:bCs/>
                <w:color w:val="000000"/>
                <w:szCs w:val="21"/>
              </w:rPr>
            </w:pPr>
          </w:p>
        </w:tc>
        <w:tc>
          <w:tcPr>
            <w:tcW w:w="1685" w:type="dxa"/>
            <w:noWrap w:val="0"/>
            <w:vAlign w:val="center"/>
          </w:tcPr>
          <w:p w14:paraId="0F55CBE6">
            <w:pPr>
              <w:widowControl/>
              <w:jc w:val="left"/>
              <w:textAlignment w:val="center"/>
              <w:rPr>
                <w:rFonts w:hint="eastAsia" w:ascii="宋体" w:hAnsi="宋体" w:cs="宋体"/>
                <w:bCs/>
                <w:color w:val="000000"/>
                <w:szCs w:val="21"/>
              </w:rPr>
            </w:pPr>
            <w:r>
              <w:rPr>
                <w:rFonts w:hint="eastAsia" w:ascii="宋体" w:hAnsi="宋体" w:cs="宋体"/>
                <w:bCs/>
                <w:color w:val="000000"/>
                <w:szCs w:val="21"/>
              </w:rPr>
              <w:t>待审信息</w:t>
            </w:r>
          </w:p>
        </w:tc>
        <w:tc>
          <w:tcPr>
            <w:tcW w:w="6059" w:type="dxa"/>
            <w:noWrap w:val="0"/>
            <w:vAlign w:val="center"/>
          </w:tcPr>
          <w:p w14:paraId="58D49E1D">
            <w:pPr>
              <w:widowControl/>
              <w:jc w:val="left"/>
              <w:textAlignment w:val="center"/>
              <w:rPr>
                <w:rFonts w:hint="eastAsia" w:ascii="宋体" w:hAnsi="宋体" w:cs="宋体"/>
                <w:bCs/>
                <w:color w:val="000000"/>
                <w:szCs w:val="21"/>
              </w:rPr>
            </w:pPr>
            <w:r>
              <w:rPr>
                <w:rFonts w:hint="eastAsia" w:ascii="宋体" w:hAnsi="宋体" w:cs="宋体"/>
                <w:bCs/>
                <w:color w:val="000000"/>
                <w:szCs w:val="21"/>
              </w:rPr>
              <w:t>首页待审信息的工作界面，数据开放审核确保数据开放的合理性和规范性</w:t>
            </w:r>
            <w:r>
              <w:rPr>
                <w:rFonts w:hint="eastAsia" w:ascii="宋体" w:hAnsi="宋体" w:cs="宋体"/>
                <w:bCs/>
                <w:color w:val="000000"/>
                <w:szCs w:val="21"/>
              </w:rPr>
              <w:br w:type="textWrapping"/>
            </w:r>
            <w:r>
              <w:rPr>
                <w:rFonts w:hint="eastAsia" w:ascii="宋体" w:hAnsi="宋体" w:cs="宋体"/>
                <w:bCs/>
                <w:color w:val="000000"/>
                <w:szCs w:val="21"/>
              </w:rPr>
              <w:t>1、通过字段排序、按资产名称/厂商简称进行模糊检索等功能，帮助审核者在待审工作中定向找到优先级高的审核任务</w:t>
            </w:r>
            <w:r>
              <w:rPr>
                <w:rFonts w:hint="eastAsia" w:ascii="宋体" w:hAnsi="宋体" w:cs="宋体"/>
                <w:bCs/>
                <w:color w:val="000000"/>
                <w:szCs w:val="21"/>
              </w:rPr>
              <w:br w:type="textWrapping"/>
            </w:r>
            <w:r>
              <w:rPr>
                <w:rFonts w:hint="eastAsia" w:ascii="宋体" w:hAnsi="宋体" w:cs="宋体"/>
                <w:bCs/>
                <w:color w:val="000000"/>
                <w:szCs w:val="21"/>
              </w:rPr>
              <w:t>2、接口审核支持审核评论，留下具体审核意见，供后期安全管理审计</w:t>
            </w:r>
            <w:r>
              <w:rPr>
                <w:rFonts w:hint="eastAsia" w:ascii="宋体" w:hAnsi="宋体" w:cs="宋体"/>
                <w:bCs/>
                <w:color w:val="000000"/>
                <w:szCs w:val="21"/>
              </w:rPr>
              <w:br w:type="textWrapping"/>
            </w:r>
            <w:r>
              <w:rPr>
                <w:rFonts w:hint="eastAsia" w:ascii="宋体" w:hAnsi="宋体" w:cs="宋体"/>
                <w:bCs/>
                <w:color w:val="000000"/>
                <w:szCs w:val="21"/>
              </w:rPr>
              <w:t>3、支持应用信息审核、系统信息审核，主要包括：支持单接口审核、批量审核操作、支持只看待审记录、支持查看待审接口清单、支持接口授权有效期</w:t>
            </w:r>
            <w:r>
              <w:rPr>
                <w:rFonts w:hint="eastAsia" w:ascii="宋体" w:hAnsi="宋体" w:cs="宋体"/>
                <w:bCs/>
                <w:color w:val="000000"/>
                <w:szCs w:val="21"/>
              </w:rPr>
              <w:br w:type="textWrapping"/>
            </w:r>
            <w:r>
              <w:rPr>
                <w:rFonts w:hint="eastAsia" w:ascii="宋体" w:hAnsi="宋体" w:cs="宋体"/>
                <w:bCs/>
                <w:color w:val="000000"/>
                <w:szCs w:val="21"/>
              </w:rPr>
              <w:t>4、支持根据实际情况设置接口出参策略（数据加密、字段屏蔽、常量赋值等）</w:t>
            </w:r>
          </w:p>
        </w:tc>
      </w:tr>
      <w:tr w14:paraId="29C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225" w:type="dxa"/>
            <w:vMerge w:val="continue"/>
            <w:noWrap w:val="0"/>
            <w:vAlign w:val="center"/>
          </w:tcPr>
          <w:p w14:paraId="590E61D5">
            <w:pPr>
              <w:widowControl/>
              <w:jc w:val="left"/>
              <w:textAlignment w:val="center"/>
              <w:rPr>
                <w:rFonts w:hint="eastAsia" w:ascii="宋体" w:hAnsi="宋体" w:cs="宋体"/>
                <w:bCs/>
                <w:color w:val="000000"/>
                <w:szCs w:val="21"/>
              </w:rPr>
            </w:pPr>
          </w:p>
        </w:tc>
        <w:tc>
          <w:tcPr>
            <w:tcW w:w="1685" w:type="dxa"/>
            <w:noWrap w:val="0"/>
            <w:vAlign w:val="center"/>
          </w:tcPr>
          <w:p w14:paraId="4A51EEAF">
            <w:pPr>
              <w:widowControl/>
              <w:jc w:val="left"/>
              <w:textAlignment w:val="center"/>
              <w:rPr>
                <w:rFonts w:hint="eastAsia" w:ascii="宋体" w:hAnsi="宋体" w:cs="宋体"/>
                <w:bCs/>
                <w:color w:val="000000"/>
                <w:szCs w:val="21"/>
              </w:rPr>
            </w:pPr>
            <w:r>
              <w:rPr>
                <w:rFonts w:hint="eastAsia" w:ascii="宋体" w:hAnsi="宋体" w:cs="宋体"/>
                <w:bCs/>
                <w:color w:val="000000"/>
                <w:szCs w:val="21"/>
              </w:rPr>
              <w:t>已审信息</w:t>
            </w:r>
          </w:p>
        </w:tc>
        <w:tc>
          <w:tcPr>
            <w:tcW w:w="6059" w:type="dxa"/>
            <w:noWrap w:val="0"/>
            <w:vAlign w:val="center"/>
          </w:tcPr>
          <w:p w14:paraId="1894D931">
            <w:pPr>
              <w:widowControl/>
              <w:jc w:val="left"/>
              <w:textAlignment w:val="center"/>
              <w:rPr>
                <w:rFonts w:hint="eastAsia" w:ascii="宋体" w:hAnsi="宋体" w:cs="宋体"/>
                <w:bCs/>
                <w:color w:val="000000"/>
                <w:szCs w:val="21"/>
              </w:rPr>
            </w:pPr>
            <w:r>
              <w:rPr>
                <w:rFonts w:hint="eastAsia" w:ascii="宋体" w:hAnsi="宋体" w:cs="宋体"/>
                <w:bCs/>
                <w:color w:val="000000"/>
                <w:szCs w:val="21"/>
              </w:rPr>
              <w:t>已经审核过的系统接口服务、应用记录查询，作为数据接口开放审核溯源和审计依据</w:t>
            </w:r>
            <w:r>
              <w:rPr>
                <w:rFonts w:hint="eastAsia" w:ascii="宋体" w:hAnsi="宋体" w:cs="宋体"/>
                <w:bCs/>
                <w:color w:val="000000"/>
                <w:szCs w:val="21"/>
              </w:rPr>
              <w:br w:type="textWrapping"/>
            </w:r>
            <w:r>
              <w:rPr>
                <w:rFonts w:hint="eastAsia" w:ascii="宋体" w:hAnsi="宋体" w:cs="宋体"/>
                <w:bCs/>
                <w:color w:val="000000"/>
                <w:szCs w:val="21"/>
              </w:rPr>
              <w:t>1、支持字段排序、按资产名称/厂商简称进行模糊检索</w:t>
            </w:r>
            <w:r>
              <w:rPr>
                <w:rFonts w:hint="eastAsia" w:ascii="宋体" w:hAnsi="宋体" w:cs="宋体"/>
                <w:bCs/>
                <w:color w:val="000000"/>
                <w:szCs w:val="21"/>
              </w:rPr>
              <w:br w:type="textWrapping"/>
            </w:r>
            <w:r>
              <w:rPr>
                <w:rFonts w:hint="eastAsia" w:ascii="宋体" w:hAnsi="宋体" w:cs="宋体"/>
                <w:bCs/>
                <w:color w:val="000000"/>
                <w:szCs w:val="21"/>
              </w:rPr>
              <w:t>2、接口列表支持按审核结果快速筛选接口，查看接口基本信息、接口参数信息及审核意见信息</w:t>
            </w:r>
            <w:r>
              <w:rPr>
                <w:rFonts w:hint="eastAsia" w:ascii="宋体" w:hAnsi="宋体" w:cs="宋体"/>
                <w:bCs/>
                <w:color w:val="000000"/>
                <w:szCs w:val="21"/>
              </w:rPr>
              <w:br w:type="textWrapping"/>
            </w:r>
            <w:r>
              <w:rPr>
                <w:rFonts w:hint="eastAsia" w:ascii="宋体" w:hAnsi="宋体" w:cs="宋体"/>
                <w:bCs/>
                <w:color w:val="000000"/>
                <w:szCs w:val="21"/>
              </w:rPr>
              <w:t>3、接口预览时，提供快捷的接口切换入口</w:t>
            </w:r>
          </w:p>
        </w:tc>
      </w:tr>
      <w:tr w14:paraId="28C3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5" w:type="dxa"/>
            <w:vMerge w:val="restart"/>
            <w:noWrap w:val="0"/>
            <w:vAlign w:val="center"/>
          </w:tcPr>
          <w:p w14:paraId="39672EE5">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数据开放服务资产使用状态</w:t>
            </w:r>
          </w:p>
        </w:tc>
        <w:tc>
          <w:tcPr>
            <w:tcW w:w="1685" w:type="dxa"/>
            <w:noWrap w:val="0"/>
            <w:vAlign w:val="center"/>
          </w:tcPr>
          <w:p w14:paraId="0F94D3D0">
            <w:pPr>
              <w:widowControl/>
              <w:jc w:val="left"/>
              <w:textAlignment w:val="center"/>
              <w:rPr>
                <w:rFonts w:hint="eastAsia" w:ascii="宋体" w:hAnsi="宋体" w:cs="宋体"/>
                <w:bCs/>
                <w:color w:val="000000"/>
                <w:szCs w:val="21"/>
              </w:rPr>
            </w:pPr>
            <w:r>
              <w:rPr>
                <w:rFonts w:hint="eastAsia" w:ascii="宋体" w:hAnsi="宋体" w:cs="宋体"/>
                <w:bCs/>
                <w:color w:val="000000"/>
                <w:szCs w:val="21"/>
              </w:rPr>
              <w:t>流量概览</w:t>
            </w:r>
          </w:p>
        </w:tc>
        <w:tc>
          <w:tcPr>
            <w:tcW w:w="6059" w:type="dxa"/>
            <w:noWrap w:val="0"/>
            <w:vAlign w:val="center"/>
          </w:tcPr>
          <w:p w14:paraId="2A0EF25A">
            <w:pPr>
              <w:widowControl/>
              <w:jc w:val="left"/>
              <w:textAlignment w:val="center"/>
              <w:rPr>
                <w:rFonts w:hint="eastAsia" w:ascii="宋体" w:hAnsi="宋体" w:cs="宋体"/>
                <w:bCs/>
                <w:color w:val="000000"/>
                <w:szCs w:val="21"/>
              </w:rPr>
            </w:pPr>
            <w:r>
              <w:rPr>
                <w:rFonts w:hint="eastAsia" w:ascii="宋体" w:hAnsi="宋体" w:cs="宋体"/>
                <w:bCs/>
                <w:color w:val="000000"/>
                <w:szCs w:val="21"/>
              </w:rPr>
              <w:t>平台提供应用API服务访问流量信息，主要包含：累计、本年、本月、本日的访问量，支持以年、月、日维度呈现数据，支持按系统分布、按应用分布、按API服务分布、API接口分布维度呈现数据，提供访问量列表下载功能用于支撑使用方进行其他维度的分析</w:t>
            </w:r>
          </w:p>
        </w:tc>
      </w:tr>
      <w:tr w14:paraId="1850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25" w:type="dxa"/>
            <w:vMerge w:val="continue"/>
            <w:noWrap w:val="0"/>
            <w:vAlign w:val="center"/>
          </w:tcPr>
          <w:p w14:paraId="117823FD">
            <w:pPr>
              <w:widowControl/>
              <w:jc w:val="left"/>
              <w:textAlignment w:val="center"/>
              <w:rPr>
                <w:rFonts w:hint="eastAsia" w:ascii="宋体" w:hAnsi="宋体" w:cs="宋体"/>
                <w:bCs/>
                <w:color w:val="000000"/>
                <w:szCs w:val="21"/>
              </w:rPr>
            </w:pPr>
          </w:p>
        </w:tc>
        <w:tc>
          <w:tcPr>
            <w:tcW w:w="1685" w:type="dxa"/>
            <w:noWrap w:val="0"/>
            <w:vAlign w:val="center"/>
          </w:tcPr>
          <w:p w14:paraId="26C67291">
            <w:pPr>
              <w:widowControl/>
              <w:jc w:val="left"/>
              <w:textAlignment w:val="center"/>
              <w:rPr>
                <w:rFonts w:hint="eastAsia" w:ascii="宋体" w:hAnsi="宋体" w:cs="宋体"/>
                <w:bCs/>
                <w:color w:val="000000"/>
                <w:szCs w:val="21"/>
              </w:rPr>
            </w:pPr>
            <w:r>
              <w:rPr>
                <w:rFonts w:hint="eastAsia" w:ascii="宋体" w:hAnsi="宋体" w:cs="宋体"/>
                <w:bCs/>
                <w:color w:val="000000"/>
                <w:szCs w:val="21"/>
              </w:rPr>
              <w:t>资产概览</w:t>
            </w:r>
          </w:p>
        </w:tc>
        <w:tc>
          <w:tcPr>
            <w:tcW w:w="6059" w:type="dxa"/>
            <w:noWrap w:val="0"/>
            <w:vAlign w:val="center"/>
          </w:tcPr>
          <w:p w14:paraId="11897B4A">
            <w:pPr>
              <w:widowControl/>
              <w:jc w:val="left"/>
              <w:textAlignment w:val="center"/>
              <w:rPr>
                <w:rFonts w:hint="eastAsia" w:ascii="宋体" w:hAnsi="宋体" w:cs="宋体"/>
                <w:bCs/>
                <w:color w:val="000000"/>
                <w:szCs w:val="21"/>
              </w:rPr>
            </w:pPr>
            <w:r>
              <w:rPr>
                <w:rFonts w:hint="eastAsia" w:ascii="宋体" w:hAnsi="宋体" w:cs="宋体"/>
                <w:bCs/>
                <w:color w:val="000000"/>
                <w:szCs w:val="21"/>
              </w:rPr>
              <w:t>平台资产总览，医院资产（业务系统、API服务、API接口、应用、厂商）数据的时间快照，支持资产数据下沉查看详细信息</w:t>
            </w:r>
          </w:p>
        </w:tc>
      </w:tr>
      <w:tr w14:paraId="67CC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5" w:type="dxa"/>
            <w:vMerge w:val="continue"/>
            <w:noWrap w:val="0"/>
            <w:vAlign w:val="center"/>
          </w:tcPr>
          <w:p w14:paraId="20E5C297">
            <w:pPr>
              <w:widowControl/>
              <w:jc w:val="left"/>
              <w:textAlignment w:val="center"/>
              <w:rPr>
                <w:rFonts w:hint="eastAsia" w:ascii="宋体" w:hAnsi="宋体" w:cs="宋体"/>
                <w:bCs/>
                <w:color w:val="000000"/>
                <w:szCs w:val="21"/>
              </w:rPr>
            </w:pPr>
          </w:p>
        </w:tc>
        <w:tc>
          <w:tcPr>
            <w:tcW w:w="1685" w:type="dxa"/>
            <w:noWrap w:val="0"/>
            <w:vAlign w:val="center"/>
          </w:tcPr>
          <w:p w14:paraId="663C04AE">
            <w:pPr>
              <w:widowControl/>
              <w:jc w:val="left"/>
              <w:textAlignment w:val="center"/>
              <w:rPr>
                <w:rFonts w:hint="eastAsia" w:ascii="宋体" w:hAnsi="宋体" w:cs="宋体"/>
                <w:bCs/>
                <w:color w:val="000000"/>
                <w:szCs w:val="21"/>
              </w:rPr>
            </w:pPr>
            <w:r>
              <w:rPr>
                <w:rFonts w:hint="eastAsia" w:ascii="宋体" w:hAnsi="宋体" w:cs="宋体"/>
                <w:bCs/>
                <w:color w:val="000000"/>
                <w:szCs w:val="21"/>
              </w:rPr>
              <w:t>资产台账</w:t>
            </w:r>
          </w:p>
        </w:tc>
        <w:tc>
          <w:tcPr>
            <w:tcW w:w="6059" w:type="dxa"/>
            <w:noWrap w:val="0"/>
            <w:vAlign w:val="center"/>
          </w:tcPr>
          <w:p w14:paraId="44F6C084">
            <w:pPr>
              <w:widowControl/>
              <w:jc w:val="left"/>
              <w:textAlignment w:val="center"/>
              <w:rPr>
                <w:rFonts w:hint="eastAsia" w:ascii="宋体" w:hAnsi="宋体" w:cs="宋体"/>
                <w:bCs/>
                <w:color w:val="000000"/>
                <w:szCs w:val="21"/>
              </w:rPr>
            </w:pPr>
            <w:r>
              <w:rPr>
                <w:rFonts w:hint="eastAsia" w:ascii="宋体" w:hAnsi="宋体" w:cs="宋体"/>
                <w:bCs/>
                <w:color w:val="000000"/>
                <w:szCs w:val="21"/>
              </w:rPr>
              <w:t>1、当前厂商资产台账信息支持时间范围检索、按资产名称检索</w:t>
            </w:r>
            <w:r>
              <w:rPr>
                <w:rFonts w:hint="eastAsia" w:ascii="宋体" w:hAnsi="宋体" w:cs="宋体"/>
                <w:bCs/>
                <w:color w:val="000000"/>
                <w:szCs w:val="21"/>
              </w:rPr>
              <w:br w:type="textWrapping"/>
            </w:r>
            <w:r>
              <w:rPr>
                <w:rFonts w:hint="eastAsia" w:ascii="宋体" w:hAnsi="宋体" w:cs="宋体"/>
                <w:bCs/>
                <w:color w:val="000000"/>
                <w:szCs w:val="21"/>
              </w:rPr>
              <w:t>2、以时间轴呈现当前厂商的资产台账变化信息</w:t>
            </w:r>
            <w:r>
              <w:rPr>
                <w:rFonts w:hint="eastAsia" w:ascii="宋体" w:hAnsi="宋体" w:cs="宋体"/>
                <w:bCs/>
                <w:color w:val="000000"/>
                <w:szCs w:val="21"/>
              </w:rPr>
              <w:br w:type="textWrapping"/>
            </w:r>
            <w:r>
              <w:rPr>
                <w:rFonts w:hint="eastAsia" w:ascii="宋体" w:hAnsi="宋体" w:cs="宋体"/>
                <w:bCs/>
                <w:color w:val="000000"/>
                <w:szCs w:val="21"/>
              </w:rPr>
              <w:t>3、资产台账信息根据搜索模式不同进行差异化呈现</w:t>
            </w:r>
          </w:p>
        </w:tc>
      </w:tr>
      <w:tr w14:paraId="6DA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5AB53DB3">
            <w:pPr>
              <w:widowControl/>
              <w:jc w:val="left"/>
              <w:textAlignment w:val="center"/>
              <w:rPr>
                <w:rFonts w:hint="eastAsia" w:ascii="宋体" w:hAnsi="宋体" w:cs="宋体"/>
                <w:bCs/>
                <w:color w:val="000000"/>
                <w:szCs w:val="21"/>
              </w:rPr>
            </w:pPr>
          </w:p>
        </w:tc>
        <w:tc>
          <w:tcPr>
            <w:tcW w:w="1685" w:type="dxa"/>
            <w:vMerge w:val="restart"/>
            <w:noWrap w:val="0"/>
            <w:vAlign w:val="center"/>
          </w:tcPr>
          <w:p w14:paraId="4877AA0D">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API访问量</w:t>
            </w:r>
          </w:p>
        </w:tc>
        <w:tc>
          <w:tcPr>
            <w:tcW w:w="6059" w:type="dxa"/>
            <w:noWrap w:val="0"/>
            <w:vAlign w:val="center"/>
          </w:tcPr>
          <w:p w14:paraId="29416DE8">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API服务访问量统计支持按时间统计（按日、按月、按年细分呈现）、按系统统计、按API服务统计、按API接口统计、按厂商统计维度统计访问量</w:t>
            </w:r>
          </w:p>
        </w:tc>
      </w:tr>
      <w:tr w14:paraId="3CA0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239D41A7">
            <w:pPr>
              <w:widowControl/>
              <w:jc w:val="left"/>
              <w:textAlignment w:val="center"/>
              <w:rPr>
                <w:rFonts w:hint="eastAsia" w:ascii="宋体" w:hAnsi="宋体" w:cs="宋体"/>
                <w:bCs/>
                <w:color w:val="000000"/>
                <w:szCs w:val="21"/>
              </w:rPr>
            </w:pPr>
          </w:p>
        </w:tc>
        <w:tc>
          <w:tcPr>
            <w:tcW w:w="1685" w:type="dxa"/>
            <w:vMerge w:val="continue"/>
            <w:noWrap w:val="0"/>
            <w:vAlign w:val="center"/>
          </w:tcPr>
          <w:p w14:paraId="038F188A">
            <w:pPr>
              <w:widowControl/>
              <w:jc w:val="left"/>
              <w:textAlignment w:val="center"/>
              <w:rPr>
                <w:rFonts w:hint="eastAsia" w:ascii="宋体" w:hAnsi="宋体" w:cs="宋体"/>
                <w:bCs/>
                <w:color w:val="000000"/>
                <w:szCs w:val="21"/>
              </w:rPr>
            </w:pPr>
          </w:p>
        </w:tc>
        <w:tc>
          <w:tcPr>
            <w:tcW w:w="6059" w:type="dxa"/>
            <w:noWrap w:val="0"/>
            <w:vAlign w:val="center"/>
          </w:tcPr>
          <w:p w14:paraId="396925E7">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API访问量支持按时间范围、系统名称、API服务、API接口、厂商简称维度支持单维度或多维度组合检索</w:t>
            </w:r>
          </w:p>
        </w:tc>
      </w:tr>
      <w:tr w14:paraId="049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B371282">
            <w:pPr>
              <w:widowControl/>
              <w:jc w:val="left"/>
              <w:textAlignment w:val="center"/>
              <w:rPr>
                <w:rFonts w:hint="eastAsia" w:ascii="宋体" w:hAnsi="宋体" w:cs="宋体"/>
                <w:bCs/>
                <w:color w:val="000000"/>
                <w:szCs w:val="21"/>
              </w:rPr>
            </w:pPr>
          </w:p>
        </w:tc>
        <w:tc>
          <w:tcPr>
            <w:tcW w:w="1685" w:type="dxa"/>
            <w:vMerge w:val="continue"/>
            <w:noWrap w:val="0"/>
            <w:vAlign w:val="center"/>
          </w:tcPr>
          <w:p w14:paraId="696614D4">
            <w:pPr>
              <w:widowControl/>
              <w:jc w:val="left"/>
              <w:textAlignment w:val="center"/>
              <w:rPr>
                <w:rFonts w:hint="eastAsia" w:ascii="宋体" w:hAnsi="宋体" w:cs="宋体"/>
                <w:bCs/>
                <w:color w:val="000000"/>
                <w:szCs w:val="21"/>
              </w:rPr>
            </w:pPr>
          </w:p>
        </w:tc>
        <w:tc>
          <w:tcPr>
            <w:tcW w:w="6059" w:type="dxa"/>
            <w:noWrap w:val="0"/>
            <w:vAlign w:val="center"/>
          </w:tcPr>
          <w:p w14:paraId="07177BCC">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支持API访问量导出功能，可供其他维度分析和使用</w:t>
            </w:r>
          </w:p>
        </w:tc>
      </w:tr>
      <w:tr w14:paraId="3B2B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1ED32627">
            <w:pPr>
              <w:widowControl/>
              <w:jc w:val="left"/>
              <w:textAlignment w:val="center"/>
              <w:rPr>
                <w:rFonts w:hint="eastAsia" w:ascii="宋体" w:hAnsi="宋体" w:cs="宋体"/>
                <w:bCs/>
                <w:color w:val="000000"/>
                <w:szCs w:val="21"/>
              </w:rPr>
            </w:pPr>
          </w:p>
        </w:tc>
        <w:tc>
          <w:tcPr>
            <w:tcW w:w="1685" w:type="dxa"/>
            <w:vMerge w:val="restart"/>
            <w:noWrap w:val="0"/>
            <w:vAlign w:val="center"/>
          </w:tcPr>
          <w:p w14:paraId="694B7D1E">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应用访问量</w:t>
            </w:r>
          </w:p>
        </w:tc>
        <w:tc>
          <w:tcPr>
            <w:tcW w:w="6059" w:type="dxa"/>
            <w:noWrap w:val="0"/>
            <w:vAlign w:val="center"/>
          </w:tcPr>
          <w:p w14:paraId="59CD06BE">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应用访问量统计支持按时间统计（按日、按月、按年细分呈现）、按应用统计、按厂商统计维度统计访问量</w:t>
            </w:r>
          </w:p>
        </w:tc>
      </w:tr>
      <w:tr w14:paraId="7622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1139B7B1">
            <w:pPr>
              <w:widowControl/>
              <w:jc w:val="left"/>
              <w:textAlignment w:val="center"/>
              <w:rPr>
                <w:rFonts w:hint="eastAsia" w:ascii="宋体" w:hAnsi="宋体" w:cs="宋体"/>
                <w:bCs/>
                <w:color w:val="000000"/>
                <w:szCs w:val="21"/>
              </w:rPr>
            </w:pPr>
          </w:p>
        </w:tc>
        <w:tc>
          <w:tcPr>
            <w:tcW w:w="1685" w:type="dxa"/>
            <w:vMerge w:val="continue"/>
            <w:noWrap w:val="0"/>
            <w:vAlign w:val="center"/>
          </w:tcPr>
          <w:p w14:paraId="5264D5F6">
            <w:pPr>
              <w:widowControl/>
              <w:jc w:val="left"/>
              <w:textAlignment w:val="center"/>
              <w:rPr>
                <w:rFonts w:hint="eastAsia" w:ascii="宋体" w:hAnsi="宋体" w:cs="宋体"/>
                <w:bCs/>
                <w:color w:val="000000"/>
                <w:szCs w:val="21"/>
              </w:rPr>
            </w:pPr>
          </w:p>
        </w:tc>
        <w:tc>
          <w:tcPr>
            <w:tcW w:w="6059" w:type="dxa"/>
            <w:noWrap w:val="0"/>
            <w:vAlign w:val="center"/>
          </w:tcPr>
          <w:p w14:paraId="27B15E9A">
            <w:pPr>
              <w:widowControl/>
              <w:jc w:val="left"/>
              <w:textAlignment w:val="center"/>
              <w:rPr>
                <w:rFonts w:hint="eastAsia" w:ascii="宋体" w:hAnsi="宋体" w:cs="宋体"/>
                <w:bCs/>
                <w:color w:val="000000"/>
                <w:szCs w:val="21"/>
              </w:rPr>
            </w:pPr>
            <w:r>
              <w:rPr>
                <w:rFonts w:hint="eastAsia" w:ascii="宋体" w:hAnsi="宋体" w:cs="宋体"/>
                <w:bCs/>
                <w:color w:val="000000"/>
                <w:szCs w:val="21"/>
              </w:rPr>
              <w:t>应用访问量支持按时间范围、应用名称、厂商简称维度支持单维度或多维度组合检索</w:t>
            </w:r>
          </w:p>
        </w:tc>
      </w:tr>
      <w:tr w14:paraId="1092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6C5AC04E">
            <w:pPr>
              <w:widowControl/>
              <w:jc w:val="left"/>
              <w:textAlignment w:val="center"/>
              <w:rPr>
                <w:rFonts w:hint="eastAsia" w:ascii="宋体" w:hAnsi="宋体" w:cs="宋体"/>
                <w:bCs/>
                <w:color w:val="000000"/>
                <w:szCs w:val="21"/>
              </w:rPr>
            </w:pPr>
          </w:p>
        </w:tc>
        <w:tc>
          <w:tcPr>
            <w:tcW w:w="1685" w:type="dxa"/>
            <w:vMerge w:val="continue"/>
            <w:noWrap w:val="0"/>
            <w:vAlign w:val="center"/>
          </w:tcPr>
          <w:p w14:paraId="61B2C74E">
            <w:pPr>
              <w:widowControl/>
              <w:jc w:val="left"/>
              <w:textAlignment w:val="center"/>
              <w:rPr>
                <w:rFonts w:hint="eastAsia" w:ascii="宋体" w:hAnsi="宋体" w:cs="宋体"/>
                <w:bCs/>
                <w:color w:val="000000"/>
                <w:szCs w:val="21"/>
              </w:rPr>
            </w:pPr>
          </w:p>
        </w:tc>
        <w:tc>
          <w:tcPr>
            <w:tcW w:w="6059" w:type="dxa"/>
            <w:noWrap w:val="0"/>
            <w:vAlign w:val="center"/>
          </w:tcPr>
          <w:p w14:paraId="5B0650C6">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支持应用访问量导出功能，可供其他维度分析和使用</w:t>
            </w:r>
          </w:p>
        </w:tc>
      </w:tr>
      <w:tr w14:paraId="2881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5" w:type="dxa"/>
            <w:vMerge w:val="restart"/>
            <w:noWrap w:val="0"/>
            <w:vAlign w:val="center"/>
          </w:tcPr>
          <w:p w14:paraId="711F46A9">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数据开放服务安全态势</w:t>
            </w:r>
          </w:p>
        </w:tc>
        <w:tc>
          <w:tcPr>
            <w:tcW w:w="1685" w:type="dxa"/>
            <w:noWrap w:val="0"/>
            <w:vAlign w:val="center"/>
          </w:tcPr>
          <w:p w14:paraId="00C4117B">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本日监控信息</w:t>
            </w:r>
          </w:p>
        </w:tc>
        <w:tc>
          <w:tcPr>
            <w:tcW w:w="6059" w:type="dxa"/>
            <w:noWrap w:val="0"/>
            <w:vAlign w:val="center"/>
          </w:tcPr>
          <w:p w14:paraId="27A38D14">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本日访问状态看板，通过这个看板可以及时发现本日所有接口访问是否存在异常（拦截访问、预警访问），拦截访问需要查看拦截原因并即刻处理，预警访问可以按照自己工作节奏查看原因有计划的安排处理</w:t>
            </w:r>
          </w:p>
        </w:tc>
      </w:tr>
      <w:tr w14:paraId="500D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5" w:type="dxa"/>
            <w:vMerge w:val="continue"/>
            <w:noWrap w:val="0"/>
            <w:vAlign w:val="center"/>
          </w:tcPr>
          <w:p w14:paraId="2DCEF050">
            <w:pPr>
              <w:widowControl/>
              <w:jc w:val="left"/>
              <w:textAlignment w:val="center"/>
              <w:rPr>
                <w:rFonts w:hint="eastAsia" w:ascii="宋体" w:hAnsi="宋体" w:cs="宋体"/>
                <w:bCs/>
                <w:color w:val="000000"/>
                <w:szCs w:val="21"/>
              </w:rPr>
            </w:pPr>
          </w:p>
        </w:tc>
        <w:tc>
          <w:tcPr>
            <w:tcW w:w="1685" w:type="dxa"/>
            <w:noWrap w:val="0"/>
            <w:vAlign w:val="center"/>
          </w:tcPr>
          <w:p w14:paraId="6AEC85FE">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★本日API接口处理效率监测</w:t>
            </w:r>
          </w:p>
        </w:tc>
        <w:tc>
          <w:tcPr>
            <w:tcW w:w="6059" w:type="dxa"/>
            <w:noWrap w:val="0"/>
            <w:vAlign w:val="center"/>
          </w:tcPr>
          <w:p w14:paraId="3A8D09F7">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日API接口处理效率看板，接口支持按请求量统计、按请求平均处理时间分析、按平均处理速度最快接口、按平均处理速度最慢接口，及时知道API处理水平，发现API处理瓶颈原因，支持接口请求量下钻查看所有接口访问详情</w:t>
            </w:r>
          </w:p>
        </w:tc>
      </w:tr>
      <w:tr w14:paraId="5A6D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5" w:type="dxa"/>
            <w:vMerge w:val="continue"/>
            <w:noWrap w:val="0"/>
            <w:vAlign w:val="center"/>
          </w:tcPr>
          <w:p w14:paraId="74BF3F42">
            <w:pPr>
              <w:widowControl/>
              <w:jc w:val="left"/>
              <w:textAlignment w:val="center"/>
              <w:rPr>
                <w:rFonts w:hint="eastAsia" w:ascii="宋体" w:hAnsi="宋体" w:cs="宋体"/>
                <w:bCs/>
                <w:color w:val="000000"/>
                <w:szCs w:val="21"/>
              </w:rPr>
            </w:pPr>
          </w:p>
        </w:tc>
        <w:tc>
          <w:tcPr>
            <w:tcW w:w="1685" w:type="dxa"/>
            <w:noWrap w:val="0"/>
            <w:vAlign w:val="center"/>
          </w:tcPr>
          <w:p w14:paraId="33DB626B">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★本周/本月统计分析</w:t>
            </w:r>
          </w:p>
        </w:tc>
        <w:tc>
          <w:tcPr>
            <w:tcW w:w="6059" w:type="dxa"/>
            <w:noWrap w:val="0"/>
            <w:vAlign w:val="center"/>
          </w:tcPr>
          <w:p w14:paraId="21F64DBA">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支持按本周、按本月进行统计分析，呈现拦截访问原因、预警访问应用、响应异常系统、响应异常接口、响应异常接口列表，支持数据下钻原因分析。</w:t>
            </w:r>
          </w:p>
        </w:tc>
      </w:tr>
      <w:tr w14:paraId="09C9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25" w:type="dxa"/>
            <w:vMerge w:val="continue"/>
            <w:noWrap w:val="0"/>
            <w:vAlign w:val="center"/>
          </w:tcPr>
          <w:p w14:paraId="107604E6">
            <w:pPr>
              <w:widowControl/>
              <w:jc w:val="left"/>
              <w:textAlignment w:val="center"/>
              <w:rPr>
                <w:rFonts w:hint="eastAsia" w:ascii="宋体" w:hAnsi="宋体" w:cs="宋体"/>
                <w:bCs/>
                <w:color w:val="000000"/>
                <w:szCs w:val="21"/>
              </w:rPr>
            </w:pPr>
          </w:p>
        </w:tc>
        <w:tc>
          <w:tcPr>
            <w:tcW w:w="1685" w:type="dxa"/>
            <w:noWrap w:val="0"/>
            <w:vAlign w:val="center"/>
          </w:tcPr>
          <w:p w14:paraId="1BB20CA9">
            <w:pPr>
              <w:widowControl/>
              <w:jc w:val="left"/>
              <w:textAlignment w:val="center"/>
              <w:rPr>
                <w:rFonts w:hint="eastAsia" w:ascii="宋体" w:hAnsi="宋体" w:cs="宋体"/>
                <w:bCs/>
                <w:color w:val="000000"/>
                <w:szCs w:val="21"/>
              </w:rPr>
            </w:pPr>
            <w:r>
              <w:rPr>
                <w:rFonts w:hint="eastAsia" w:ascii="宋体" w:hAnsi="宋体" w:cs="宋体"/>
                <w:bCs/>
                <w:color w:val="000000"/>
                <w:szCs w:val="21"/>
              </w:rPr>
              <w:t>拦截的异常访问信息</w:t>
            </w:r>
          </w:p>
        </w:tc>
        <w:tc>
          <w:tcPr>
            <w:tcW w:w="6059" w:type="dxa"/>
            <w:noWrap w:val="0"/>
            <w:vAlign w:val="center"/>
          </w:tcPr>
          <w:p w14:paraId="03616198">
            <w:pPr>
              <w:widowControl/>
              <w:jc w:val="left"/>
              <w:textAlignment w:val="center"/>
              <w:rPr>
                <w:rFonts w:hint="eastAsia" w:ascii="宋体" w:hAnsi="宋体" w:cs="宋体"/>
                <w:bCs/>
                <w:color w:val="000000"/>
                <w:szCs w:val="21"/>
              </w:rPr>
            </w:pPr>
            <w:r>
              <w:rPr>
                <w:rFonts w:hint="eastAsia" w:ascii="宋体" w:hAnsi="宋体" w:cs="宋体"/>
                <w:bCs/>
                <w:color w:val="000000"/>
                <w:szCs w:val="21"/>
              </w:rPr>
              <w:t>查阅所有触碰平台访问拦截规则的的记录及原因，准确定位问题以及问题对象，提升解决问题的效率。</w:t>
            </w:r>
            <w:r>
              <w:rPr>
                <w:rFonts w:hint="eastAsia" w:ascii="宋体" w:hAnsi="宋体" w:cs="宋体"/>
                <w:bCs/>
                <w:color w:val="000000"/>
                <w:szCs w:val="21"/>
              </w:rPr>
              <w:br w:type="textWrapping"/>
            </w:r>
            <w:r>
              <w:rPr>
                <w:rFonts w:hint="eastAsia" w:ascii="宋体" w:hAnsi="宋体" w:cs="宋体"/>
                <w:bCs/>
                <w:color w:val="000000"/>
                <w:szCs w:val="21"/>
              </w:rPr>
              <w:t>1、支持应用API服务访问拦截统计</w:t>
            </w:r>
            <w:r>
              <w:rPr>
                <w:rFonts w:hint="eastAsia" w:ascii="宋体" w:hAnsi="宋体" w:cs="宋体"/>
                <w:bCs/>
                <w:color w:val="000000"/>
                <w:szCs w:val="21"/>
              </w:rPr>
              <w:br w:type="textWrapping"/>
            </w:r>
            <w:r>
              <w:rPr>
                <w:rFonts w:hint="eastAsia" w:ascii="宋体" w:hAnsi="宋体" w:cs="宋体"/>
                <w:bCs/>
                <w:color w:val="000000"/>
                <w:szCs w:val="21"/>
              </w:rPr>
              <w:t>2、应用API服务拦截的信息支持按应用名称、接口名称、拦截原因、规则内容统计呈现拦截列表</w:t>
            </w:r>
            <w:r>
              <w:rPr>
                <w:rFonts w:hint="eastAsia" w:ascii="宋体" w:hAnsi="宋体" w:cs="宋体"/>
                <w:bCs/>
                <w:color w:val="000000"/>
                <w:szCs w:val="21"/>
              </w:rPr>
              <w:br w:type="textWrapping"/>
            </w:r>
            <w:r>
              <w:rPr>
                <w:rFonts w:hint="eastAsia" w:ascii="宋体" w:hAnsi="宋体" w:cs="宋体"/>
                <w:bCs/>
                <w:color w:val="000000"/>
                <w:szCs w:val="21"/>
              </w:rPr>
              <w:t>3、多个字段具备筛选、搜索功能、支持多条件组合查询</w:t>
            </w:r>
            <w:r>
              <w:rPr>
                <w:rFonts w:hint="eastAsia" w:ascii="宋体" w:hAnsi="宋体" w:cs="宋体"/>
                <w:bCs/>
                <w:color w:val="000000"/>
                <w:szCs w:val="21"/>
              </w:rPr>
              <w:br w:type="textWrapping"/>
            </w:r>
            <w:r>
              <w:rPr>
                <w:rFonts w:hint="eastAsia" w:ascii="宋体" w:hAnsi="宋体" w:cs="宋体"/>
                <w:bCs/>
                <w:color w:val="000000"/>
                <w:szCs w:val="21"/>
              </w:rPr>
              <w:t>4、支持拦截访问趋势、拦截原因分布、拦截应用、拦截Top5接口维度的数据统计分析</w:t>
            </w:r>
            <w:r>
              <w:rPr>
                <w:rFonts w:hint="eastAsia" w:ascii="宋体" w:hAnsi="宋体" w:cs="宋体"/>
                <w:bCs/>
                <w:color w:val="000000"/>
                <w:szCs w:val="21"/>
              </w:rPr>
              <w:br w:type="textWrapping"/>
            </w:r>
            <w:r>
              <w:rPr>
                <w:rFonts w:hint="eastAsia" w:ascii="宋体" w:hAnsi="宋体" w:cs="宋体"/>
                <w:bCs/>
                <w:color w:val="000000"/>
                <w:szCs w:val="21"/>
              </w:rPr>
              <w:t>5、拦截统计记录支持下钻，查看拦截访问详情信息通过查看日志链路了解拦截阶段及访问传递的内容信息，利于问题的解决。</w:t>
            </w:r>
          </w:p>
        </w:tc>
      </w:tr>
      <w:tr w14:paraId="18A2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225" w:type="dxa"/>
            <w:vMerge w:val="continue"/>
            <w:noWrap w:val="0"/>
            <w:vAlign w:val="center"/>
          </w:tcPr>
          <w:p w14:paraId="1CE78F1B">
            <w:pPr>
              <w:widowControl/>
              <w:jc w:val="left"/>
              <w:textAlignment w:val="center"/>
              <w:rPr>
                <w:rFonts w:hint="eastAsia" w:ascii="宋体" w:hAnsi="宋体" w:cs="宋体"/>
                <w:bCs/>
                <w:color w:val="000000"/>
                <w:szCs w:val="21"/>
              </w:rPr>
            </w:pPr>
          </w:p>
        </w:tc>
        <w:tc>
          <w:tcPr>
            <w:tcW w:w="1685" w:type="dxa"/>
            <w:noWrap w:val="0"/>
            <w:vAlign w:val="center"/>
          </w:tcPr>
          <w:p w14:paraId="60C1526C">
            <w:pPr>
              <w:widowControl/>
              <w:jc w:val="left"/>
              <w:textAlignment w:val="center"/>
              <w:rPr>
                <w:rFonts w:hint="eastAsia" w:ascii="宋体" w:hAnsi="宋体" w:cs="宋体"/>
                <w:bCs/>
                <w:color w:val="000000"/>
                <w:szCs w:val="21"/>
              </w:rPr>
            </w:pPr>
            <w:r>
              <w:rPr>
                <w:rFonts w:hint="eastAsia" w:ascii="宋体" w:hAnsi="宋体" w:cs="宋体"/>
                <w:bCs/>
                <w:color w:val="000000"/>
                <w:szCs w:val="21"/>
              </w:rPr>
              <w:t>可疑异常访问预警</w:t>
            </w:r>
          </w:p>
        </w:tc>
        <w:tc>
          <w:tcPr>
            <w:tcW w:w="6059" w:type="dxa"/>
            <w:noWrap w:val="0"/>
            <w:vAlign w:val="center"/>
          </w:tcPr>
          <w:p w14:paraId="3BBC4CE1">
            <w:pPr>
              <w:widowControl/>
              <w:jc w:val="left"/>
              <w:textAlignment w:val="center"/>
              <w:rPr>
                <w:rFonts w:hint="eastAsia" w:ascii="宋体" w:hAnsi="宋体" w:cs="宋体"/>
                <w:bCs/>
                <w:color w:val="000000"/>
                <w:szCs w:val="21"/>
              </w:rPr>
            </w:pPr>
            <w:r>
              <w:rPr>
                <w:rFonts w:hint="eastAsia" w:ascii="宋体" w:hAnsi="宋体" w:cs="宋体"/>
                <w:bCs/>
                <w:color w:val="000000"/>
                <w:szCs w:val="21"/>
              </w:rPr>
              <w:t>查阅所有触碰平台访问预警规则的的记录及原因（包括访问参数超过定义参数、疑似SQL注入等访问行为），用于优化管理流程和制定风险防御措施</w:t>
            </w:r>
            <w:r>
              <w:rPr>
                <w:rFonts w:hint="eastAsia" w:ascii="宋体" w:hAnsi="宋体" w:cs="宋体"/>
                <w:bCs/>
                <w:color w:val="000000"/>
                <w:szCs w:val="21"/>
              </w:rPr>
              <w:br w:type="textWrapping"/>
            </w:r>
            <w:r>
              <w:rPr>
                <w:rFonts w:hint="eastAsia" w:ascii="宋体" w:hAnsi="宋体" w:cs="宋体"/>
                <w:bCs/>
                <w:color w:val="000000"/>
                <w:szCs w:val="21"/>
              </w:rPr>
              <w:t>1、应用预警的信息支持按应用名称、接口名称、预警类别、规则内容统计呈现预警列表</w:t>
            </w:r>
            <w:r>
              <w:rPr>
                <w:rFonts w:hint="eastAsia" w:ascii="宋体" w:hAnsi="宋体" w:cs="宋体"/>
                <w:bCs/>
                <w:color w:val="000000"/>
                <w:szCs w:val="21"/>
              </w:rPr>
              <w:br w:type="textWrapping"/>
            </w:r>
            <w:r>
              <w:rPr>
                <w:rFonts w:hint="eastAsia" w:ascii="宋体" w:hAnsi="宋体" w:cs="宋体"/>
                <w:bCs/>
                <w:color w:val="000000"/>
                <w:szCs w:val="21"/>
              </w:rPr>
              <w:t>2、多个字段具备筛选、搜索功能、支持多条件组合查询</w:t>
            </w:r>
            <w:r>
              <w:rPr>
                <w:rFonts w:hint="eastAsia" w:ascii="宋体" w:hAnsi="宋体" w:cs="宋体"/>
                <w:bCs/>
                <w:color w:val="000000"/>
                <w:szCs w:val="21"/>
              </w:rPr>
              <w:br w:type="textWrapping"/>
            </w:r>
            <w:r>
              <w:rPr>
                <w:rFonts w:hint="eastAsia" w:ascii="宋体" w:hAnsi="宋体" w:cs="宋体"/>
                <w:bCs/>
                <w:color w:val="000000"/>
                <w:szCs w:val="21"/>
              </w:rPr>
              <w:t>3、支持预警访问趋势、预警类别分布、累计预警Top3应用、累计预警Top5接口维度的数据统计分析</w:t>
            </w:r>
            <w:r>
              <w:rPr>
                <w:rFonts w:hint="eastAsia" w:ascii="宋体" w:hAnsi="宋体" w:cs="宋体"/>
                <w:bCs/>
                <w:color w:val="000000"/>
                <w:szCs w:val="21"/>
              </w:rPr>
              <w:br w:type="textWrapping"/>
            </w:r>
            <w:r>
              <w:rPr>
                <w:rFonts w:hint="eastAsia" w:ascii="宋体" w:hAnsi="宋体" w:cs="宋体"/>
                <w:bCs/>
                <w:color w:val="000000"/>
                <w:szCs w:val="21"/>
              </w:rPr>
              <w:t>4、疑似SQL注入预警访问记录经信息科判定预警的应用-接口是正常的，直接通过【停止预警】操作来快速关闭疑似SQL注入的监控规则</w:t>
            </w:r>
          </w:p>
        </w:tc>
      </w:tr>
      <w:tr w14:paraId="285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25" w:type="dxa"/>
            <w:vMerge w:val="continue"/>
            <w:noWrap w:val="0"/>
            <w:vAlign w:val="center"/>
          </w:tcPr>
          <w:p w14:paraId="3156CF96">
            <w:pPr>
              <w:widowControl/>
              <w:jc w:val="left"/>
              <w:textAlignment w:val="center"/>
              <w:rPr>
                <w:rFonts w:hint="eastAsia" w:ascii="宋体" w:hAnsi="宋体" w:cs="宋体"/>
                <w:bCs/>
                <w:color w:val="000000"/>
                <w:szCs w:val="21"/>
              </w:rPr>
            </w:pPr>
          </w:p>
        </w:tc>
        <w:tc>
          <w:tcPr>
            <w:tcW w:w="1685" w:type="dxa"/>
            <w:noWrap w:val="0"/>
            <w:vAlign w:val="center"/>
          </w:tcPr>
          <w:p w14:paraId="3F7CC714">
            <w:pPr>
              <w:widowControl/>
              <w:jc w:val="left"/>
              <w:textAlignment w:val="center"/>
              <w:rPr>
                <w:rFonts w:hint="eastAsia" w:ascii="宋体" w:hAnsi="宋体" w:cs="宋体"/>
                <w:bCs/>
                <w:color w:val="000000"/>
                <w:szCs w:val="21"/>
              </w:rPr>
            </w:pPr>
            <w:r>
              <w:rPr>
                <w:rFonts w:hint="eastAsia" w:ascii="宋体" w:hAnsi="宋体" w:cs="宋体"/>
                <w:bCs/>
                <w:color w:val="000000"/>
                <w:szCs w:val="21"/>
              </w:rPr>
              <w:t>服务响应异常告警</w:t>
            </w:r>
          </w:p>
        </w:tc>
        <w:tc>
          <w:tcPr>
            <w:tcW w:w="6059" w:type="dxa"/>
            <w:noWrap w:val="0"/>
            <w:vAlign w:val="center"/>
          </w:tcPr>
          <w:p w14:paraId="53AAC1D7">
            <w:pPr>
              <w:widowControl/>
              <w:jc w:val="left"/>
              <w:textAlignment w:val="center"/>
              <w:rPr>
                <w:rFonts w:hint="eastAsia" w:ascii="宋体" w:hAnsi="宋体" w:cs="宋体"/>
                <w:bCs/>
                <w:color w:val="000000"/>
                <w:szCs w:val="21"/>
              </w:rPr>
            </w:pPr>
            <w:r>
              <w:rPr>
                <w:rFonts w:hint="eastAsia" w:ascii="宋体" w:hAnsi="宋体" w:cs="宋体"/>
                <w:bCs/>
                <w:color w:val="000000"/>
                <w:szCs w:val="21"/>
              </w:rPr>
              <w:t>所有服务响应超时或因系统服务超时而熔断的访问记录，用于分析数据接口服务的稳定性，优化数据接口服务的性能及运维方案</w:t>
            </w:r>
            <w:r>
              <w:rPr>
                <w:rFonts w:hint="eastAsia" w:ascii="宋体" w:hAnsi="宋体" w:cs="宋体"/>
                <w:bCs/>
                <w:color w:val="000000"/>
                <w:szCs w:val="21"/>
              </w:rPr>
              <w:br w:type="textWrapping"/>
            </w:r>
            <w:r>
              <w:rPr>
                <w:rFonts w:hint="eastAsia" w:ascii="宋体" w:hAnsi="宋体" w:cs="宋体"/>
                <w:bCs/>
                <w:color w:val="000000"/>
                <w:szCs w:val="21"/>
              </w:rPr>
              <w:t>1、支持根据本日、本周、本月、自定义时间进行响应异常分析，呈现响应异常个数、变化趋势图、响应异常原因分布图、累计响应异常Top3服务、累计响应异常Top5接口 和响应异常访问统计列表；</w:t>
            </w:r>
            <w:r>
              <w:rPr>
                <w:rFonts w:hint="eastAsia" w:ascii="宋体" w:hAnsi="宋体" w:cs="宋体"/>
                <w:bCs/>
                <w:color w:val="000000"/>
                <w:szCs w:val="21"/>
              </w:rPr>
              <w:br w:type="textWrapping"/>
            </w:r>
            <w:r>
              <w:rPr>
                <w:rFonts w:hint="eastAsia" w:ascii="宋体" w:hAnsi="宋体" w:cs="宋体"/>
                <w:bCs/>
                <w:color w:val="000000"/>
                <w:szCs w:val="21"/>
              </w:rPr>
              <w:t>2、支持服务名称、接口名称多字段的组合筛选</w:t>
            </w:r>
          </w:p>
        </w:tc>
      </w:tr>
      <w:tr w14:paraId="483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225" w:type="dxa"/>
            <w:noWrap w:val="0"/>
            <w:vAlign w:val="center"/>
          </w:tcPr>
          <w:p w14:paraId="177673C7">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★数据开放服务问题追踪</w:t>
            </w:r>
          </w:p>
        </w:tc>
        <w:tc>
          <w:tcPr>
            <w:tcW w:w="1685" w:type="dxa"/>
            <w:noWrap w:val="0"/>
            <w:vAlign w:val="center"/>
          </w:tcPr>
          <w:p w14:paraId="1B64C125">
            <w:pPr>
              <w:widowControl/>
              <w:jc w:val="left"/>
              <w:textAlignment w:val="center"/>
              <w:rPr>
                <w:rFonts w:hint="eastAsia" w:ascii="宋体" w:hAnsi="宋体" w:cs="宋体"/>
                <w:bCs/>
                <w:color w:val="000000"/>
                <w:szCs w:val="21"/>
              </w:rPr>
            </w:pPr>
            <w:r>
              <w:rPr>
                <w:rFonts w:hint="eastAsia" w:ascii="宋体" w:hAnsi="宋体" w:cs="宋体"/>
                <w:bCs/>
                <w:color w:val="000000"/>
                <w:szCs w:val="21"/>
              </w:rPr>
              <w:t>API访问日志</w:t>
            </w:r>
          </w:p>
        </w:tc>
        <w:tc>
          <w:tcPr>
            <w:tcW w:w="6059" w:type="dxa"/>
            <w:noWrap w:val="0"/>
            <w:vAlign w:val="center"/>
          </w:tcPr>
          <w:p w14:paraId="36FA5976">
            <w:pPr>
              <w:widowControl/>
              <w:jc w:val="left"/>
              <w:textAlignment w:val="center"/>
              <w:rPr>
                <w:rFonts w:hint="eastAsia" w:ascii="宋体" w:hAnsi="宋体" w:cs="宋体"/>
                <w:bCs/>
                <w:color w:val="000000"/>
                <w:szCs w:val="21"/>
              </w:rPr>
            </w:pPr>
            <w:r>
              <w:rPr>
                <w:rFonts w:hint="eastAsia" w:ascii="宋体" w:hAnsi="宋体" w:cs="宋体"/>
                <w:bCs/>
                <w:color w:val="000000"/>
                <w:szCs w:val="21"/>
              </w:rPr>
              <w:t xml:space="preserve">支持按当前厂商呈现API访问日志 </w:t>
            </w:r>
            <w:r>
              <w:rPr>
                <w:rFonts w:hint="eastAsia" w:ascii="宋体" w:hAnsi="宋体" w:cs="宋体"/>
                <w:bCs/>
                <w:color w:val="000000"/>
                <w:szCs w:val="21"/>
              </w:rPr>
              <w:br w:type="textWrapping"/>
            </w:r>
            <w:r>
              <w:rPr>
                <w:rFonts w:hint="eastAsia" w:ascii="宋体" w:hAnsi="宋体" w:cs="宋体"/>
                <w:bCs/>
                <w:color w:val="000000"/>
                <w:szCs w:val="21"/>
              </w:rPr>
              <w:t>1、支持按时间范围、日志状态、 应用名称、接口名称、接口编号、系统名称、服务名称、参数内容、入参内容、出参内容及唯一标识的单一维度的检索和多维度组合检索</w:t>
            </w:r>
            <w:r>
              <w:rPr>
                <w:rFonts w:hint="eastAsia" w:ascii="宋体" w:hAnsi="宋体" w:cs="宋体"/>
                <w:bCs/>
                <w:color w:val="000000"/>
                <w:szCs w:val="21"/>
              </w:rPr>
              <w:br w:type="textWrapping"/>
            </w:r>
            <w:r>
              <w:rPr>
                <w:rFonts w:hint="eastAsia" w:ascii="宋体" w:hAnsi="宋体" w:cs="宋体"/>
                <w:bCs/>
                <w:color w:val="000000"/>
                <w:szCs w:val="21"/>
              </w:rPr>
              <w:t>2、支持根据参数内容进行搜索，用于满足基于传输内容的日志信息</w:t>
            </w:r>
            <w:r>
              <w:rPr>
                <w:rFonts w:hint="eastAsia" w:ascii="宋体" w:hAnsi="宋体" w:cs="宋体"/>
                <w:bCs/>
                <w:color w:val="000000"/>
                <w:szCs w:val="21"/>
              </w:rPr>
              <w:br w:type="textWrapping"/>
            </w:r>
            <w:r>
              <w:rPr>
                <w:rFonts w:hint="eastAsia" w:ascii="宋体" w:hAnsi="宋体" w:cs="宋体"/>
                <w:bCs/>
                <w:color w:val="000000"/>
                <w:szCs w:val="21"/>
              </w:rPr>
              <w:t>3、日志支持日志列表信息呈现、支持日志内容查看（支持接口信息、应用请求信息、应用收到信息、调用信息）</w:t>
            </w:r>
            <w:r>
              <w:rPr>
                <w:rFonts w:hint="eastAsia" w:ascii="宋体" w:hAnsi="宋体" w:cs="宋体"/>
                <w:bCs/>
                <w:color w:val="000000"/>
                <w:szCs w:val="21"/>
              </w:rPr>
              <w:br w:type="textWrapping"/>
            </w:r>
            <w:r>
              <w:rPr>
                <w:rFonts w:hint="eastAsia" w:ascii="宋体" w:hAnsi="宋体" w:cs="宋体"/>
                <w:bCs/>
                <w:color w:val="000000"/>
                <w:szCs w:val="21"/>
              </w:rPr>
              <w:t>4、日志支持链路分析，支持每个节点信息、相关监测规则、规则处理结果呈现</w:t>
            </w:r>
          </w:p>
        </w:tc>
      </w:tr>
      <w:tr w14:paraId="551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25" w:type="dxa"/>
            <w:vMerge w:val="restart"/>
            <w:noWrap w:val="0"/>
            <w:vAlign w:val="center"/>
          </w:tcPr>
          <w:p w14:paraId="58FCBF9C">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★数据服务路由</w:t>
            </w:r>
          </w:p>
        </w:tc>
        <w:tc>
          <w:tcPr>
            <w:tcW w:w="1685" w:type="dxa"/>
            <w:noWrap w:val="0"/>
            <w:vAlign w:val="center"/>
          </w:tcPr>
          <w:p w14:paraId="27BC7304">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数据服务路由</w:t>
            </w:r>
          </w:p>
        </w:tc>
        <w:tc>
          <w:tcPr>
            <w:tcW w:w="6059" w:type="dxa"/>
            <w:noWrap w:val="0"/>
            <w:vAlign w:val="center"/>
          </w:tcPr>
          <w:p w14:paraId="2FD1A25B">
            <w:pPr>
              <w:widowControl/>
              <w:jc w:val="left"/>
              <w:textAlignment w:val="center"/>
              <w:rPr>
                <w:rFonts w:hint="eastAsia" w:ascii="宋体" w:hAnsi="宋体" w:cs="宋体"/>
                <w:bCs/>
                <w:color w:val="000000"/>
                <w:szCs w:val="21"/>
              </w:rPr>
            </w:pPr>
            <w:r>
              <w:rPr>
                <w:rFonts w:hint="eastAsia" w:ascii="宋体" w:hAnsi="宋体" w:cs="宋体"/>
                <w:bCs/>
                <w:color w:val="000000"/>
                <w:szCs w:val="21"/>
              </w:rPr>
              <w:t>根据服务部署网络区域和应用所在网络区域，智能识别数据传输路径，将数据访问路由到对应的数据服务</w:t>
            </w:r>
          </w:p>
        </w:tc>
      </w:tr>
      <w:tr w14:paraId="4555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19F2D1B7">
            <w:pPr>
              <w:widowControl/>
              <w:jc w:val="left"/>
              <w:textAlignment w:val="center"/>
              <w:rPr>
                <w:rFonts w:hint="eastAsia" w:ascii="宋体" w:hAnsi="宋体" w:cs="宋体"/>
                <w:bCs/>
                <w:color w:val="000000"/>
                <w:szCs w:val="21"/>
              </w:rPr>
            </w:pPr>
          </w:p>
        </w:tc>
        <w:tc>
          <w:tcPr>
            <w:tcW w:w="1685" w:type="dxa"/>
            <w:noWrap w:val="0"/>
            <w:vAlign w:val="center"/>
          </w:tcPr>
          <w:p w14:paraId="2CAF6E19">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数据服务隐身</w:t>
            </w:r>
          </w:p>
        </w:tc>
        <w:tc>
          <w:tcPr>
            <w:tcW w:w="6059" w:type="dxa"/>
            <w:noWrap w:val="0"/>
            <w:vAlign w:val="center"/>
          </w:tcPr>
          <w:p w14:paraId="5986B3E8">
            <w:pPr>
              <w:widowControl/>
              <w:jc w:val="left"/>
              <w:textAlignment w:val="center"/>
              <w:rPr>
                <w:rFonts w:hint="eastAsia" w:ascii="宋体" w:hAnsi="宋体" w:cs="宋体"/>
                <w:bCs/>
                <w:color w:val="000000"/>
                <w:szCs w:val="21"/>
              </w:rPr>
            </w:pPr>
            <w:r>
              <w:rPr>
                <w:rFonts w:hint="eastAsia" w:ascii="宋体" w:hAnsi="宋体" w:cs="宋体"/>
                <w:bCs/>
                <w:color w:val="000000"/>
                <w:szCs w:val="21"/>
              </w:rPr>
              <w:t>通过数据隐私技术，对开放的数据服务地址进行隐身处理，增强数据服务的安全性</w:t>
            </w:r>
          </w:p>
        </w:tc>
      </w:tr>
      <w:tr w14:paraId="1C32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restart"/>
            <w:noWrap w:val="0"/>
            <w:vAlign w:val="center"/>
          </w:tcPr>
          <w:p w14:paraId="3B654BCF">
            <w:pPr>
              <w:widowControl/>
              <w:jc w:val="left"/>
              <w:textAlignment w:val="center"/>
              <w:rPr>
                <w:rFonts w:hint="eastAsia" w:ascii="宋体" w:hAnsi="宋体" w:cs="宋体"/>
                <w:bCs/>
                <w:color w:val="000000"/>
                <w:szCs w:val="21"/>
              </w:rPr>
            </w:pPr>
            <w:r>
              <w:rPr>
                <w:rFonts w:hint="eastAsia" w:ascii="宋体" w:hAnsi="宋体" w:cs="宋体"/>
                <w:bCs/>
                <w:color w:val="000000"/>
                <w:szCs w:val="21"/>
              </w:rPr>
              <w:t>权限体系</w:t>
            </w:r>
          </w:p>
        </w:tc>
        <w:tc>
          <w:tcPr>
            <w:tcW w:w="1685" w:type="dxa"/>
            <w:noWrap w:val="0"/>
            <w:vAlign w:val="center"/>
          </w:tcPr>
          <w:p w14:paraId="5B030451">
            <w:pPr>
              <w:widowControl/>
              <w:jc w:val="left"/>
              <w:textAlignment w:val="center"/>
              <w:rPr>
                <w:rFonts w:hint="eastAsia" w:ascii="宋体" w:hAnsi="宋体" w:cs="宋体"/>
                <w:bCs/>
                <w:color w:val="000000"/>
                <w:szCs w:val="21"/>
              </w:rPr>
            </w:pPr>
            <w:r>
              <w:rPr>
                <w:rFonts w:hint="eastAsia" w:ascii="宋体" w:hAnsi="宋体" w:cs="宋体"/>
                <w:bCs/>
                <w:color w:val="000000"/>
                <w:szCs w:val="21"/>
              </w:rPr>
              <w:t>权限分配管理</w:t>
            </w:r>
          </w:p>
        </w:tc>
        <w:tc>
          <w:tcPr>
            <w:tcW w:w="6059" w:type="dxa"/>
            <w:noWrap w:val="0"/>
            <w:vAlign w:val="center"/>
          </w:tcPr>
          <w:p w14:paraId="63CDAA60">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支持对用户或角色的权限进行定义、分配和管理，确保只有经过授权的用户才能访问特定的资源或执行特定的操作。</w:t>
            </w:r>
          </w:p>
        </w:tc>
      </w:tr>
      <w:tr w14:paraId="0768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6E220DC2">
            <w:pPr>
              <w:widowControl/>
              <w:jc w:val="left"/>
              <w:textAlignment w:val="center"/>
              <w:rPr>
                <w:rFonts w:hint="eastAsia" w:ascii="宋体" w:hAnsi="宋体" w:cs="宋体"/>
                <w:bCs/>
                <w:color w:val="000000"/>
                <w:szCs w:val="21"/>
              </w:rPr>
            </w:pPr>
          </w:p>
        </w:tc>
        <w:tc>
          <w:tcPr>
            <w:tcW w:w="1685" w:type="dxa"/>
            <w:noWrap w:val="0"/>
            <w:vAlign w:val="center"/>
          </w:tcPr>
          <w:p w14:paraId="41F07875">
            <w:pPr>
              <w:widowControl/>
              <w:jc w:val="left"/>
              <w:textAlignment w:val="center"/>
              <w:rPr>
                <w:rFonts w:hint="eastAsia" w:ascii="宋体" w:hAnsi="宋体" w:cs="宋体"/>
                <w:bCs/>
                <w:color w:val="000000"/>
                <w:szCs w:val="21"/>
              </w:rPr>
            </w:pPr>
            <w:r>
              <w:rPr>
                <w:rFonts w:hint="eastAsia" w:ascii="宋体" w:hAnsi="宋体" w:cs="宋体"/>
                <w:bCs/>
                <w:color w:val="000000"/>
                <w:szCs w:val="21"/>
              </w:rPr>
              <w:t>数据权限隔离</w:t>
            </w:r>
          </w:p>
        </w:tc>
        <w:tc>
          <w:tcPr>
            <w:tcW w:w="6059" w:type="dxa"/>
            <w:noWrap w:val="0"/>
            <w:vAlign w:val="center"/>
          </w:tcPr>
          <w:p w14:paraId="258CCAA0">
            <w:pPr>
              <w:widowControl/>
              <w:jc w:val="left"/>
              <w:textAlignment w:val="center"/>
              <w:rPr>
                <w:rFonts w:hint="eastAsia" w:ascii="宋体" w:hAnsi="宋体" w:cs="宋体"/>
                <w:bCs/>
                <w:color w:val="000000"/>
                <w:szCs w:val="21"/>
              </w:rPr>
            </w:pPr>
            <w:r>
              <w:rPr>
                <w:rFonts w:hint="eastAsia" w:ascii="宋体" w:hAnsi="宋体" w:cs="宋体"/>
                <w:bCs/>
                <w:color w:val="000000"/>
                <w:szCs w:val="21"/>
              </w:rPr>
              <w:t>根据用户的数据权限分配来限制对数据的访问，以防止数据泄露和滥用。</w:t>
            </w:r>
          </w:p>
        </w:tc>
      </w:tr>
      <w:tr w14:paraId="4A81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dxa"/>
            <w:vMerge w:val="continue"/>
            <w:noWrap w:val="0"/>
            <w:vAlign w:val="center"/>
          </w:tcPr>
          <w:p w14:paraId="5EF2C94B">
            <w:pPr>
              <w:widowControl/>
              <w:jc w:val="left"/>
              <w:textAlignment w:val="center"/>
              <w:rPr>
                <w:rFonts w:hint="eastAsia" w:ascii="宋体" w:hAnsi="宋体" w:cs="宋体"/>
                <w:bCs/>
                <w:color w:val="000000"/>
                <w:szCs w:val="21"/>
              </w:rPr>
            </w:pPr>
          </w:p>
        </w:tc>
        <w:tc>
          <w:tcPr>
            <w:tcW w:w="1685" w:type="dxa"/>
            <w:noWrap w:val="0"/>
            <w:vAlign w:val="center"/>
          </w:tcPr>
          <w:p w14:paraId="669EEF5D">
            <w:pPr>
              <w:widowControl/>
              <w:jc w:val="left"/>
              <w:textAlignment w:val="center"/>
              <w:rPr>
                <w:rFonts w:hint="eastAsia" w:ascii="宋体" w:hAnsi="宋体" w:cs="宋体"/>
                <w:bCs/>
                <w:color w:val="000000"/>
                <w:szCs w:val="21"/>
              </w:rPr>
            </w:pPr>
            <w:r>
              <w:rPr>
                <w:rFonts w:hint="eastAsia" w:ascii="宋体" w:hAnsi="宋体" w:cs="宋体"/>
                <w:bCs/>
                <w:color w:val="000000"/>
                <w:szCs w:val="21"/>
              </w:rPr>
              <w:t>功能权限隔离</w:t>
            </w:r>
          </w:p>
        </w:tc>
        <w:tc>
          <w:tcPr>
            <w:tcW w:w="6059" w:type="dxa"/>
            <w:noWrap w:val="0"/>
            <w:vAlign w:val="center"/>
          </w:tcPr>
          <w:p w14:paraId="2E18D6C0">
            <w:pPr>
              <w:widowControl/>
              <w:jc w:val="left"/>
              <w:textAlignment w:val="center"/>
              <w:rPr>
                <w:rFonts w:hint="eastAsia" w:ascii="宋体" w:hAnsi="宋体" w:cs="宋体"/>
                <w:bCs/>
                <w:color w:val="000000"/>
                <w:szCs w:val="21"/>
              </w:rPr>
            </w:pPr>
            <w:r>
              <w:rPr>
                <w:rFonts w:hint="eastAsia" w:ascii="宋体" w:hAnsi="宋体" w:cs="宋体"/>
                <w:bCs/>
                <w:color w:val="000000"/>
                <w:szCs w:val="21"/>
              </w:rPr>
              <w:t>控制用户对平台功能访问的机制，确保用户只能访问其所需的功能。</w:t>
            </w:r>
          </w:p>
        </w:tc>
      </w:tr>
      <w:tr w14:paraId="4366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restart"/>
            <w:noWrap w:val="0"/>
            <w:vAlign w:val="center"/>
          </w:tcPr>
          <w:p w14:paraId="779C1C0D">
            <w:pPr>
              <w:widowControl/>
              <w:jc w:val="left"/>
              <w:textAlignment w:val="center"/>
              <w:rPr>
                <w:rFonts w:hint="eastAsia" w:ascii="宋体" w:hAnsi="宋体" w:cs="宋体"/>
                <w:bCs/>
                <w:color w:val="000000"/>
                <w:szCs w:val="21"/>
              </w:rPr>
            </w:pPr>
            <w:r>
              <w:rPr>
                <w:rFonts w:hint="eastAsia" w:ascii="宋体" w:hAnsi="宋体" w:cs="宋体"/>
                <w:bCs/>
                <w:color w:val="000000"/>
                <w:szCs w:val="21"/>
              </w:rPr>
              <w:t>★网关服务</w:t>
            </w:r>
          </w:p>
        </w:tc>
        <w:tc>
          <w:tcPr>
            <w:tcW w:w="1685" w:type="dxa"/>
            <w:vMerge w:val="restart"/>
            <w:noWrap w:val="0"/>
            <w:vAlign w:val="center"/>
          </w:tcPr>
          <w:p w14:paraId="25B1F3B1">
            <w:pPr>
              <w:widowControl/>
              <w:jc w:val="left"/>
              <w:textAlignment w:val="center"/>
              <w:rPr>
                <w:rFonts w:hint="eastAsia" w:ascii="宋体" w:hAnsi="宋体" w:cs="宋体"/>
                <w:bCs/>
                <w:color w:val="000000"/>
                <w:szCs w:val="21"/>
              </w:rPr>
            </w:pPr>
            <w:r>
              <w:rPr>
                <w:rFonts w:hint="eastAsia" w:ascii="宋体" w:hAnsi="宋体" w:cs="宋体"/>
                <w:bCs/>
                <w:color w:val="000000"/>
                <w:szCs w:val="21"/>
              </w:rPr>
              <w:t>网关服务</w:t>
            </w:r>
          </w:p>
        </w:tc>
        <w:tc>
          <w:tcPr>
            <w:tcW w:w="6059" w:type="dxa"/>
            <w:noWrap w:val="0"/>
            <w:vAlign w:val="center"/>
          </w:tcPr>
          <w:p w14:paraId="0D6B9B7C">
            <w:pPr>
              <w:widowControl/>
              <w:jc w:val="left"/>
              <w:textAlignment w:val="center"/>
              <w:rPr>
                <w:rFonts w:hint="eastAsia" w:ascii="宋体" w:hAnsi="宋体" w:cs="宋体"/>
                <w:bCs/>
                <w:color w:val="000000"/>
                <w:szCs w:val="21"/>
              </w:rPr>
            </w:pPr>
            <w:r>
              <w:rPr>
                <w:rFonts w:hint="eastAsia" w:ascii="宋体" w:hAnsi="宋体" w:cs="宋体"/>
                <w:bCs/>
                <w:color w:val="000000"/>
                <w:szCs w:val="21"/>
              </w:rPr>
              <w:t>接口服务的封装、供上层应用接入</w:t>
            </w:r>
          </w:p>
        </w:tc>
      </w:tr>
      <w:tr w14:paraId="3478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5FF047EF">
            <w:pPr>
              <w:widowControl/>
              <w:jc w:val="left"/>
              <w:textAlignment w:val="center"/>
              <w:rPr>
                <w:rFonts w:hint="eastAsia" w:ascii="宋体" w:hAnsi="宋体" w:cs="宋体"/>
                <w:bCs/>
                <w:color w:val="000000"/>
                <w:szCs w:val="21"/>
              </w:rPr>
            </w:pPr>
          </w:p>
        </w:tc>
        <w:tc>
          <w:tcPr>
            <w:tcW w:w="1685" w:type="dxa"/>
            <w:vMerge w:val="continue"/>
            <w:noWrap w:val="0"/>
            <w:vAlign w:val="center"/>
          </w:tcPr>
          <w:p w14:paraId="2F32FEE7">
            <w:pPr>
              <w:widowControl/>
              <w:jc w:val="left"/>
              <w:textAlignment w:val="center"/>
              <w:rPr>
                <w:rFonts w:hint="eastAsia" w:ascii="宋体" w:hAnsi="宋体" w:cs="宋体"/>
                <w:bCs/>
                <w:color w:val="000000"/>
                <w:szCs w:val="21"/>
              </w:rPr>
            </w:pPr>
          </w:p>
        </w:tc>
        <w:tc>
          <w:tcPr>
            <w:tcW w:w="6059" w:type="dxa"/>
            <w:noWrap w:val="0"/>
            <w:vAlign w:val="center"/>
          </w:tcPr>
          <w:p w14:paraId="05448D71">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支持身份合法性认证</w:t>
            </w:r>
          </w:p>
        </w:tc>
      </w:tr>
      <w:tr w14:paraId="5F21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F44C691">
            <w:pPr>
              <w:widowControl/>
              <w:jc w:val="left"/>
              <w:textAlignment w:val="center"/>
              <w:rPr>
                <w:rFonts w:hint="eastAsia" w:ascii="宋体" w:hAnsi="宋体" w:cs="宋体"/>
                <w:bCs/>
                <w:color w:val="000000"/>
                <w:szCs w:val="21"/>
              </w:rPr>
            </w:pPr>
          </w:p>
        </w:tc>
        <w:tc>
          <w:tcPr>
            <w:tcW w:w="1685" w:type="dxa"/>
            <w:vMerge w:val="continue"/>
            <w:noWrap w:val="0"/>
            <w:vAlign w:val="center"/>
          </w:tcPr>
          <w:p w14:paraId="31DDB8B2">
            <w:pPr>
              <w:widowControl/>
              <w:jc w:val="left"/>
              <w:textAlignment w:val="center"/>
              <w:rPr>
                <w:rFonts w:hint="eastAsia" w:ascii="宋体" w:hAnsi="宋体" w:cs="宋体"/>
                <w:bCs/>
                <w:color w:val="000000"/>
                <w:szCs w:val="21"/>
              </w:rPr>
            </w:pPr>
          </w:p>
        </w:tc>
        <w:tc>
          <w:tcPr>
            <w:tcW w:w="6059" w:type="dxa"/>
            <w:noWrap w:val="0"/>
            <w:vAlign w:val="center"/>
          </w:tcPr>
          <w:p w14:paraId="3BD013B7">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支持流量规则校验</w:t>
            </w:r>
          </w:p>
        </w:tc>
      </w:tr>
      <w:tr w14:paraId="765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475F095C">
            <w:pPr>
              <w:widowControl/>
              <w:jc w:val="left"/>
              <w:textAlignment w:val="center"/>
              <w:rPr>
                <w:rFonts w:hint="eastAsia" w:ascii="宋体" w:hAnsi="宋体" w:cs="宋体"/>
                <w:bCs/>
                <w:color w:val="000000"/>
                <w:szCs w:val="21"/>
              </w:rPr>
            </w:pPr>
          </w:p>
        </w:tc>
        <w:tc>
          <w:tcPr>
            <w:tcW w:w="1685" w:type="dxa"/>
            <w:vMerge w:val="continue"/>
            <w:noWrap w:val="0"/>
            <w:vAlign w:val="center"/>
          </w:tcPr>
          <w:p w14:paraId="0DD7DB03">
            <w:pPr>
              <w:widowControl/>
              <w:jc w:val="left"/>
              <w:textAlignment w:val="center"/>
              <w:rPr>
                <w:rFonts w:hint="eastAsia" w:ascii="宋体" w:hAnsi="宋体" w:cs="宋体"/>
                <w:bCs/>
                <w:color w:val="000000"/>
                <w:szCs w:val="21"/>
              </w:rPr>
            </w:pPr>
          </w:p>
        </w:tc>
        <w:tc>
          <w:tcPr>
            <w:tcW w:w="6059" w:type="dxa"/>
            <w:noWrap w:val="0"/>
            <w:vAlign w:val="center"/>
          </w:tcPr>
          <w:p w14:paraId="714B79EE">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支持响应规则校验</w:t>
            </w:r>
          </w:p>
        </w:tc>
      </w:tr>
      <w:tr w14:paraId="7F8A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5B22605E">
            <w:pPr>
              <w:widowControl/>
              <w:jc w:val="left"/>
              <w:textAlignment w:val="center"/>
              <w:rPr>
                <w:rFonts w:hint="eastAsia" w:ascii="宋体" w:hAnsi="宋体" w:cs="宋体"/>
                <w:bCs/>
                <w:color w:val="000000"/>
                <w:szCs w:val="21"/>
              </w:rPr>
            </w:pPr>
          </w:p>
        </w:tc>
        <w:tc>
          <w:tcPr>
            <w:tcW w:w="1685" w:type="dxa"/>
            <w:vMerge w:val="continue"/>
            <w:noWrap w:val="0"/>
            <w:vAlign w:val="center"/>
          </w:tcPr>
          <w:p w14:paraId="4A1E053F">
            <w:pPr>
              <w:widowControl/>
              <w:jc w:val="left"/>
              <w:textAlignment w:val="center"/>
              <w:rPr>
                <w:rFonts w:hint="eastAsia" w:ascii="宋体" w:hAnsi="宋体" w:cs="宋体"/>
                <w:bCs/>
                <w:color w:val="000000"/>
                <w:szCs w:val="21"/>
              </w:rPr>
            </w:pPr>
          </w:p>
        </w:tc>
        <w:tc>
          <w:tcPr>
            <w:tcW w:w="6059" w:type="dxa"/>
            <w:noWrap w:val="0"/>
            <w:vAlign w:val="center"/>
          </w:tcPr>
          <w:p w14:paraId="6F36C961">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支持参数规则校验</w:t>
            </w:r>
          </w:p>
        </w:tc>
      </w:tr>
      <w:tr w14:paraId="3D6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53BACDF9">
            <w:pPr>
              <w:widowControl/>
              <w:jc w:val="left"/>
              <w:textAlignment w:val="center"/>
              <w:rPr>
                <w:rFonts w:hint="eastAsia" w:ascii="宋体" w:hAnsi="宋体" w:cs="宋体"/>
                <w:bCs/>
                <w:color w:val="000000"/>
                <w:szCs w:val="21"/>
              </w:rPr>
            </w:pPr>
          </w:p>
        </w:tc>
        <w:tc>
          <w:tcPr>
            <w:tcW w:w="1685" w:type="dxa"/>
            <w:vMerge w:val="continue"/>
            <w:noWrap w:val="0"/>
            <w:vAlign w:val="center"/>
          </w:tcPr>
          <w:p w14:paraId="0085209A">
            <w:pPr>
              <w:widowControl/>
              <w:jc w:val="left"/>
              <w:textAlignment w:val="center"/>
              <w:rPr>
                <w:rFonts w:hint="eastAsia" w:ascii="宋体" w:hAnsi="宋体" w:cs="宋体"/>
                <w:bCs/>
                <w:color w:val="000000"/>
                <w:szCs w:val="21"/>
              </w:rPr>
            </w:pPr>
          </w:p>
        </w:tc>
        <w:tc>
          <w:tcPr>
            <w:tcW w:w="6059" w:type="dxa"/>
            <w:noWrap w:val="0"/>
            <w:vAlign w:val="center"/>
          </w:tcPr>
          <w:p w14:paraId="5D2BBD7E">
            <w:pPr>
              <w:widowControl/>
              <w:jc w:val="left"/>
              <w:textAlignment w:val="center"/>
              <w:rPr>
                <w:rFonts w:hint="eastAsia" w:ascii="宋体" w:hAnsi="宋体" w:cs="宋体"/>
                <w:bCs/>
                <w:color w:val="000000"/>
                <w:szCs w:val="21"/>
              </w:rPr>
            </w:pPr>
            <w:r>
              <w:rPr>
                <w:rFonts w:hint="eastAsia" w:ascii="宋体" w:hAnsi="宋体" w:cs="宋体"/>
                <w:bCs/>
                <w:color w:val="000000"/>
                <w:szCs w:val="21"/>
              </w:rPr>
              <w:t>平台访问可以进行拦截、预警、通行管控，平台具备熔断监测能力</w:t>
            </w:r>
          </w:p>
        </w:tc>
      </w:tr>
      <w:tr w14:paraId="263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restart"/>
            <w:noWrap w:val="0"/>
            <w:vAlign w:val="center"/>
          </w:tcPr>
          <w:p w14:paraId="47117069">
            <w:pPr>
              <w:widowControl/>
              <w:jc w:val="left"/>
              <w:textAlignment w:val="center"/>
              <w:rPr>
                <w:rFonts w:hint="eastAsia" w:ascii="宋体" w:hAnsi="宋体" w:cs="宋体"/>
                <w:bCs/>
                <w:color w:val="000000"/>
                <w:szCs w:val="21"/>
              </w:rPr>
            </w:pPr>
            <w:r>
              <w:rPr>
                <w:rFonts w:hint="eastAsia" w:ascii="宋体" w:hAnsi="宋体" w:cs="宋体"/>
                <w:bCs/>
                <w:color w:val="000000"/>
                <w:szCs w:val="21"/>
              </w:rPr>
              <w:t>★解析/调用服务</w:t>
            </w:r>
          </w:p>
        </w:tc>
        <w:tc>
          <w:tcPr>
            <w:tcW w:w="1685" w:type="dxa"/>
            <w:vMerge w:val="restart"/>
            <w:noWrap w:val="0"/>
            <w:vAlign w:val="center"/>
          </w:tcPr>
          <w:p w14:paraId="78EB2AC3">
            <w:pPr>
              <w:widowControl/>
              <w:jc w:val="left"/>
              <w:textAlignment w:val="center"/>
              <w:rPr>
                <w:rFonts w:hint="eastAsia" w:ascii="宋体" w:hAnsi="宋体" w:cs="宋体"/>
                <w:bCs/>
                <w:color w:val="000000"/>
                <w:szCs w:val="21"/>
              </w:rPr>
            </w:pPr>
            <w:r>
              <w:rPr>
                <w:rFonts w:hint="eastAsia" w:ascii="宋体" w:hAnsi="宋体" w:cs="宋体"/>
                <w:bCs/>
                <w:color w:val="000000"/>
                <w:szCs w:val="21"/>
              </w:rPr>
              <w:t>解析/调用服务</w:t>
            </w:r>
          </w:p>
        </w:tc>
        <w:tc>
          <w:tcPr>
            <w:tcW w:w="6059" w:type="dxa"/>
            <w:noWrap w:val="0"/>
            <w:vAlign w:val="center"/>
          </w:tcPr>
          <w:p w14:paraId="69FD1ADE">
            <w:pPr>
              <w:widowControl/>
              <w:jc w:val="left"/>
              <w:textAlignment w:val="center"/>
              <w:rPr>
                <w:rFonts w:hint="eastAsia" w:ascii="宋体" w:hAnsi="宋体" w:cs="宋体"/>
                <w:bCs/>
                <w:color w:val="000000"/>
                <w:szCs w:val="21"/>
              </w:rPr>
            </w:pPr>
            <w:r>
              <w:rPr>
                <w:rFonts w:hint="eastAsia" w:ascii="宋体" w:hAnsi="宋体" w:cs="宋体"/>
                <w:bCs/>
                <w:color w:val="000000"/>
                <w:szCs w:val="21"/>
              </w:rPr>
              <w:t>支持出入参参数级别的解析校验功能</w:t>
            </w:r>
          </w:p>
        </w:tc>
      </w:tr>
      <w:tr w14:paraId="6163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0856B87F">
            <w:pPr>
              <w:widowControl/>
              <w:jc w:val="left"/>
              <w:textAlignment w:val="center"/>
              <w:rPr>
                <w:rFonts w:hint="eastAsia" w:ascii="宋体" w:hAnsi="宋体" w:cs="宋体"/>
                <w:bCs/>
                <w:color w:val="000000"/>
                <w:szCs w:val="21"/>
              </w:rPr>
            </w:pPr>
          </w:p>
        </w:tc>
        <w:tc>
          <w:tcPr>
            <w:tcW w:w="1685" w:type="dxa"/>
            <w:vMerge w:val="continue"/>
            <w:noWrap w:val="0"/>
            <w:vAlign w:val="center"/>
          </w:tcPr>
          <w:p w14:paraId="4CDDFA8D">
            <w:pPr>
              <w:widowControl/>
              <w:jc w:val="left"/>
              <w:textAlignment w:val="center"/>
              <w:rPr>
                <w:rFonts w:hint="eastAsia" w:ascii="宋体" w:hAnsi="宋体" w:cs="宋体"/>
                <w:bCs/>
                <w:color w:val="000000"/>
                <w:szCs w:val="21"/>
              </w:rPr>
            </w:pPr>
          </w:p>
        </w:tc>
        <w:tc>
          <w:tcPr>
            <w:tcW w:w="6059" w:type="dxa"/>
            <w:noWrap w:val="0"/>
            <w:vAlign w:val="center"/>
          </w:tcPr>
          <w:p w14:paraId="5760EAB8">
            <w:pPr>
              <w:widowControl/>
              <w:jc w:val="left"/>
              <w:textAlignment w:val="center"/>
              <w:rPr>
                <w:rFonts w:hint="eastAsia" w:ascii="宋体" w:hAnsi="宋体" w:cs="宋体"/>
                <w:bCs/>
                <w:color w:val="000000"/>
                <w:szCs w:val="21"/>
              </w:rPr>
            </w:pPr>
            <w:r>
              <w:rPr>
                <w:rFonts w:hint="eastAsia" w:ascii="宋体" w:hAnsi="宋体" w:cs="宋体"/>
                <w:bCs/>
                <w:color w:val="000000"/>
                <w:szCs w:val="21"/>
              </w:rPr>
              <w:t>内部服务协议组装，参数组合</w:t>
            </w:r>
          </w:p>
        </w:tc>
      </w:tr>
      <w:tr w14:paraId="45CC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25" w:type="dxa"/>
            <w:vMerge w:val="continue"/>
            <w:noWrap w:val="0"/>
            <w:vAlign w:val="center"/>
          </w:tcPr>
          <w:p w14:paraId="7A99794E">
            <w:pPr>
              <w:widowControl/>
              <w:jc w:val="left"/>
              <w:textAlignment w:val="center"/>
              <w:rPr>
                <w:rFonts w:hint="eastAsia" w:ascii="宋体" w:hAnsi="宋体" w:cs="宋体"/>
                <w:bCs/>
                <w:color w:val="000000"/>
                <w:szCs w:val="21"/>
              </w:rPr>
            </w:pPr>
          </w:p>
        </w:tc>
        <w:tc>
          <w:tcPr>
            <w:tcW w:w="1685" w:type="dxa"/>
            <w:vMerge w:val="continue"/>
            <w:noWrap w:val="0"/>
            <w:vAlign w:val="center"/>
          </w:tcPr>
          <w:p w14:paraId="5EE742D3">
            <w:pPr>
              <w:widowControl/>
              <w:jc w:val="left"/>
              <w:textAlignment w:val="center"/>
              <w:rPr>
                <w:rFonts w:hint="eastAsia" w:ascii="宋体" w:hAnsi="宋体" w:cs="宋体"/>
                <w:bCs/>
                <w:color w:val="000000"/>
                <w:szCs w:val="21"/>
              </w:rPr>
            </w:pPr>
          </w:p>
        </w:tc>
        <w:tc>
          <w:tcPr>
            <w:tcW w:w="6059" w:type="dxa"/>
            <w:noWrap w:val="0"/>
            <w:vAlign w:val="center"/>
          </w:tcPr>
          <w:p w14:paraId="4509DA8F">
            <w:pPr>
              <w:widowControl/>
              <w:jc w:val="left"/>
              <w:textAlignment w:val="center"/>
              <w:rPr>
                <w:rFonts w:hint="eastAsia" w:ascii="宋体" w:hAnsi="宋体" w:cs="宋体"/>
                <w:bCs/>
                <w:color w:val="000000"/>
                <w:szCs w:val="21"/>
              </w:rPr>
            </w:pPr>
            <w:r>
              <w:rPr>
                <w:rFonts w:hint="eastAsia" w:ascii="宋体" w:hAnsi="宋体" w:cs="宋体"/>
                <w:bCs/>
                <w:color w:val="000000"/>
                <w:szCs w:val="21"/>
              </w:rPr>
              <w:t>调用链接内部系统服务</w:t>
            </w:r>
          </w:p>
        </w:tc>
      </w:tr>
    </w:tbl>
    <w:p w14:paraId="54F6EB32">
      <w:pPr>
        <w:widowControl/>
        <w:jc w:val="left"/>
        <w:textAlignment w:val="center"/>
        <w:rPr>
          <w:rFonts w:hint="eastAsia" w:ascii="宋体" w:hAnsi="宋体" w:cs="宋体"/>
          <w:bCs/>
          <w:color w:val="000000"/>
          <w:szCs w:val="21"/>
        </w:rPr>
      </w:pPr>
    </w:p>
    <w:p w14:paraId="67F67D2C">
      <w:pPr>
        <w:pStyle w:val="3"/>
        <w:numPr>
          <w:ilvl w:val="0"/>
          <w:numId w:val="3"/>
        </w:numPr>
        <w:ind w:firstLine="422"/>
        <w:rPr>
          <w:rFonts w:hint="eastAsia"/>
        </w:rPr>
      </w:pPr>
      <w:r>
        <w:rPr>
          <w:rFonts w:hint="eastAsia"/>
        </w:rPr>
        <w:t>堡垒机授权扩容</w:t>
      </w:r>
    </w:p>
    <w:tbl>
      <w:tblPr>
        <w:tblStyle w:val="9"/>
        <w:tblpPr w:leftFromText="180" w:rightFromText="180" w:vertAnchor="text" w:horzAnchor="page" w:tblpX="1542" w:tblpY="306"/>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696"/>
        <w:gridCol w:w="5730"/>
      </w:tblGrid>
      <w:tr w14:paraId="2414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733AE11F">
            <w:pPr>
              <w:jc w:val="left"/>
              <w:rPr>
                <w:rFonts w:hint="eastAsia"/>
                <w:b/>
                <w:bCs/>
                <w:lang w:eastAsia="zh-Hans"/>
              </w:rPr>
            </w:pPr>
            <w:r>
              <w:rPr>
                <w:rFonts w:hint="eastAsia"/>
                <w:b/>
                <w:bCs/>
              </w:rPr>
              <w:t>技术指标</w:t>
            </w:r>
          </w:p>
        </w:tc>
        <w:tc>
          <w:tcPr>
            <w:tcW w:w="7426" w:type="dxa"/>
            <w:gridSpan w:val="2"/>
            <w:noWrap w:val="0"/>
            <w:vAlign w:val="center"/>
          </w:tcPr>
          <w:p w14:paraId="531828C5">
            <w:pPr>
              <w:jc w:val="left"/>
              <w:rPr>
                <w:rFonts w:hint="eastAsia"/>
                <w:b/>
                <w:bCs/>
                <w:lang w:eastAsia="zh-Hans"/>
              </w:rPr>
            </w:pPr>
            <w:r>
              <w:rPr>
                <w:rFonts w:hint="eastAsia"/>
                <w:b/>
                <w:bCs/>
              </w:rPr>
              <w:t>指标要求</w:t>
            </w:r>
          </w:p>
        </w:tc>
      </w:tr>
      <w:tr w14:paraId="1F9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4CABE1BA">
            <w:pPr>
              <w:pStyle w:val="19"/>
              <w:jc w:val="center"/>
              <w:rPr>
                <w:rFonts w:hint="eastAsia" w:ascii="宋体" w:hAnsi="宋体" w:cs="宋体"/>
                <w:b/>
                <w:color w:val="000000"/>
                <w:szCs w:val="21"/>
              </w:rPr>
            </w:pPr>
            <w:r>
              <w:rPr>
                <w:rFonts w:hint="eastAsia" w:ascii="宋体" w:hAnsi="宋体" w:cs="宋体"/>
                <w:b/>
                <w:color w:val="000000"/>
                <w:szCs w:val="21"/>
              </w:rPr>
              <w:t>配置要求</w:t>
            </w:r>
          </w:p>
        </w:tc>
        <w:tc>
          <w:tcPr>
            <w:tcW w:w="1696" w:type="dxa"/>
            <w:noWrap w:val="0"/>
            <w:vAlign w:val="center"/>
          </w:tcPr>
          <w:p w14:paraId="26DED458">
            <w:pPr>
              <w:pStyle w:val="19"/>
              <w:jc w:val="left"/>
              <w:rPr>
                <w:rFonts w:hint="eastAsia" w:ascii="宋体" w:hAnsi="宋体" w:cs="宋体"/>
                <w:b/>
                <w:color w:val="000000"/>
                <w:szCs w:val="21"/>
              </w:rPr>
            </w:pPr>
            <w:r>
              <w:rPr>
                <w:rFonts w:hint="eastAsia" w:ascii="宋体" w:hAnsi="宋体" w:cs="宋体"/>
                <w:b/>
                <w:color w:val="000000"/>
                <w:szCs w:val="21"/>
              </w:rPr>
              <w:t>配置要求</w:t>
            </w:r>
          </w:p>
        </w:tc>
        <w:tc>
          <w:tcPr>
            <w:tcW w:w="5730" w:type="dxa"/>
            <w:noWrap w:val="0"/>
            <w:vAlign w:val="top"/>
          </w:tcPr>
          <w:p w14:paraId="02609320">
            <w:pPr>
              <w:pStyle w:val="19"/>
              <w:rPr>
                <w:rFonts w:hint="eastAsia" w:ascii="宋体" w:hAnsi="宋体" w:cs="宋体"/>
                <w:b/>
                <w:color w:val="000000"/>
                <w:szCs w:val="21"/>
              </w:rPr>
            </w:pPr>
            <w:r>
              <w:rPr>
                <w:rFonts w:hint="eastAsia" w:ascii="宋体" w:hAnsi="宋体" w:cs="宋体"/>
                <w:b/>
                <w:color w:val="000000"/>
                <w:szCs w:val="21"/>
              </w:rPr>
              <w:t>对医院现有的2台堡垒机资源管理授权进行扩容，新增300点资源授权；</w:t>
            </w:r>
          </w:p>
        </w:tc>
      </w:tr>
      <w:tr w14:paraId="1DFE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9" w:type="dxa"/>
            <w:vMerge w:val="restart"/>
            <w:noWrap w:val="0"/>
            <w:vAlign w:val="center"/>
          </w:tcPr>
          <w:p w14:paraId="67C21192">
            <w:pPr>
              <w:pStyle w:val="19"/>
              <w:jc w:val="center"/>
              <w:rPr>
                <w:rFonts w:hint="eastAsia" w:ascii="宋体" w:hAnsi="宋体" w:cs="宋体"/>
                <w:bCs/>
                <w:color w:val="000000"/>
                <w:szCs w:val="21"/>
              </w:rPr>
            </w:pPr>
            <w:r>
              <w:rPr>
                <w:rFonts w:hint="eastAsia" w:ascii="宋体" w:hAnsi="宋体" w:cs="宋体"/>
                <w:bCs/>
                <w:color w:val="000000"/>
                <w:szCs w:val="21"/>
              </w:rPr>
              <w:t>身份认证</w:t>
            </w:r>
          </w:p>
        </w:tc>
        <w:tc>
          <w:tcPr>
            <w:tcW w:w="1696" w:type="dxa"/>
            <w:noWrap w:val="0"/>
            <w:vAlign w:val="center"/>
          </w:tcPr>
          <w:p w14:paraId="5A893437">
            <w:pPr>
              <w:pStyle w:val="19"/>
              <w:rPr>
                <w:rFonts w:hint="eastAsia" w:ascii="宋体" w:hAnsi="宋体" w:cs="宋体"/>
                <w:bCs/>
                <w:color w:val="000000"/>
                <w:szCs w:val="21"/>
              </w:rPr>
            </w:pPr>
            <w:r>
              <w:rPr>
                <w:rFonts w:hint="eastAsia" w:ascii="宋体" w:hAnsi="宋体" w:cs="宋体"/>
                <w:bCs/>
                <w:color w:val="000000"/>
                <w:szCs w:val="21"/>
              </w:rPr>
              <w:t>多因子认证</w:t>
            </w:r>
          </w:p>
        </w:tc>
        <w:tc>
          <w:tcPr>
            <w:tcW w:w="5730" w:type="dxa"/>
            <w:noWrap w:val="0"/>
            <w:vAlign w:val="center"/>
          </w:tcPr>
          <w:p w14:paraId="39693475">
            <w:pPr>
              <w:pStyle w:val="19"/>
              <w:rPr>
                <w:rFonts w:hint="eastAsia" w:ascii="宋体" w:hAnsi="宋体" w:cs="宋体"/>
                <w:bCs/>
                <w:color w:val="000000"/>
                <w:szCs w:val="21"/>
              </w:rPr>
            </w:pPr>
            <w:r>
              <w:rPr>
                <w:rFonts w:hint="eastAsia" w:ascii="宋体" w:hAnsi="宋体" w:cs="宋体"/>
                <w:bCs/>
                <w:color w:val="000000"/>
                <w:szCs w:val="21"/>
              </w:rPr>
              <w:t>支持多因子认证，方式包括手机令牌、手机短信、动态令牌、国密USBKey、指纹识别等多因子认证方式</w:t>
            </w:r>
          </w:p>
        </w:tc>
      </w:tr>
      <w:tr w14:paraId="6C48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CC529F3">
            <w:pPr>
              <w:pStyle w:val="19"/>
              <w:jc w:val="center"/>
              <w:rPr>
                <w:rFonts w:hint="eastAsia" w:ascii="宋体" w:hAnsi="宋体" w:cs="宋体"/>
                <w:bCs/>
                <w:color w:val="000000"/>
                <w:szCs w:val="21"/>
              </w:rPr>
            </w:pPr>
          </w:p>
        </w:tc>
        <w:tc>
          <w:tcPr>
            <w:tcW w:w="1696" w:type="dxa"/>
            <w:noWrap w:val="0"/>
            <w:vAlign w:val="center"/>
          </w:tcPr>
          <w:p w14:paraId="76780001">
            <w:pPr>
              <w:pStyle w:val="19"/>
              <w:rPr>
                <w:rFonts w:hint="eastAsia" w:ascii="宋体" w:hAnsi="宋体" w:cs="宋体"/>
                <w:bCs/>
                <w:color w:val="000000"/>
                <w:szCs w:val="21"/>
              </w:rPr>
            </w:pPr>
            <w:r>
              <w:rPr>
                <w:rFonts w:hint="eastAsia" w:ascii="宋体" w:hAnsi="宋体" w:cs="宋体"/>
                <w:bCs/>
                <w:color w:val="000000"/>
                <w:szCs w:val="21"/>
              </w:rPr>
              <w:t>★微信小程序手机动态口令认证</w:t>
            </w:r>
          </w:p>
        </w:tc>
        <w:tc>
          <w:tcPr>
            <w:tcW w:w="5730" w:type="dxa"/>
            <w:noWrap w:val="0"/>
            <w:vAlign w:val="center"/>
          </w:tcPr>
          <w:p w14:paraId="0D04C9E3">
            <w:pPr>
              <w:pStyle w:val="19"/>
              <w:rPr>
                <w:rFonts w:hint="eastAsia" w:ascii="宋体" w:hAnsi="宋体" w:cs="宋体"/>
                <w:bCs/>
                <w:color w:val="000000"/>
                <w:szCs w:val="21"/>
              </w:rPr>
            </w:pPr>
            <w:r>
              <w:rPr>
                <w:rFonts w:hint="eastAsia" w:ascii="宋体" w:hAnsi="宋体" w:cs="宋体"/>
                <w:bCs/>
                <w:color w:val="000000"/>
                <w:szCs w:val="21"/>
              </w:rPr>
              <w:t>支持微信小程序动态口令认证方式登录堡垒机，且当用户需要使用手机令牌登录时，需要强制绑定手机令牌（提供功能截图证明）</w:t>
            </w:r>
          </w:p>
        </w:tc>
      </w:tr>
      <w:tr w14:paraId="437B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9387837">
            <w:pPr>
              <w:pStyle w:val="19"/>
              <w:jc w:val="center"/>
              <w:rPr>
                <w:rFonts w:hint="eastAsia" w:ascii="宋体" w:hAnsi="宋体" w:cs="宋体"/>
                <w:bCs/>
                <w:color w:val="000000"/>
                <w:szCs w:val="21"/>
              </w:rPr>
            </w:pPr>
          </w:p>
        </w:tc>
        <w:tc>
          <w:tcPr>
            <w:tcW w:w="1696" w:type="dxa"/>
            <w:noWrap w:val="0"/>
            <w:vAlign w:val="center"/>
          </w:tcPr>
          <w:p w14:paraId="3B03AD6A">
            <w:pPr>
              <w:pStyle w:val="19"/>
              <w:rPr>
                <w:rFonts w:hint="eastAsia" w:ascii="宋体" w:hAnsi="宋体" w:cs="宋体"/>
                <w:bCs/>
                <w:color w:val="000000"/>
                <w:szCs w:val="21"/>
              </w:rPr>
            </w:pPr>
            <w:r>
              <w:rPr>
                <w:rFonts w:hint="eastAsia" w:ascii="宋体" w:hAnsi="宋体" w:cs="宋体"/>
                <w:bCs/>
                <w:color w:val="000000"/>
                <w:szCs w:val="21"/>
              </w:rPr>
              <w:t>与第三方认证对接</w:t>
            </w:r>
          </w:p>
        </w:tc>
        <w:tc>
          <w:tcPr>
            <w:tcW w:w="5730" w:type="dxa"/>
            <w:noWrap w:val="0"/>
            <w:vAlign w:val="center"/>
          </w:tcPr>
          <w:p w14:paraId="1E681235">
            <w:pPr>
              <w:pStyle w:val="19"/>
              <w:rPr>
                <w:rFonts w:hint="eastAsia" w:ascii="宋体" w:hAnsi="宋体" w:cs="宋体"/>
                <w:bCs/>
                <w:color w:val="000000"/>
                <w:szCs w:val="21"/>
              </w:rPr>
            </w:pPr>
            <w:r>
              <w:rPr>
                <w:rFonts w:hint="eastAsia" w:ascii="宋体" w:hAnsi="宋体" w:cs="宋体"/>
                <w:bCs/>
                <w:color w:val="000000"/>
                <w:szCs w:val="21"/>
              </w:rPr>
              <w:t>支持RADIUS、AD域、LDAP、OIDC、CAS等认证类型</w:t>
            </w:r>
          </w:p>
        </w:tc>
      </w:tr>
      <w:tr w14:paraId="1B8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1514DB93">
            <w:pPr>
              <w:pStyle w:val="19"/>
              <w:jc w:val="center"/>
              <w:rPr>
                <w:rFonts w:hint="eastAsia" w:ascii="宋体" w:hAnsi="宋体" w:cs="宋体"/>
                <w:bCs/>
                <w:color w:val="000000"/>
                <w:szCs w:val="21"/>
              </w:rPr>
            </w:pPr>
            <w:r>
              <w:rPr>
                <w:rFonts w:hint="eastAsia" w:ascii="宋体" w:hAnsi="宋体" w:cs="宋体"/>
                <w:bCs/>
                <w:color w:val="000000"/>
                <w:szCs w:val="21"/>
              </w:rPr>
              <w:t>资源管理</w:t>
            </w:r>
          </w:p>
        </w:tc>
        <w:tc>
          <w:tcPr>
            <w:tcW w:w="1696" w:type="dxa"/>
            <w:noWrap w:val="0"/>
            <w:vAlign w:val="center"/>
          </w:tcPr>
          <w:p w14:paraId="16A16D71">
            <w:pPr>
              <w:pStyle w:val="19"/>
              <w:rPr>
                <w:rFonts w:hint="eastAsia" w:ascii="宋体" w:hAnsi="宋体" w:cs="宋体"/>
                <w:bCs/>
                <w:color w:val="000000"/>
                <w:szCs w:val="21"/>
              </w:rPr>
            </w:pPr>
            <w:r>
              <w:rPr>
                <w:rFonts w:hint="eastAsia" w:ascii="宋体" w:hAnsi="宋体" w:cs="宋体"/>
                <w:bCs/>
                <w:color w:val="000000"/>
                <w:szCs w:val="21"/>
              </w:rPr>
              <w:t>支持的协议</w:t>
            </w:r>
          </w:p>
        </w:tc>
        <w:tc>
          <w:tcPr>
            <w:tcW w:w="5730" w:type="dxa"/>
            <w:noWrap w:val="0"/>
            <w:vAlign w:val="top"/>
          </w:tcPr>
          <w:p w14:paraId="540926D8">
            <w:pPr>
              <w:pStyle w:val="19"/>
              <w:rPr>
                <w:rFonts w:hint="eastAsia" w:ascii="宋体" w:hAnsi="宋体" w:cs="宋体"/>
                <w:bCs/>
                <w:color w:val="000000"/>
                <w:szCs w:val="21"/>
              </w:rPr>
            </w:pPr>
            <w:r>
              <w:rPr>
                <w:rFonts w:hint="eastAsia" w:ascii="宋体" w:hAnsi="宋体" w:cs="宋体"/>
                <w:bCs/>
                <w:color w:val="000000"/>
                <w:szCs w:val="21"/>
              </w:rPr>
              <w:t>支持的运维协议包含SSH、RDP、VNC、Telnet、FTP、SCP、SFTP、DB2、MySQL、Oracle、SQL Server、Rlogin</w:t>
            </w:r>
          </w:p>
        </w:tc>
      </w:tr>
      <w:tr w14:paraId="2713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8F8FF29">
            <w:pPr>
              <w:pStyle w:val="19"/>
              <w:jc w:val="center"/>
              <w:rPr>
                <w:rFonts w:hint="eastAsia" w:ascii="宋体" w:hAnsi="宋体" w:cs="宋体"/>
                <w:bCs/>
                <w:color w:val="000000"/>
                <w:szCs w:val="21"/>
              </w:rPr>
            </w:pPr>
          </w:p>
        </w:tc>
        <w:tc>
          <w:tcPr>
            <w:tcW w:w="1696" w:type="dxa"/>
            <w:noWrap w:val="0"/>
            <w:vAlign w:val="center"/>
          </w:tcPr>
          <w:p w14:paraId="114EAA65">
            <w:pPr>
              <w:pStyle w:val="19"/>
              <w:rPr>
                <w:rFonts w:hint="eastAsia" w:ascii="宋体" w:hAnsi="宋体" w:cs="宋体"/>
                <w:bCs/>
                <w:color w:val="000000"/>
                <w:szCs w:val="21"/>
              </w:rPr>
            </w:pPr>
            <w:r>
              <w:rPr>
                <w:rFonts w:hint="eastAsia" w:ascii="宋体" w:hAnsi="宋体" w:cs="宋体"/>
                <w:bCs/>
                <w:color w:val="000000"/>
                <w:szCs w:val="21"/>
              </w:rPr>
              <w:t>支持的应用</w:t>
            </w:r>
          </w:p>
        </w:tc>
        <w:tc>
          <w:tcPr>
            <w:tcW w:w="5730" w:type="dxa"/>
            <w:noWrap w:val="0"/>
            <w:vAlign w:val="top"/>
          </w:tcPr>
          <w:p w14:paraId="7B1E6DEF">
            <w:pPr>
              <w:pStyle w:val="19"/>
              <w:rPr>
                <w:rFonts w:hint="eastAsia" w:ascii="宋体" w:hAnsi="宋体" w:cs="宋体"/>
                <w:bCs/>
                <w:color w:val="000000"/>
                <w:szCs w:val="21"/>
              </w:rPr>
            </w:pPr>
            <w:r>
              <w:rPr>
                <w:rFonts w:hint="eastAsia" w:ascii="宋体" w:hAnsi="宋体" w:cs="宋体"/>
                <w:bCs/>
                <w:color w:val="000000"/>
                <w:szCs w:val="21"/>
              </w:rPr>
              <w:t>可通过应用发布实现对MySQL、SQL Server、Oracle、IE、Firefox、Chrome、VNC Client、SecBrowser、VSphere Client、Radmin、dbisql等应用程序/客户端的扩展支持</w:t>
            </w:r>
          </w:p>
        </w:tc>
      </w:tr>
      <w:tr w14:paraId="3A1F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22278BD2">
            <w:pPr>
              <w:pStyle w:val="19"/>
              <w:jc w:val="center"/>
              <w:rPr>
                <w:rFonts w:hint="eastAsia" w:ascii="宋体" w:hAnsi="宋体" w:cs="宋体"/>
                <w:bCs/>
                <w:color w:val="000000"/>
                <w:szCs w:val="21"/>
              </w:rPr>
            </w:pPr>
          </w:p>
        </w:tc>
        <w:tc>
          <w:tcPr>
            <w:tcW w:w="1696" w:type="dxa"/>
            <w:noWrap w:val="0"/>
            <w:vAlign w:val="center"/>
          </w:tcPr>
          <w:p w14:paraId="10976E3C">
            <w:pPr>
              <w:pStyle w:val="19"/>
              <w:rPr>
                <w:rFonts w:hint="eastAsia" w:ascii="宋体" w:hAnsi="宋体" w:cs="宋体"/>
                <w:bCs/>
                <w:color w:val="000000"/>
                <w:szCs w:val="21"/>
              </w:rPr>
            </w:pPr>
            <w:r>
              <w:rPr>
                <w:rFonts w:hint="eastAsia" w:ascii="宋体" w:hAnsi="宋体" w:cs="宋体"/>
                <w:bCs/>
                <w:color w:val="000000"/>
                <w:szCs w:val="21"/>
              </w:rPr>
              <w:t>★云主机管理</w:t>
            </w:r>
          </w:p>
        </w:tc>
        <w:tc>
          <w:tcPr>
            <w:tcW w:w="5730" w:type="dxa"/>
            <w:noWrap w:val="0"/>
            <w:vAlign w:val="top"/>
          </w:tcPr>
          <w:p w14:paraId="0C513EC5">
            <w:pPr>
              <w:pStyle w:val="19"/>
              <w:rPr>
                <w:rFonts w:hint="eastAsia" w:ascii="宋体" w:hAnsi="宋体" w:cs="宋体"/>
                <w:bCs/>
                <w:color w:val="000000"/>
                <w:szCs w:val="21"/>
              </w:rPr>
            </w:pPr>
            <w:r>
              <w:rPr>
                <w:rFonts w:hint="eastAsia" w:ascii="宋体" w:hAnsi="宋体" w:cs="宋体"/>
                <w:bCs/>
                <w:color w:val="000000"/>
                <w:szCs w:val="21"/>
              </w:rPr>
              <w:t>支持云主机资源批量导入，包括阿里云、百度云、华为云、腾讯云、Ucloud、AWS、Azure云平台的资源，支持设置优先导入公网和内网IP设置，支持导入同时批量新建标签</w:t>
            </w:r>
          </w:p>
        </w:tc>
      </w:tr>
      <w:tr w14:paraId="5F6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4E38F33F">
            <w:pPr>
              <w:pStyle w:val="19"/>
              <w:jc w:val="center"/>
              <w:rPr>
                <w:rFonts w:hint="eastAsia" w:ascii="宋体" w:hAnsi="宋体" w:cs="宋体"/>
                <w:bCs/>
                <w:color w:val="000000"/>
                <w:szCs w:val="21"/>
              </w:rPr>
            </w:pPr>
            <w:r>
              <w:rPr>
                <w:rFonts w:hint="eastAsia" w:ascii="宋体" w:hAnsi="宋体" w:cs="宋体"/>
                <w:bCs/>
                <w:color w:val="000000"/>
                <w:szCs w:val="21"/>
              </w:rPr>
              <w:t>策略管理</w:t>
            </w:r>
          </w:p>
        </w:tc>
        <w:tc>
          <w:tcPr>
            <w:tcW w:w="1696" w:type="dxa"/>
            <w:noWrap w:val="0"/>
            <w:vAlign w:val="center"/>
          </w:tcPr>
          <w:p w14:paraId="27CFC1DA">
            <w:pPr>
              <w:pStyle w:val="19"/>
              <w:rPr>
                <w:rFonts w:hint="eastAsia" w:ascii="宋体" w:hAnsi="宋体" w:cs="宋体"/>
                <w:bCs/>
                <w:color w:val="000000"/>
                <w:szCs w:val="21"/>
              </w:rPr>
            </w:pPr>
            <w:r>
              <w:rPr>
                <w:rFonts w:hint="eastAsia" w:ascii="宋体" w:hAnsi="宋体" w:cs="宋体"/>
                <w:bCs/>
                <w:color w:val="000000"/>
                <w:szCs w:val="21"/>
              </w:rPr>
              <w:t>访问控制</w:t>
            </w:r>
          </w:p>
        </w:tc>
        <w:tc>
          <w:tcPr>
            <w:tcW w:w="5730" w:type="dxa"/>
            <w:noWrap w:val="0"/>
            <w:vAlign w:val="top"/>
          </w:tcPr>
          <w:p w14:paraId="7F092C70">
            <w:pPr>
              <w:pStyle w:val="19"/>
              <w:rPr>
                <w:rFonts w:hint="eastAsia" w:ascii="宋体" w:hAnsi="宋体" w:cs="宋体"/>
                <w:bCs/>
                <w:color w:val="000000"/>
                <w:szCs w:val="21"/>
              </w:rPr>
            </w:pPr>
            <w:r>
              <w:rPr>
                <w:rFonts w:hint="eastAsia" w:ascii="宋体" w:hAnsi="宋体" w:cs="宋体"/>
                <w:bCs/>
                <w:color w:val="000000"/>
                <w:szCs w:val="21"/>
              </w:rPr>
              <w:t>支持同时以用户、用户组、账户、账户组为核心要素，来设置多对多的资源访问授权，用户组和账户组内的新增成员可自动继承授权关系</w:t>
            </w:r>
          </w:p>
        </w:tc>
      </w:tr>
      <w:tr w14:paraId="6C6A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3A015CB3">
            <w:pPr>
              <w:pStyle w:val="19"/>
              <w:jc w:val="center"/>
              <w:rPr>
                <w:rFonts w:hint="eastAsia" w:ascii="宋体" w:hAnsi="宋体" w:cs="宋体"/>
                <w:bCs/>
                <w:color w:val="000000"/>
                <w:szCs w:val="21"/>
              </w:rPr>
            </w:pPr>
          </w:p>
        </w:tc>
        <w:tc>
          <w:tcPr>
            <w:tcW w:w="1696" w:type="dxa"/>
            <w:noWrap w:val="0"/>
            <w:vAlign w:val="center"/>
          </w:tcPr>
          <w:p w14:paraId="695DD17E">
            <w:pPr>
              <w:pStyle w:val="19"/>
              <w:rPr>
                <w:rFonts w:hint="eastAsia" w:ascii="宋体" w:hAnsi="宋体" w:cs="宋体"/>
                <w:bCs/>
                <w:color w:val="000000"/>
                <w:szCs w:val="21"/>
              </w:rPr>
            </w:pPr>
            <w:r>
              <w:rPr>
                <w:rFonts w:hint="eastAsia" w:ascii="宋体" w:hAnsi="宋体" w:cs="宋体"/>
                <w:bCs/>
                <w:color w:val="000000"/>
                <w:szCs w:val="21"/>
              </w:rPr>
              <w:t>双人授权</w:t>
            </w:r>
          </w:p>
        </w:tc>
        <w:tc>
          <w:tcPr>
            <w:tcW w:w="5730" w:type="dxa"/>
            <w:noWrap w:val="0"/>
            <w:vAlign w:val="top"/>
          </w:tcPr>
          <w:p w14:paraId="3673A413">
            <w:pPr>
              <w:pStyle w:val="19"/>
              <w:rPr>
                <w:rFonts w:hint="eastAsia" w:ascii="宋体" w:hAnsi="宋体" w:cs="宋体"/>
                <w:bCs/>
                <w:color w:val="000000"/>
                <w:szCs w:val="21"/>
              </w:rPr>
            </w:pPr>
            <w:r>
              <w:rPr>
                <w:rFonts w:hint="eastAsia" w:ascii="宋体" w:hAnsi="宋体" w:cs="宋体"/>
                <w:bCs/>
                <w:color w:val="000000"/>
                <w:szCs w:val="21"/>
              </w:rPr>
              <w:t>针对核心设备可配置双人授权，需要管理员现场审批才能访问资源</w:t>
            </w:r>
          </w:p>
        </w:tc>
      </w:tr>
      <w:tr w14:paraId="3DD0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30EE2B59">
            <w:pPr>
              <w:pStyle w:val="19"/>
              <w:jc w:val="center"/>
              <w:rPr>
                <w:rFonts w:hint="eastAsia" w:ascii="宋体" w:hAnsi="宋体" w:cs="宋体"/>
                <w:bCs/>
                <w:color w:val="000000"/>
                <w:szCs w:val="21"/>
              </w:rPr>
            </w:pPr>
          </w:p>
        </w:tc>
        <w:tc>
          <w:tcPr>
            <w:tcW w:w="1696" w:type="dxa"/>
            <w:noWrap w:val="0"/>
            <w:vAlign w:val="center"/>
          </w:tcPr>
          <w:p w14:paraId="4748D4C3">
            <w:pPr>
              <w:pStyle w:val="19"/>
              <w:rPr>
                <w:rFonts w:hint="eastAsia" w:ascii="宋体" w:hAnsi="宋体" w:cs="宋体"/>
                <w:bCs/>
                <w:color w:val="000000"/>
                <w:szCs w:val="21"/>
              </w:rPr>
            </w:pPr>
            <w:r>
              <w:rPr>
                <w:rFonts w:hint="eastAsia" w:ascii="宋体" w:hAnsi="宋体" w:cs="宋体"/>
                <w:bCs/>
                <w:color w:val="000000"/>
                <w:szCs w:val="21"/>
              </w:rPr>
              <w:t>★数据库控制</w:t>
            </w:r>
          </w:p>
        </w:tc>
        <w:tc>
          <w:tcPr>
            <w:tcW w:w="5730" w:type="dxa"/>
            <w:noWrap w:val="0"/>
            <w:vAlign w:val="center"/>
          </w:tcPr>
          <w:p w14:paraId="1A8B15CF">
            <w:pPr>
              <w:pStyle w:val="19"/>
              <w:rPr>
                <w:rFonts w:hint="eastAsia" w:ascii="宋体" w:hAnsi="宋体" w:cs="宋体"/>
                <w:bCs/>
                <w:color w:val="000000"/>
                <w:szCs w:val="21"/>
              </w:rPr>
            </w:pPr>
            <w:r>
              <w:rPr>
                <w:rFonts w:hint="eastAsia" w:ascii="宋体" w:hAnsi="宋体" w:cs="宋体"/>
                <w:bCs/>
                <w:color w:val="000000"/>
                <w:szCs w:val="21"/>
              </w:rPr>
              <w:t>支持对MySQL、Oracle和达梦数据库的访问操作进行控制，可基于库、表、命令实现对数据库操作的细粒度访问控制，执行动作包括但不限于断开连接、拒绝执行、动态授权、允许执行</w:t>
            </w:r>
          </w:p>
        </w:tc>
      </w:tr>
      <w:tr w14:paraId="3619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2D8C8B98">
            <w:pPr>
              <w:pStyle w:val="19"/>
              <w:jc w:val="center"/>
              <w:rPr>
                <w:rFonts w:hint="eastAsia" w:ascii="宋体" w:hAnsi="宋体" w:cs="宋体"/>
                <w:bCs/>
                <w:color w:val="000000"/>
                <w:szCs w:val="21"/>
              </w:rPr>
            </w:pPr>
          </w:p>
        </w:tc>
        <w:tc>
          <w:tcPr>
            <w:tcW w:w="1696" w:type="dxa"/>
            <w:noWrap w:val="0"/>
            <w:vAlign w:val="center"/>
          </w:tcPr>
          <w:p w14:paraId="4F479C31">
            <w:pPr>
              <w:pStyle w:val="19"/>
              <w:rPr>
                <w:rFonts w:hint="eastAsia" w:ascii="宋体" w:hAnsi="宋体" w:cs="宋体"/>
                <w:bCs/>
                <w:color w:val="000000"/>
                <w:szCs w:val="21"/>
              </w:rPr>
            </w:pPr>
            <w:r>
              <w:rPr>
                <w:rFonts w:hint="eastAsia" w:ascii="宋体" w:hAnsi="宋体" w:cs="宋体"/>
                <w:bCs/>
                <w:color w:val="000000"/>
                <w:szCs w:val="21"/>
              </w:rPr>
              <w:t>策略优先级</w:t>
            </w:r>
          </w:p>
        </w:tc>
        <w:tc>
          <w:tcPr>
            <w:tcW w:w="5730" w:type="dxa"/>
            <w:noWrap w:val="0"/>
            <w:vAlign w:val="top"/>
          </w:tcPr>
          <w:p w14:paraId="5202162C">
            <w:pPr>
              <w:pStyle w:val="19"/>
              <w:rPr>
                <w:rFonts w:hint="eastAsia" w:ascii="宋体" w:hAnsi="宋体" w:cs="宋体"/>
                <w:bCs/>
                <w:color w:val="000000"/>
                <w:szCs w:val="21"/>
              </w:rPr>
            </w:pPr>
            <w:r>
              <w:rPr>
                <w:rFonts w:hint="eastAsia" w:ascii="宋体" w:hAnsi="宋体" w:cs="宋体"/>
                <w:bCs/>
                <w:color w:val="000000"/>
                <w:szCs w:val="21"/>
              </w:rPr>
              <w:t>支持直接拖动改变访问控制策略、命令控制策略和数据库控制策略的优先级顺序</w:t>
            </w:r>
          </w:p>
        </w:tc>
      </w:tr>
      <w:tr w14:paraId="6EF5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5B5A74B9">
            <w:pPr>
              <w:pStyle w:val="19"/>
              <w:jc w:val="center"/>
              <w:rPr>
                <w:rFonts w:hint="eastAsia" w:ascii="宋体" w:hAnsi="宋体" w:cs="宋体"/>
                <w:bCs/>
                <w:color w:val="000000"/>
                <w:szCs w:val="21"/>
              </w:rPr>
            </w:pPr>
            <w:r>
              <w:rPr>
                <w:rFonts w:hint="eastAsia" w:ascii="宋体" w:hAnsi="宋体" w:cs="宋体"/>
                <w:bCs/>
                <w:color w:val="000000"/>
                <w:szCs w:val="21"/>
              </w:rPr>
              <w:t>资源账户改密</w:t>
            </w:r>
          </w:p>
        </w:tc>
        <w:tc>
          <w:tcPr>
            <w:tcW w:w="1696" w:type="dxa"/>
            <w:noWrap w:val="0"/>
            <w:vAlign w:val="center"/>
          </w:tcPr>
          <w:p w14:paraId="197CADD4">
            <w:pPr>
              <w:pStyle w:val="19"/>
              <w:rPr>
                <w:rFonts w:hint="eastAsia" w:ascii="宋体" w:hAnsi="宋体" w:cs="宋体"/>
                <w:bCs/>
                <w:color w:val="000000"/>
                <w:szCs w:val="21"/>
              </w:rPr>
            </w:pPr>
            <w:r>
              <w:rPr>
                <w:rFonts w:hint="eastAsia" w:ascii="宋体" w:hAnsi="宋体" w:cs="宋体"/>
                <w:bCs/>
                <w:color w:val="000000"/>
                <w:szCs w:val="21"/>
              </w:rPr>
              <w:t>自动改密</w:t>
            </w:r>
          </w:p>
        </w:tc>
        <w:tc>
          <w:tcPr>
            <w:tcW w:w="5730" w:type="dxa"/>
            <w:noWrap w:val="0"/>
            <w:vAlign w:val="top"/>
          </w:tcPr>
          <w:p w14:paraId="69BC5B10">
            <w:pPr>
              <w:pStyle w:val="19"/>
              <w:rPr>
                <w:rFonts w:hint="eastAsia" w:ascii="宋体" w:hAnsi="宋体" w:cs="宋体"/>
                <w:bCs/>
                <w:color w:val="000000"/>
                <w:szCs w:val="21"/>
              </w:rPr>
            </w:pPr>
            <w:r>
              <w:rPr>
                <w:rFonts w:hint="eastAsia" w:ascii="宋体" w:hAnsi="宋体" w:cs="宋体"/>
                <w:bCs/>
                <w:color w:val="000000"/>
                <w:szCs w:val="21"/>
              </w:rPr>
              <w:t>支持以账户、账户组、时间、改密周期、改密方式生成详细的改密计划，到期自动执行</w:t>
            </w:r>
          </w:p>
        </w:tc>
      </w:tr>
      <w:tr w14:paraId="709E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67F12CE">
            <w:pPr>
              <w:pStyle w:val="19"/>
              <w:jc w:val="center"/>
              <w:rPr>
                <w:rFonts w:hint="eastAsia" w:ascii="宋体" w:hAnsi="宋体" w:cs="宋体"/>
                <w:bCs/>
                <w:color w:val="000000"/>
                <w:szCs w:val="21"/>
              </w:rPr>
            </w:pPr>
          </w:p>
        </w:tc>
        <w:tc>
          <w:tcPr>
            <w:tcW w:w="1696" w:type="dxa"/>
            <w:noWrap w:val="0"/>
            <w:vAlign w:val="center"/>
          </w:tcPr>
          <w:p w14:paraId="0EE1945F">
            <w:pPr>
              <w:pStyle w:val="19"/>
              <w:rPr>
                <w:rFonts w:hint="eastAsia" w:ascii="宋体" w:hAnsi="宋体" w:cs="宋体"/>
                <w:bCs/>
                <w:color w:val="000000"/>
                <w:szCs w:val="21"/>
              </w:rPr>
            </w:pPr>
            <w:r>
              <w:rPr>
                <w:rFonts w:hint="eastAsia" w:ascii="宋体" w:hAnsi="宋体" w:cs="宋体"/>
                <w:bCs/>
                <w:color w:val="000000"/>
                <w:szCs w:val="21"/>
              </w:rPr>
              <w:t>密码分段外发</w:t>
            </w:r>
          </w:p>
        </w:tc>
        <w:tc>
          <w:tcPr>
            <w:tcW w:w="5730" w:type="dxa"/>
            <w:noWrap w:val="0"/>
            <w:vAlign w:val="top"/>
          </w:tcPr>
          <w:p w14:paraId="015D6969">
            <w:pPr>
              <w:pStyle w:val="19"/>
              <w:rPr>
                <w:rFonts w:hint="eastAsia" w:ascii="宋体" w:hAnsi="宋体" w:cs="宋体"/>
                <w:bCs/>
                <w:color w:val="000000"/>
                <w:szCs w:val="21"/>
              </w:rPr>
            </w:pPr>
            <w:r>
              <w:rPr>
                <w:rFonts w:hint="eastAsia" w:ascii="宋体" w:hAnsi="宋体" w:cs="宋体"/>
                <w:bCs/>
                <w:color w:val="000000"/>
                <w:szCs w:val="21"/>
              </w:rPr>
              <w:t>改密完成之后，通过邮件将密码发送给指定的管理员，需要指定2个管理员，管理员A收到前半段密码，管理员B收到后半段密码</w:t>
            </w:r>
          </w:p>
        </w:tc>
      </w:tr>
      <w:tr w14:paraId="562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25DB593E">
            <w:pPr>
              <w:pStyle w:val="19"/>
              <w:jc w:val="center"/>
              <w:rPr>
                <w:rFonts w:hint="eastAsia" w:ascii="宋体" w:hAnsi="宋体" w:cs="宋体"/>
                <w:bCs/>
                <w:color w:val="000000"/>
                <w:szCs w:val="21"/>
              </w:rPr>
            </w:pPr>
          </w:p>
        </w:tc>
        <w:tc>
          <w:tcPr>
            <w:tcW w:w="1696" w:type="dxa"/>
            <w:noWrap w:val="0"/>
            <w:vAlign w:val="center"/>
          </w:tcPr>
          <w:p w14:paraId="0F37ED0A">
            <w:pPr>
              <w:pStyle w:val="19"/>
              <w:rPr>
                <w:rFonts w:hint="eastAsia" w:ascii="宋体" w:hAnsi="宋体" w:cs="宋体"/>
                <w:bCs/>
                <w:color w:val="000000"/>
                <w:szCs w:val="21"/>
              </w:rPr>
            </w:pPr>
            <w:r>
              <w:rPr>
                <w:rFonts w:hint="eastAsia" w:ascii="宋体" w:hAnsi="宋体" w:cs="宋体"/>
                <w:bCs/>
                <w:color w:val="000000"/>
                <w:szCs w:val="21"/>
              </w:rPr>
              <w:t>密码生成方式</w:t>
            </w:r>
          </w:p>
        </w:tc>
        <w:tc>
          <w:tcPr>
            <w:tcW w:w="5730" w:type="dxa"/>
            <w:noWrap w:val="0"/>
            <w:vAlign w:val="top"/>
          </w:tcPr>
          <w:p w14:paraId="18EA4977">
            <w:pPr>
              <w:pStyle w:val="19"/>
              <w:rPr>
                <w:rFonts w:hint="eastAsia" w:ascii="宋体" w:hAnsi="宋体" w:cs="宋体"/>
                <w:bCs/>
                <w:color w:val="000000"/>
                <w:szCs w:val="21"/>
              </w:rPr>
            </w:pPr>
            <w:r>
              <w:rPr>
                <w:rFonts w:hint="eastAsia" w:ascii="宋体" w:hAnsi="宋体" w:cs="宋体"/>
                <w:bCs/>
                <w:color w:val="000000"/>
                <w:szCs w:val="21"/>
              </w:rPr>
              <w:t>支持随机生成不同、相同密码或者手动指定密码，改密日志内容包括改密账户总数，成功、失败和未修改数量</w:t>
            </w:r>
          </w:p>
        </w:tc>
      </w:tr>
      <w:tr w14:paraId="738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2063346">
            <w:pPr>
              <w:pStyle w:val="19"/>
              <w:jc w:val="center"/>
              <w:rPr>
                <w:rFonts w:hint="eastAsia" w:ascii="宋体" w:hAnsi="宋体" w:cs="宋体"/>
                <w:bCs/>
                <w:color w:val="000000"/>
                <w:szCs w:val="21"/>
              </w:rPr>
            </w:pPr>
          </w:p>
        </w:tc>
        <w:tc>
          <w:tcPr>
            <w:tcW w:w="1696" w:type="dxa"/>
            <w:noWrap w:val="0"/>
            <w:vAlign w:val="center"/>
          </w:tcPr>
          <w:p w14:paraId="79086CF8">
            <w:pPr>
              <w:pStyle w:val="19"/>
              <w:rPr>
                <w:rFonts w:hint="eastAsia" w:ascii="宋体" w:hAnsi="宋体" w:cs="宋体"/>
                <w:bCs/>
                <w:color w:val="000000"/>
                <w:szCs w:val="21"/>
              </w:rPr>
            </w:pPr>
            <w:r>
              <w:rPr>
                <w:rFonts w:hint="eastAsia" w:ascii="宋体" w:hAnsi="宋体" w:cs="宋体"/>
                <w:bCs/>
                <w:color w:val="000000"/>
                <w:szCs w:val="21"/>
              </w:rPr>
              <w:t>数据库改密</w:t>
            </w:r>
          </w:p>
        </w:tc>
        <w:tc>
          <w:tcPr>
            <w:tcW w:w="5730" w:type="dxa"/>
            <w:noWrap w:val="0"/>
            <w:vAlign w:val="top"/>
          </w:tcPr>
          <w:p w14:paraId="29E76B11">
            <w:pPr>
              <w:pStyle w:val="19"/>
              <w:rPr>
                <w:rFonts w:hint="eastAsia" w:ascii="宋体" w:hAnsi="宋体" w:cs="宋体"/>
                <w:bCs/>
                <w:color w:val="000000"/>
                <w:szCs w:val="21"/>
              </w:rPr>
            </w:pPr>
            <w:r>
              <w:rPr>
                <w:rFonts w:hint="eastAsia" w:ascii="宋体" w:hAnsi="宋体" w:cs="宋体"/>
                <w:bCs/>
                <w:color w:val="000000"/>
                <w:szCs w:val="21"/>
              </w:rPr>
              <w:t>支持修改数据库账户的密码，包括MySQL、Oracle、SQL Server</w:t>
            </w:r>
          </w:p>
        </w:tc>
      </w:tr>
      <w:tr w14:paraId="2D9C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3DAD677A">
            <w:pPr>
              <w:pStyle w:val="19"/>
              <w:jc w:val="center"/>
              <w:rPr>
                <w:rFonts w:hint="eastAsia" w:ascii="宋体" w:hAnsi="宋体" w:cs="宋体"/>
                <w:bCs/>
                <w:color w:val="000000"/>
                <w:szCs w:val="21"/>
              </w:rPr>
            </w:pPr>
          </w:p>
        </w:tc>
        <w:tc>
          <w:tcPr>
            <w:tcW w:w="1696" w:type="dxa"/>
            <w:noWrap w:val="0"/>
            <w:vAlign w:val="center"/>
          </w:tcPr>
          <w:p w14:paraId="7B3877E4">
            <w:pPr>
              <w:pStyle w:val="19"/>
              <w:rPr>
                <w:rFonts w:hint="eastAsia" w:ascii="宋体" w:hAnsi="宋体" w:cs="宋体"/>
                <w:bCs/>
                <w:color w:val="000000"/>
                <w:szCs w:val="21"/>
              </w:rPr>
            </w:pPr>
            <w:r>
              <w:rPr>
                <w:rFonts w:hint="eastAsia" w:ascii="宋体" w:hAnsi="宋体" w:cs="宋体"/>
                <w:bCs/>
                <w:color w:val="000000"/>
                <w:szCs w:val="21"/>
              </w:rPr>
              <w:t>特权账户改密</w:t>
            </w:r>
          </w:p>
        </w:tc>
        <w:tc>
          <w:tcPr>
            <w:tcW w:w="5730" w:type="dxa"/>
            <w:noWrap w:val="0"/>
            <w:vAlign w:val="top"/>
          </w:tcPr>
          <w:p w14:paraId="043D6C9E">
            <w:pPr>
              <w:pStyle w:val="19"/>
              <w:rPr>
                <w:rFonts w:hint="eastAsia" w:ascii="宋体" w:hAnsi="宋体" w:cs="宋体"/>
                <w:bCs/>
                <w:color w:val="000000"/>
                <w:szCs w:val="21"/>
              </w:rPr>
            </w:pPr>
            <w:r>
              <w:rPr>
                <w:rFonts w:hint="eastAsia" w:ascii="宋体" w:hAnsi="宋体" w:cs="宋体"/>
                <w:bCs/>
                <w:color w:val="000000"/>
                <w:szCs w:val="21"/>
              </w:rPr>
              <w:t>支持设置是否使用特权账户改密、是否修改特权账户密码</w:t>
            </w:r>
          </w:p>
        </w:tc>
      </w:tr>
      <w:tr w14:paraId="6FCE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41D39AB6">
            <w:pPr>
              <w:pStyle w:val="19"/>
              <w:jc w:val="center"/>
              <w:rPr>
                <w:rFonts w:hint="eastAsia" w:ascii="宋体" w:hAnsi="宋体" w:cs="宋体"/>
                <w:bCs/>
                <w:color w:val="000000"/>
                <w:szCs w:val="21"/>
              </w:rPr>
            </w:pPr>
            <w:r>
              <w:rPr>
                <w:rFonts w:hint="eastAsia" w:ascii="宋体" w:hAnsi="宋体" w:cs="宋体"/>
                <w:bCs/>
                <w:color w:val="000000"/>
                <w:szCs w:val="21"/>
              </w:rPr>
              <w:t>资源运维</w:t>
            </w:r>
          </w:p>
        </w:tc>
        <w:tc>
          <w:tcPr>
            <w:tcW w:w="1696" w:type="dxa"/>
            <w:noWrap w:val="0"/>
            <w:vAlign w:val="center"/>
          </w:tcPr>
          <w:p w14:paraId="4EA79422">
            <w:pPr>
              <w:pStyle w:val="19"/>
              <w:rPr>
                <w:rFonts w:hint="eastAsia" w:ascii="宋体" w:hAnsi="宋体" w:cs="宋体"/>
                <w:bCs/>
                <w:color w:val="000000"/>
                <w:szCs w:val="21"/>
              </w:rPr>
            </w:pPr>
            <w:r>
              <w:rPr>
                <w:rFonts w:hint="eastAsia" w:ascii="宋体" w:hAnsi="宋体" w:cs="宋体"/>
                <w:bCs/>
                <w:color w:val="000000"/>
                <w:szCs w:val="21"/>
              </w:rPr>
              <w:t>H5运维</w:t>
            </w:r>
          </w:p>
        </w:tc>
        <w:tc>
          <w:tcPr>
            <w:tcW w:w="5730" w:type="dxa"/>
            <w:noWrap w:val="0"/>
            <w:vAlign w:val="top"/>
          </w:tcPr>
          <w:p w14:paraId="735BD159">
            <w:pPr>
              <w:pStyle w:val="19"/>
              <w:rPr>
                <w:rFonts w:hint="eastAsia" w:ascii="宋体" w:hAnsi="宋体" w:cs="宋体"/>
                <w:bCs/>
                <w:color w:val="000000"/>
                <w:szCs w:val="21"/>
              </w:rPr>
            </w:pPr>
            <w:r>
              <w:rPr>
                <w:rFonts w:hint="eastAsia" w:ascii="宋体" w:hAnsi="宋体" w:cs="宋体"/>
                <w:bCs/>
                <w:color w:val="000000"/>
                <w:szCs w:val="21"/>
              </w:rPr>
              <w:t xml:space="preserve">不限操作系统类型，无需安装任何客户端插件，使用浏览器通过H5方式即可直接运维SSH、RDP、Telnet、VNC和应用发布资源； </w:t>
            </w:r>
          </w:p>
        </w:tc>
      </w:tr>
      <w:tr w14:paraId="48A8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37E633A">
            <w:pPr>
              <w:pStyle w:val="19"/>
              <w:jc w:val="center"/>
              <w:rPr>
                <w:rFonts w:hint="eastAsia" w:ascii="宋体" w:hAnsi="宋体" w:cs="宋体"/>
                <w:bCs/>
                <w:color w:val="000000"/>
                <w:szCs w:val="21"/>
              </w:rPr>
            </w:pPr>
          </w:p>
        </w:tc>
        <w:tc>
          <w:tcPr>
            <w:tcW w:w="1696" w:type="dxa"/>
            <w:noWrap w:val="0"/>
            <w:vAlign w:val="center"/>
          </w:tcPr>
          <w:p w14:paraId="1D58D21A">
            <w:pPr>
              <w:pStyle w:val="19"/>
              <w:rPr>
                <w:rFonts w:hint="eastAsia" w:ascii="宋体" w:hAnsi="宋体" w:cs="宋体"/>
                <w:bCs/>
                <w:color w:val="000000"/>
                <w:szCs w:val="21"/>
              </w:rPr>
            </w:pPr>
            <w:r>
              <w:rPr>
                <w:rFonts w:hint="eastAsia" w:ascii="宋体" w:hAnsi="宋体" w:cs="宋体"/>
                <w:bCs/>
                <w:color w:val="000000"/>
                <w:szCs w:val="21"/>
              </w:rPr>
              <w:t>自定义分辨率</w:t>
            </w:r>
          </w:p>
        </w:tc>
        <w:tc>
          <w:tcPr>
            <w:tcW w:w="5730" w:type="dxa"/>
            <w:noWrap w:val="0"/>
            <w:vAlign w:val="top"/>
          </w:tcPr>
          <w:p w14:paraId="3BEB1568">
            <w:pPr>
              <w:pStyle w:val="19"/>
              <w:rPr>
                <w:rFonts w:hint="eastAsia" w:ascii="宋体" w:hAnsi="宋体" w:cs="宋体"/>
                <w:bCs/>
                <w:color w:val="000000"/>
                <w:szCs w:val="21"/>
              </w:rPr>
            </w:pPr>
            <w:r>
              <w:rPr>
                <w:rFonts w:hint="eastAsia" w:ascii="宋体" w:hAnsi="宋体" w:cs="宋体"/>
                <w:bCs/>
                <w:color w:val="000000"/>
                <w:szCs w:val="21"/>
              </w:rPr>
              <w:t>通过H5运维RDP资源时，支持自定义分辨率</w:t>
            </w:r>
          </w:p>
        </w:tc>
      </w:tr>
      <w:tr w14:paraId="4273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48CA79E">
            <w:pPr>
              <w:pStyle w:val="19"/>
              <w:jc w:val="center"/>
              <w:rPr>
                <w:rFonts w:hint="eastAsia" w:ascii="宋体" w:hAnsi="宋体" w:cs="宋体"/>
                <w:bCs/>
                <w:color w:val="000000"/>
                <w:szCs w:val="21"/>
              </w:rPr>
            </w:pPr>
          </w:p>
        </w:tc>
        <w:tc>
          <w:tcPr>
            <w:tcW w:w="1696" w:type="dxa"/>
            <w:noWrap w:val="0"/>
            <w:vAlign w:val="center"/>
          </w:tcPr>
          <w:p w14:paraId="6881AF89">
            <w:pPr>
              <w:pStyle w:val="19"/>
              <w:rPr>
                <w:rFonts w:hint="eastAsia" w:ascii="宋体" w:hAnsi="宋体" w:cs="宋体"/>
                <w:bCs/>
                <w:color w:val="000000"/>
                <w:szCs w:val="21"/>
              </w:rPr>
            </w:pPr>
            <w:r>
              <w:rPr>
                <w:rFonts w:hint="eastAsia" w:ascii="宋体" w:hAnsi="宋体" w:cs="宋体"/>
                <w:bCs/>
                <w:color w:val="000000"/>
                <w:szCs w:val="21"/>
              </w:rPr>
              <w:t>数据库运维</w:t>
            </w:r>
          </w:p>
        </w:tc>
        <w:tc>
          <w:tcPr>
            <w:tcW w:w="5730" w:type="dxa"/>
            <w:noWrap w:val="0"/>
            <w:vAlign w:val="top"/>
          </w:tcPr>
          <w:p w14:paraId="20A260AA">
            <w:pPr>
              <w:pStyle w:val="19"/>
              <w:rPr>
                <w:rFonts w:hint="eastAsia" w:ascii="宋体" w:hAnsi="宋体" w:cs="宋体"/>
                <w:bCs/>
                <w:color w:val="000000"/>
                <w:szCs w:val="21"/>
              </w:rPr>
            </w:pPr>
            <w:r>
              <w:rPr>
                <w:rFonts w:hint="eastAsia" w:ascii="宋体" w:hAnsi="宋体" w:cs="宋体"/>
                <w:bCs/>
                <w:color w:val="000000"/>
                <w:szCs w:val="21"/>
              </w:rPr>
              <w:t>支持通过Web页面调用本地 计算机的Navicat、MySQL Administrator、MySQL CMD、PLSQL、SSMS、DB2CMD等客户端工具访问数据库资源</w:t>
            </w:r>
          </w:p>
        </w:tc>
      </w:tr>
      <w:tr w14:paraId="66BC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A2E08C3">
            <w:pPr>
              <w:pStyle w:val="19"/>
              <w:jc w:val="center"/>
              <w:rPr>
                <w:rFonts w:hint="eastAsia" w:ascii="宋体" w:hAnsi="宋体" w:cs="宋体"/>
                <w:bCs/>
                <w:color w:val="000000"/>
                <w:szCs w:val="21"/>
              </w:rPr>
            </w:pPr>
          </w:p>
        </w:tc>
        <w:tc>
          <w:tcPr>
            <w:tcW w:w="1696" w:type="dxa"/>
            <w:noWrap w:val="0"/>
            <w:vAlign w:val="center"/>
          </w:tcPr>
          <w:p w14:paraId="63FA7363">
            <w:pPr>
              <w:pStyle w:val="19"/>
              <w:rPr>
                <w:rFonts w:hint="eastAsia" w:ascii="宋体" w:hAnsi="宋体" w:cs="宋体"/>
                <w:bCs/>
                <w:color w:val="000000"/>
                <w:szCs w:val="21"/>
              </w:rPr>
            </w:pPr>
            <w:r>
              <w:rPr>
                <w:rFonts w:hint="eastAsia" w:ascii="宋体" w:hAnsi="宋体" w:cs="宋体"/>
                <w:bCs/>
                <w:color w:val="000000"/>
                <w:szCs w:val="21"/>
              </w:rPr>
              <w:t>快捷登录配置文件</w:t>
            </w:r>
          </w:p>
        </w:tc>
        <w:tc>
          <w:tcPr>
            <w:tcW w:w="5730" w:type="dxa"/>
            <w:noWrap w:val="0"/>
            <w:vAlign w:val="top"/>
          </w:tcPr>
          <w:p w14:paraId="00207D22">
            <w:pPr>
              <w:pStyle w:val="19"/>
              <w:rPr>
                <w:rFonts w:hint="eastAsia" w:ascii="宋体" w:hAnsi="宋体" w:cs="宋体"/>
                <w:bCs/>
                <w:color w:val="000000"/>
                <w:szCs w:val="21"/>
              </w:rPr>
            </w:pPr>
            <w:r>
              <w:rPr>
                <w:rFonts w:hint="eastAsia" w:ascii="宋体" w:hAnsi="宋体" w:cs="宋体"/>
                <w:bCs/>
                <w:color w:val="000000"/>
                <w:szCs w:val="21"/>
              </w:rPr>
              <w:t>支持MAC电脑使用SecureCRT的登录配置文件去登录资源</w:t>
            </w:r>
          </w:p>
        </w:tc>
      </w:tr>
      <w:tr w14:paraId="6EFA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1A072F62">
            <w:pPr>
              <w:pStyle w:val="19"/>
              <w:jc w:val="center"/>
              <w:rPr>
                <w:rFonts w:hint="eastAsia" w:ascii="宋体" w:hAnsi="宋体" w:cs="宋体"/>
                <w:bCs/>
                <w:color w:val="000000"/>
                <w:szCs w:val="21"/>
              </w:rPr>
            </w:pPr>
          </w:p>
        </w:tc>
        <w:tc>
          <w:tcPr>
            <w:tcW w:w="1696" w:type="dxa"/>
            <w:noWrap w:val="0"/>
            <w:vAlign w:val="center"/>
          </w:tcPr>
          <w:p w14:paraId="7A8A8B67">
            <w:pPr>
              <w:pStyle w:val="19"/>
              <w:jc w:val="center"/>
              <w:rPr>
                <w:rFonts w:hint="eastAsia" w:ascii="宋体" w:hAnsi="宋体" w:cs="宋体"/>
                <w:bCs/>
                <w:color w:val="000000"/>
                <w:szCs w:val="21"/>
              </w:rPr>
            </w:pPr>
            <w:r>
              <w:rPr>
                <w:rFonts w:hint="eastAsia" w:ascii="宋体" w:hAnsi="宋体" w:cs="宋体"/>
                <w:bCs/>
                <w:color w:val="000000"/>
                <w:szCs w:val="21"/>
              </w:rPr>
              <w:t>批量登录</w:t>
            </w:r>
          </w:p>
        </w:tc>
        <w:tc>
          <w:tcPr>
            <w:tcW w:w="5730" w:type="dxa"/>
            <w:noWrap w:val="0"/>
            <w:vAlign w:val="top"/>
          </w:tcPr>
          <w:p w14:paraId="77477CCF">
            <w:pPr>
              <w:pStyle w:val="19"/>
              <w:rPr>
                <w:rFonts w:hint="eastAsia" w:ascii="宋体" w:hAnsi="宋体" w:cs="宋体"/>
                <w:bCs/>
                <w:color w:val="000000"/>
                <w:szCs w:val="21"/>
              </w:rPr>
            </w:pPr>
            <w:r>
              <w:rPr>
                <w:rFonts w:hint="eastAsia" w:ascii="宋体" w:hAnsi="宋体" w:cs="宋体"/>
                <w:bCs/>
                <w:color w:val="000000"/>
                <w:szCs w:val="21"/>
              </w:rPr>
              <w:t>支持SSH、RDP、TELNET、VNC协议资源的批量登录功能，并且支持混合协议的批量登录，支持同时在一个页面运维不同协议的资源</w:t>
            </w:r>
          </w:p>
        </w:tc>
      </w:tr>
      <w:tr w14:paraId="7C9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345E8D7">
            <w:pPr>
              <w:pStyle w:val="19"/>
              <w:jc w:val="center"/>
              <w:rPr>
                <w:rFonts w:hint="eastAsia" w:ascii="宋体" w:hAnsi="宋体" w:cs="宋体"/>
                <w:bCs/>
                <w:color w:val="000000"/>
                <w:szCs w:val="21"/>
              </w:rPr>
            </w:pPr>
          </w:p>
        </w:tc>
        <w:tc>
          <w:tcPr>
            <w:tcW w:w="1696" w:type="dxa"/>
            <w:noWrap w:val="0"/>
            <w:vAlign w:val="center"/>
          </w:tcPr>
          <w:p w14:paraId="692815B3">
            <w:pPr>
              <w:pStyle w:val="19"/>
              <w:jc w:val="center"/>
              <w:rPr>
                <w:rFonts w:hint="eastAsia" w:ascii="宋体" w:hAnsi="宋体" w:cs="宋体"/>
                <w:bCs/>
                <w:color w:val="000000"/>
                <w:szCs w:val="21"/>
              </w:rPr>
            </w:pPr>
            <w:r>
              <w:rPr>
                <w:rFonts w:hint="eastAsia" w:ascii="宋体" w:hAnsi="宋体" w:cs="宋体"/>
                <w:bCs/>
                <w:color w:val="000000"/>
                <w:szCs w:val="21"/>
              </w:rPr>
              <w:t>命令群发</w:t>
            </w:r>
          </w:p>
        </w:tc>
        <w:tc>
          <w:tcPr>
            <w:tcW w:w="5730" w:type="dxa"/>
            <w:noWrap w:val="0"/>
            <w:vAlign w:val="top"/>
          </w:tcPr>
          <w:p w14:paraId="4342BFD9">
            <w:pPr>
              <w:pStyle w:val="19"/>
              <w:rPr>
                <w:rFonts w:hint="eastAsia" w:ascii="宋体" w:hAnsi="宋体" w:cs="宋体"/>
                <w:bCs/>
                <w:color w:val="000000"/>
                <w:szCs w:val="21"/>
              </w:rPr>
            </w:pPr>
            <w:r>
              <w:rPr>
                <w:rFonts w:hint="eastAsia" w:ascii="宋体" w:hAnsi="宋体" w:cs="宋体"/>
                <w:bCs/>
                <w:color w:val="000000"/>
                <w:szCs w:val="21"/>
              </w:rPr>
              <w:t>通过群发命令，实现同时运维多台资源设备</w:t>
            </w:r>
          </w:p>
        </w:tc>
      </w:tr>
      <w:tr w14:paraId="64A6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3BAEF284">
            <w:pPr>
              <w:pStyle w:val="19"/>
              <w:jc w:val="center"/>
              <w:rPr>
                <w:rFonts w:hint="eastAsia" w:ascii="宋体" w:hAnsi="宋体" w:cs="宋体"/>
                <w:bCs/>
                <w:color w:val="000000"/>
                <w:szCs w:val="21"/>
              </w:rPr>
            </w:pPr>
          </w:p>
        </w:tc>
        <w:tc>
          <w:tcPr>
            <w:tcW w:w="1696" w:type="dxa"/>
            <w:noWrap w:val="0"/>
            <w:vAlign w:val="center"/>
          </w:tcPr>
          <w:p w14:paraId="23124939">
            <w:pPr>
              <w:pStyle w:val="19"/>
              <w:jc w:val="center"/>
              <w:rPr>
                <w:rFonts w:hint="eastAsia" w:ascii="宋体" w:hAnsi="宋体" w:cs="宋体"/>
                <w:bCs/>
                <w:color w:val="000000"/>
                <w:szCs w:val="21"/>
              </w:rPr>
            </w:pPr>
            <w:r>
              <w:rPr>
                <w:rFonts w:hint="eastAsia" w:ascii="宋体" w:hAnsi="宋体" w:cs="宋体"/>
                <w:bCs/>
                <w:color w:val="000000"/>
                <w:szCs w:val="21"/>
              </w:rPr>
              <w:t>会话协同</w:t>
            </w:r>
          </w:p>
        </w:tc>
        <w:tc>
          <w:tcPr>
            <w:tcW w:w="5730" w:type="dxa"/>
            <w:noWrap w:val="0"/>
            <w:vAlign w:val="top"/>
          </w:tcPr>
          <w:p w14:paraId="517DEDF3">
            <w:pPr>
              <w:pStyle w:val="19"/>
              <w:rPr>
                <w:rFonts w:hint="eastAsia" w:ascii="宋体" w:hAnsi="宋体" w:cs="宋体"/>
                <w:bCs/>
                <w:color w:val="000000"/>
                <w:szCs w:val="21"/>
              </w:rPr>
            </w:pPr>
            <w:r>
              <w:rPr>
                <w:rFonts w:hint="eastAsia" w:ascii="宋体" w:hAnsi="宋体" w:cs="宋体"/>
                <w:bCs/>
                <w:color w:val="000000"/>
                <w:szCs w:val="21"/>
              </w:rPr>
              <w:t>支持运维过程中邀请其他用户参与、协助操作；会话协同过程中，协同者可以申请控制会话，创建者可以强制获取控制权</w:t>
            </w:r>
          </w:p>
        </w:tc>
      </w:tr>
      <w:tr w14:paraId="64F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14180B7F">
            <w:pPr>
              <w:pStyle w:val="19"/>
              <w:jc w:val="center"/>
              <w:rPr>
                <w:rFonts w:hint="eastAsia" w:ascii="宋体" w:hAnsi="宋体" w:cs="宋体"/>
                <w:bCs/>
                <w:color w:val="000000"/>
                <w:szCs w:val="21"/>
              </w:rPr>
            </w:pPr>
          </w:p>
        </w:tc>
        <w:tc>
          <w:tcPr>
            <w:tcW w:w="1696" w:type="dxa"/>
            <w:noWrap w:val="0"/>
            <w:vAlign w:val="center"/>
          </w:tcPr>
          <w:p w14:paraId="6BCA88D5">
            <w:pPr>
              <w:pStyle w:val="19"/>
              <w:jc w:val="center"/>
              <w:rPr>
                <w:rFonts w:hint="eastAsia" w:ascii="宋体" w:hAnsi="宋体" w:cs="宋体"/>
                <w:bCs/>
                <w:color w:val="000000"/>
                <w:szCs w:val="21"/>
              </w:rPr>
            </w:pPr>
            <w:r>
              <w:rPr>
                <w:rFonts w:hint="eastAsia" w:ascii="宋体" w:hAnsi="宋体" w:cs="宋体"/>
                <w:bCs/>
                <w:color w:val="000000"/>
                <w:szCs w:val="21"/>
              </w:rPr>
              <w:t>★个人网盘</w:t>
            </w:r>
          </w:p>
        </w:tc>
        <w:tc>
          <w:tcPr>
            <w:tcW w:w="5730" w:type="dxa"/>
            <w:noWrap w:val="0"/>
            <w:vAlign w:val="top"/>
          </w:tcPr>
          <w:p w14:paraId="613AD032">
            <w:pPr>
              <w:pStyle w:val="19"/>
              <w:rPr>
                <w:rFonts w:hint="eastAsia" w:ascii="宋体" w:hAnsi="宋体" w:cs="宋体"/>
                <w:bCs/>
                <w:color w:val="000000"/>
                <w:szCs w:val="21"/>
              </w:rPr>
            </w:pPr>
            <w:r>
              <w:rPr>
                <w:rFonts w:hint="eastAsia" w:ascii="宋体" w:hAnsi="宋体" w:cs="宋体"/>
                <w:bCs/>
                <w:color w:val="000000"/>
                <w:szCs w:val="21"/>
              </w:rPr>
              <w:t>支持以云盘形式在堡垒机上存储常用文件，实现操作端、堡垒机和目标资源三者之间文件共享（支持多文件下载，文件展示最近修改时间和权限）；</w:t>
            </w:r>
          </w:p>
        </w:tc>
      </w:tr>
      <w:tr w14:paraId="0FB3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7A1661F">
            <w:pPr>
              <w:pStyle w:val="19"/>
              <w:jc w:val="center"/>
              <w:rPr>
                <w:rFonts w:hint="eastAsia" w:ascii="宋体" w:hAnsi="宋体" w:cs="宋体"/>
                <w:bCs/>
                <w:color w:val="000000"/>
                <w:szCs w:val="21"/>
              </w:rPr>
            </w:pPr>
          </w:p>
        </w:tc>
        <w:tc>
          <w:tcPr>
            <w:tcW w:w="1696" w:type="dxa"/>
            <w:noWrap w:val="0"/>
            <w:vAlign w:val="center"/>
          </w:tcPr>
          <w:p w14:paraId="328D3D51">
            <w:pPr>
              <w:pStyle w:val="19"/>
              <w:jc w:val="center"/>
              <w:rPr>
                <w:rFonts w:hint="eastAsia" w:ascii="宋体" w:hAnsi="宋体" w:cs="宋体"/>
                <w:bCs/>
                <w:color w:val="000000"/>
                <w:szCs w:val="21"/>
              </w:rPr>
            </w:pPr>
            <w:r>
              <w:rPr>
                <w:rFonts w:hint="eastAsia" w:ascii="宋体" w:hAnsi="宋体" w:cs="宋体"/>
                <w:bCs/>
                <w:color w:val="000000"/>
                <w:szCs w:val="21"/>
              </w:rPr>
              <w:t>IPv6资源访问</w:t>
            </w:r>
          </w:p>
        </w:tc>
        <w:tc>
          <w:tcPr>
            <w:tcW w:w="5730" w:type="dxa"/>
            <w:noWrap w:val="0"/>
            <w:vAlign w:val="top"/>
          </w:tcPr>
          <w:p w14:paraId="50A5EE33">
            <w:pPr>
              <w:pStyle w:val="19"/>
              <w:rPr>
                <w:rFonts w:hint="eastAsia" w:ascii="宋体" w:hAnsi="宋体" w:cs="宋体"/>
                <w:bCs/>
                <w:color w:val="000000"/>
                <w:szCs w:val="21"/>
              </w:rPr>
            </w:pPr>
            <w:r>
              <w:rPr>
                <w:rFonts w:hint="eastAsia" w:ascii="宋体" w:hAnsi="宋体" w:cs="宋体"/>
                <w:bCs/>
                <w:color w:val="000000"/>
                <w:szCs w:val="21"/>
              </w:rPr>
              <w:t>支持运维IPv6地址的资源，主机协议类型包含：SSH、RDP、TELNET、FTP、SFTP、SCP、MySQL、Oracle、SQL Server、DB2</w:t>
            </w:r>
          </w:p>
        </w:tc>
      </w:tr>
      <w:tr w14:paraId="181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5AB525BA">
            <w:pPr>
              <w:pStyle w:val="19"/>
              <w:jc w:val="center"/>
              <w:rPr>
                <w:rFonts w:hint="eastAsia" w:ascii="宋体" w:hAnsi="宋体" w:cs="宋体"/>
                <w:bCs/>
                <w:color w:val="000000"/>
                <w:szCs w:val="21"/>
              </w:rPr>
            </w:pPr>
            <w:r>
              <w:rPr>
                <w:rFonts w:hint="eastAsia" w:ascii="宋体" w:hAnsi="宋体" w:cs="宋体"/>
                <w:bCs/>
                <w:color w:val="000000"/>
                <w:szCs w:val="21"/>
              </w:rPr>
              <w:t>自动运维</w:t>
            </w:r>
          </w:p>
        </w:tc>
        <w:tc>
          <w:tcPr>
            <w:tcW w:w="1696" w:type="dxa"/>
            <w:noWrap w:val="0"/>
            <w:vAlign w:val="center"/>
          </w:tcPr>
          <w:p w14:paraId="129450BA">
            <w:pPr>
              <w:pStyle w:val="19"/>
              <w:jc w:val="center"/>
              <w:rPr>
                <w:rFonts w:hint="eastAsia" w:ascii="宋体" w:hAnsi="宋体" w:cs="宋体"/>
                <w:bCs/>
                <w:color w:val="000000"/>
                <w:szCs w:val="21"/>
              </w:rPr>
            </w:pPr>
            <w:r>
              <w:rPr>
                <w:rFonts w:hint="eastAsia" w:ascii="宋体" w:hAnsi="宋体" w:cs="宋体"/>
                <w:bCs/>
                <w:color w:val="000000"/>
                <w:szCs w:val="21"/>
              </w:rPr>
              <w:t>账户同步</w:t>
            </w:r>
          </w:p>
        </w:tc>
        <w:tc>
          <w:tcPr>
            <w:tcW w:w="5730" w:type="dxa"/>
            <w:noWrap w:val="0"/>
            <w:vAlign w:val="top"/>
          </w:tcPr>
          <w:p w14:paraId="619C30DC">
            <w:pPr>
              <w:pStyle w:val="19"/>
              <w:rPr>
                <w:rFonts w:hint="eastAsia" w:ascii="宋体" w:hAnsi="宋体" w:cs="宋体"/>
                <w:bCs/>
                <w:color w:val="000000"/>
                <w:szCs w:val="21"/>
              </w:rPr>
            </w:pPr>
            <w:r>
              <w:rPr>
                <w:rFonts w:hint="eastAsia" w:ascii="宋体" w:hAnsi="宋体" w:cs="宋体"/>
                <w:bCs/>
                <w:color w:val="000000"/>
                <w:szCs w:val="21"/>
              </w:rPr>
              <w:t>支持从Linux服务器推送和拉取账户，实现堡垒机与资源服务器的账户同步</w:t>
            </w:r>
          </w:p>
        </w:tc>
      </w:tr>
      <w:tr w14:paraId="7C0D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75E472B1">
            <w:pPr>
              <w:pStyle w:val="19"/>
              <w:jc w:val="center"/>
              <w:rPr>
                <w:rFonts w:hint="eastAsia" w:ascii="宋体" w:hAnsi="宋体" w:cs="宋体"/>
                <w:bCs/>
                <w:color w:val="000000"/>
                <w:szCs w:val="21"/>
              </w:rPr>
            </w:pPr>
          </w:p>
        </w:tc>
        <w:tc>
          <w:tcPr>
            <w:tcW w:w="1696" w:type="dxa"/>
            <w:noWrap w:val="0"/>
            <w:vAlign w:val="center"/>
          </w:tcPr>
          <w:p w14:paraId="52245C23">
            <w:pPr>
              <w:pStyle w:val="19"/>
              <w:jc w:val="center"/>
              <w:rPr>
                <w:rFonts w:hint="eastAsia" w:ascii="宋体" w:hAnsi="宋体" w:cs="宋体"/>
                <w:bCs/>
                <w:color w:val="000000"/>
                <w:szCs w:val="21"/>
              </w:rPr>
            </w:pPr>
            <w:r>
              <w:rPr>
                <w:rFonts w:hint="eastAsia" w:ascii="宋体" w:hAnsi="宋体" w:cs="宋体"/>
                <w:bCs/>
                <w:color w:val="000000"/>
                <w:szCs w:val="21"/>
              </w:rPr>
              <w:t>运维任务</w:t>
            </w:r>
          </w:p>
        </w:tc>
        <w:tc>
          <w:tcPr>
            <w:tcW w:w="5730" w:type="dxa"/>
            <w:noWrap w:val="0"/>
            <w:vAlign w:val="top"/>
          </w:tcPr>
          <w:p w14:paraId="5F7534E1">
            <w:pPr>
              <w:pStyle w:val="19"/>
              <w:rPr>
                <w:rFonts w:hint="eastAsia" w:ascii="宋体" w:hAnsi="宋体" w:cs="宋体"/>
                <w:bCs/>
                <w:color w:val="000000"/>
                <w:szCs w:val="21"/>
              </w:rPr>
            </w:pPr>
            <w:r>
              <w:rPr>
                <w:rFonts w:hint="eastAsia" w:ascii="宋体" w:hAnsi="宋体" w:cs="宋体"/>
                <w:bCs/>
                <w:color w:val="000000"/>
                <w:szCs w:val="21"/>
              </w:rPr>
              <w:t>支持将执行命令、执行脚本和传输文件传操作灵活组合成运维任务，运维任务支持手动执行、定时执行和周期执行</w:t>
            </w:r>
          </w:p>
        </w:tc>
      </w:tr>
      <w:tr w14:paraId="3319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4A5162E4">
            <w:pPr>
              <w:pStyle w:val="19"/>
              <w:jc w:val="center"/>
              <w:rPr>
                <w:rFonts w:hint="eastAsia" w:ascii="宋体" w:hAnsi="宋体" w:cs="宋体"/>
                <w:bCs/>
                <w:color w:val="000000"/>
                <w:szCs w:val="21"/>
              </w:rPr>
            </w:pPr>
            <w:r>
              <w:rPr>
                <w:rFonts w:hint="eastAsia" w:ascii="宋体" w:hAnsi="宋体" w:cs="宋体"/>
                <w:bCs/>
                <w:color w:val="000000"/>
                <w:szCs w:val="21"/>
              </w:rPr>
              <w:t>审计日志</w:t>
            </w:r>
          </w:p>
        </w:tc>
        <w:tc>
          <w:tcPr>
            <w:tcW w:w="1696" w:type="dxa"/>
            <w:noWrap w:val="0"/>
            <w:vAlign w:val="center"/>
          </w:tcPr>
          <w:p w14:paraId="321EF3EF">
            <w:pPr>
              <w:pStyle w:val="19"/>
              <w:jc w:val="center"/>
              <w:rPr>
                <w:rFonts w:hint="eastAsia" w:ascii="宋体" w:hAnsi="宋体" w:cs="宋体"/>
                <w:bCs/>
                <w:color w:val="000000"/>
                <w:szCs w:val="21"/>
              </w:rPr>
            </w:pPr>
            <w:r>
              <w:rPr>
                <w:rFonts w:hint="eastAsia" w:ascii="宋体" w:hAnsi="宋体" w:cs="宋体"/>
                <w:bCs/>
                <w:color w:val="000000"/>
                <w:szCs w:val="21"/>
              </w:rPr>
              <w:t>实时监控</w:t>
            </w:r>
          </w:p>
        </w:tc>
        <w:tc>
          <w:tcPr>
            <w:tcW w:w="5730" w:type="dxa"/>
            <w:noWrap w:val="0"/>
            <w:vAlign w:val="top"/>
          </w:tcPr>
          <w:p w14:paraId="2224D477">
            <w:pPr>
              <w:pStyle w:val="19"/>
              <w:rPr>
                <w:rFonts w:hint="eastAsia" w:ascii="宋体" w:hAnsi="宋体" w:cs="宋体"/>
                <w:bCs/>
                <w:color w:val="000000"/>
                <w:szCs w:val="21"/>
              </w:rPr>
            </w:pPr>
            <w:r>
              <w:rPr>
                <w:rFonts w:hint="eastAsia" w:ascii="宋体" w:hAnsi="宋体" w:cs="宋体"/>
                <w:bCs/>
                <w:color w:val="000000"/>
                <w:szCs w:val="21"/>
              </w:rPr>
              <w:t>支持对实时会话进行无延时的实时监控和切断</w:t>
            </w:r>
          </w:p>
        </w:tc>
      </w:tr>
      <w:tr w14:paraId="5E5A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5135326D">
            <w:pPr>
              <w:pStyle w:val="19"/>
              <w:jc w:val="center"/>
              <w:rPr>
                <w:rFonts w:hint="eastAsia" w:ascii="宋体" w:hAnsi="宋体" w:cs="宋体"/>
                <w:bCs/>
                <w:color w:val="000000"/>
                <w:szCs w:val="21"/>
              </w:rPr>
            </w:pPr>
          </w:p>
        </w:tc>
        <w:tc>
          <w:tcPr>
            <w:tcW w:w="1696" w:type="dxa"/>
            <w:noWrap w:val="0"/>
            <w:vAlign w:val="center"/>
          </w:tcPr>
          <w:p w14:paraId="22E5D564">
            <w:pPr>
              <w:pStyle w:val="19"/>
              <w:jc w:val="center"/>
              <w:rPr>
                <w:rFonts w:hint="eastAsia" w:ascii="宋体" w:hAnsi="宋体" w:cs="宋体"/>
                <w:bCs/>
                <w:color w:val="000000"/>
                <w:szCs w:val="21"/>
              </w:rPr>
            </w:pPr>
            <w:r>
              <w:rPr>
                <w:rFonts w:hint="eastAsia" w:ascii="宋体" w:hAnsi="宋体" w:cs="宋体"/>
                <w:bCs/>
                <w:color w:val="000000"/>
                <w:szCs w:val="21"/>
              </w:rPr>
              <w:t>在线回放</w:t>
            </w:r>
          </w:p>
        </w:tc>
        <w:tc>
          <w:tcPr>
            <w:tcW w:w="5730" w:type="dxa"/>
            <w:noWrap w:val="0"/>
            <w:vAlign w:val="top"/>
          </w:tcPr>
          <w:p w14:paraId="085F77B1">
            <w:pPr>
              <w:pStyle w:val="19"/>
              <w:rPr>
                <w:rFonts w:hint="eastAsia" w:ascii="宋体" w:hAnsi="宋体" w:cs="宋体"/>
                <w:bCs/>
                <w:color w:val="000000"/>
                <w:szCs w:val="21"/>
              </w:rPr>
            </w:pPr>
            <w:r>
              <w:rPr>
                <w:rFonts w:hint="eastAsia" w:ascii="宋体" w:hAnsi="宋体" w:cs="宋体"/>
                <w:bCs/>
                <w:color w:val="000000"/>
                <w:szCs w:val="21"/>
              </w:rPr>
              <w:t>支持在线回放运维人员对资源的操作过程，并可以对播放速度进行调整，支持拖动、暂停、停止、跳过空闲、重新播放、切换会话等操作</w:t>
            </w:r>
          </w:p>
        </w:tc>
      </w:tr>
      <w:tr w14:paraId="5A5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1759A2C9">
            <w:pPr>
              <w:pStyle w:val="19"/>
              <w:jc w:val="center"/>
              <w:rPr>
                <w:rFonts w:hint="eastAsia" w:ascii="宋体" w:hAnsi="宋体" w:cs="宋体"/>
                <w:bCs/>
                <w:color w:val="000000"/>
                <w:szCs w:val="21"/>
              </w:rPr>
            </w:pPr>
          </w:p>
        </w:tc>
        <w:tc>
          <w:tcPr>
            <w:tcW w:w="1696" w:type="dxa"/>
            <w:noWrap w:val="0"/>
            <w:vAlign w:val="center"/>
          </w:tcPr>
          <w:p w14:paraId="227827CC">
            <w:pPr>
              <w:pStyle w:val="19"/>
              <w:jc w:val="center"/>
              <w:rPr>
                <w:rFonts w:hint="eastAsia" w:ascii="宋体" w:hAnsi="宋体" w:cs="宋体"/>
                <w:bCs/>
                <w:color w:val="000000"/>
                <w:szCs w:val="21"/>
              </w:rPr>
            </w:pPr>
            <w:r>
              <w:rPr>
                <w:rFonts w:hint="eastAsia" w:ascii="宋体" w:hAnsi="宋体" w:cs="宋体"/>
                <w:bCs/>
                <w:color w:val="000000"/>
                <w:szCs w:val="21"/>
              </w:rPr>
              <w:t>离线回放</w:t>
            </w:r>
          </w:p>
        </w:tc>
        <w:tc>
          <w:tcPr>
            <w:tcW w:w="5730" w:type="dxa"/>
            <w:noWrap w:val="0"/>
            <w:vAlign w:val="top"/>
          </w:tcPr>
          <w:p w14:paraId="536DF95C">
            <w:pPr>
              <w:pStyle w:val="19"/>
              <w:rPr>
                <w:rFonts w:hint="eastAsia" w:ascii="宋体" w:hAnsi="宋体" w:cs="宋体"/>
                <w:bCs/>
                <w:color w:val="000000"/>
                <w:szCs w:val="21"/>
              </w:rPr>
            </w:pPr>
            <w:r>
              <w:rPr>
                <w:rFonts w:hint="eastAsia" w:ascii="宋体" w:hAnsi="宋体" w:cs="宋体"/>
                <w:bCs/>
                <w:color w:val="000000"/>
                <w:szCs w:val="21"/>
              </w:rPr>
              <w:t>支持离线回放运维人员对资源的操作过程，回放文件可下载到本地，使用专用的播放器进行播放</w:t>
            </w:r>
          </w:p>
        </w:tc>
      </w:tr>
      <w:tr w14:paraId="5E9C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609B8F46">
            <w:pPr>
              <w:pStyle w:val="19"/>
              <w:jc w:val="center"/>
              <w:rPr>
                <w:rFonts w:hint="eastAsia" w:ascii="宋体" w:hAnsi="宋体" w:cs="宋体"/>
                <w:bCs/>
                <w:color w:val="000000"/>
                <w:szCs w:val="21"/>
              </w:rPr>
            </w:pPr>
          </w:p>
        </w:tc>
        <w:tc>
          <w:tcPr>
            <w:tcW w:w="1696" w:type="dxa"/>
            <w:noWrap w:val="0"/>
            <w:vAlign w:val="center"/>
          </w:tcPr>
          <w:p w14:paraId="16781D06">
            <w:pPr>
              <w:pStyle w:val="19"/>
              <w:jc w:val="center"/>
              <w:rPr>
                <w:rFonts w:hint="eastAsia" w:ascii="宋体" w:hAnsi="宋体" w:cs="宋体"/>
                <w:bCs/>
                <w:color w:val="000000"/>
                <w:szCs w:val="21"/>
              </w:rPr>
            </w:pPr>
            <w:r>
              <w:rPr>
                <w:rFonts w:hint="eastAsia" w:ascii="宋体" w:hAnsi="宋体" w:cs="宋体"/>
                <w:bCs/>
                <w:color w:val="000000"/>
                <w:szCs w:val="21"/>
              </w:rPr>
              <w:t>★水印</w:t>
            </w:r>
          </w:p>
        </w:tc>
        <w:tc>
          <w:tcPr>
            <w:tcW w:w="5730" w:type="dxa"/>
            <w:noWrap w:val="0"/>
            <w:vAlign w:val="top"/>
          </w:tcPr>
          <w:p w14:paraId="6D263C10">
            <w:pPr>
              <w:pStyle w:val="19"/>
              <w:rPr>
                <w:rFonts w:hint="eastAsia" w:ascii="宋体" w:hAnsi="宋体" w:cs="宋体"/>
                <w:bCs/>
                <w:color w:val="000000"/>
                <w:szCs w:val="21"/>
              </w:rPr>
            </w:pPr>
            <w:r>
              <w:rPr>
                <w:rFonts w:hint="eastAsia" w:ascii="宋体" w:hAnsi="宋体" w:cs="宋体"/>
                <w:bCs/>
                <w:color w:val="000000"/>
                <w:szCs w:val="21"/>
              </w:rPr>
              <w:t>支持水印功能，用户在运维或者是监控、查看会话时，H5页面会将用户的登录名作为水印展示，避免数据泄露无法追责；</w:t>
            </w:r>
          </w:p>
        </w:tc>
      </w:tr>
      <w:tr w14:paraId="4F04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noWrap w:val="0"/>
            <w:vAlign w:val="center"/>
          </w:tcPr>
          <w:p w14:paraId="481C06D2">
            <w:pPr>
              <w:pStyle w:val="19"/>
              <w:rPr>
                <w:rFonts w:hint="eastAsia" w:ascii="宋体" w:hAnsi="宋体" w:cs="宋体"/>
                <w:bCs/>
                <w:color w:val="000000"/>
                <w:szCs w:val="21"/>
              </w:rPr>
            </w:pPr>
            <w:r>
              <w:rPr>
                <w:rFonts w:hint="eastAsia" w:ascii="宋体" w:hAnsi="宋体" w:cs="宋体"/>
                <w:bCs/>
                <w:color w:val="000000"/>
                <w:szCs w:val="21"/>
              </w:rPr>
              <w:t>产品联动</w:t>
            </w:r>
          </w:p>
        </w:tc>
        <w:tc>
          <w:tcPr>
            <w:tcW w:w="1696" w:type="dxa"/>
            <w:vMerge w:val="restart"/>
            <w:noWrap w:val="0"/>
            <w:vAlign w:val="center"/>
          </w:tcPr>
          <w:p w14:paraId="29F1B2E2">
            <w:pPr>
              <w:pStyle w:val="19"/>
              <w:jc w:val="center"/>
              <w:rPr>
                <w:rFonts w:hint="eastAsia" w:ascii="宋体" w:hAnsi="宋体" w:cs="宋体"/>
                <w:bCs/>
                <w:color w:val="000000"/>
                <w:szCs w:val="21"/>
              </w:rPr>
            </w:pPr>
            <w:r>
              <w:rPr>
                <w:rFonts w:hint="eastAsia" w:ascii="宋体" w:hAnsi="宋体" w:cs="宋体"/>
                <w:bCs/>
                <w:color w:val="000000"/>
                <w:szCs w:val="21"/>
              </w:rPr>
              <w:t>★产品联动</w:t>
            </w:r>
          </w:p>
        </w:tc>
        <w:tc>
          <w:tcPr>
            <w:tcW w:w="5730" w:type="dxa"/>
            <w:noWrap w:val="0"/>
            <w:vAlign w:val="center"/>
          </w:tcPr>
          <w:p w14:paraId="31893257">
            <w:pPr>
              <w:pStyle w:val="19"/>
              <w:jc w:val="left"/>
              <w:rPr>
                <w:rFonts w:hint="eastAsia" w:ascii="宋体" w:hAnsi="宋体" w:cs="宋体"/>
                <w:bCs/>
                <w:color w:val="000000"/>
                <w:szCs w:val="21"/>
              </w:rPr>
            </w:pPr>
            <w:r>
              <w:rPr>
                <w:rFonts w:hint="eastAsia" w:ascii="宋体" w:hAnsi="宋体" w:cs="宋体"/>
                <w:bCs/>
                <w:color w:val="000000"/>
                <w:szCs w:val="21"/>
              </w:rPr>
              <w:t>支持与同品牌特权账号管理系统联动，以实现特权账号的全生命周期管理</w:t>
            </w:r>
          </w:p>
        </w:tc>
      </w:tr>
      <w:tr w14:paraId="45E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noWrap w:val="0"/>
            <w:vAlign w:val="center"/>
          </w:tcPr>
          <w:p w14:paraId="4FD593E0">
            <w:pPr>
              <w:pStyle w:val="19"/>
              <w:rPr>
                <w:rFonts w:hint="eastAsia" w:ascii="宋体" w:hAnsi="宋体" w:cs="宋体"/>
                <w:bCs/>
                <w:color w:val="000000"/>
                <w:szCs w:val="21"/>
              </w:rPr>
            </w:pPr>
          </w:p>
        </w:tc>
        <w:tc>
          <w:tcPr>
            <w:tcW w:w="1696" w:type="dxa"/>
            <w:vMerge w:val="continue"/>
            <w:noWrap w:val="0"/>
            <w:vAlign w:val="center"/>
          </w:tcPr>
          <w:p w14:paraId="34D003B6">
            <w:pPr>
              <w:pStyle w:val="19"/>
              <w:jc w:val="center"/>
              <w:rPr>
                <w:rFonts w:hint="eastAsia" w:ascii="宋体" w:hAnsi="宋体" w:cs="宋体"/>
                <w:bCs/>
                <w:color w:val="000000"/>
                <w:szCs w:val="21"/>
              </w:rPr>
            </w:pPr>
          </w:p>
        </w:tc>
        <w:tc>
          <w:tcPr>
            <w:tcW w:w="5730" w:type="dxa"/>
            <w:noWrap w:val="0"/>
            <w:vAlign w:val="center"/>
          </w:tcPr>
          <w:p w14:paraId="4E11E39F">
            <w:pPr>
              <w:pStyle w:val="19"/>
              <w:jc w:val="left"/>
              <w:rPr>
                <w:rFonts w:hint="eastAsia" w:ascii="宋体" w:hAnsi="宋体" w:cs="宋体"/>
                <w:bCs/>
                <w:color w:val="000000"/>
                <w:szCs w:val="21"/>
              </w:rPr>
            </w:pPr>
            <w:r>
              <w:rPr>
                <w:rFonts w:hint="eastAsia" w:ascii="宋体" w:hAnsi="宋体" w:cs="宋体"/>
                <w:bCs/>
                <w:color w:val="000000"/>
                <w:szCs w:val="21"/>
              </w:rPr>
              <w:t>支持与同品牌服务器密码机联动，以实现基于国密的数据完整性校验等功能（提供功能截图证明）</w:t>
            </w:r>
          </w:p>
        </w:tc>
      </w:tr>
    </w:tbl>
    <w:p w14:paraId="09180C95">
      <w:pPr>
        <w:rPr>
          <w:rFonts w:hint="eastAsia" w:ascii="Arial" w:hAnsi="Arial"/>
          <w:b/>
          <w:bCs/>
          <w:szCs w:val="32"/>
        </w:rPr>
      </w:pPr>
    </w:p>
    <w:p w14:paraId="3CEAA313">
      <w:pPr>
        <w:pStyle w:val="3"/>
        <w:numPr>
          <w:ilvl w:val="0"/>
          <w:numId w:val="3"/>
        </w:numPr>
        <w:ind w:firstLine="422"/>
        <w:rPr>
          <w:rFonts w:hint="eastAsia"/>
        </w:rPr>
      </w:pPr>
      <w:r>
        <w:rPr>
          <w:rFonts w:hint="eastAsia"/>
        </w:rPr>
        <w:t>零信任沙箱</w:t>
      </w:r>
    </w:p>
    <w:tbl>
      <w:tblPr>
        <w:tblStyle w:val="9"/>
        <w:tblW w:w="47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393"/>
      </w:tblGrid>
      <w:tr w14:paraId="54A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08" w:type="dxa"/>
            <w:noWrap w:val="0"/>
            <w:vAlign w:val="center"/>
          </w:tcPr>
          <w:p w14:paraId="2E91021B">
            <w:pPr>
              <w:jc w:val="left"/>
              <w:rPr>
                <w:rFonts w:hint="eastAsia"/>
                <w:b/>
                <w:bCs/>
                <w:lang w:eastAsia="zh-Hans"/>
              </w:rPr>
            </w:pPr>
            <w:r>
              <w:rPr>
                <w:rFonts w:hint="eastAsia"/>
                <w:b/>
                <w:bCs/>
              </w:rPr>
              <w:t>技术指标</w:t>
            </w:r>
          </w:p>
        </w:tc>
        <w:tc>
          <w:tcPr>
            <w:tcW w:w="7393" w:type="dxa"/>
            <w:noWrap w:val="0"/>
            <w:vAlign w:val="center"/>
          </w:tcPr>
          <w:p w14:paraId="3E742EA6">
            <w:pPr>
              <w:jc w:val="left"/>
              <w:rPr>
                <w:rFonts w:hint="eastAsia"/>
                <w:b/>
                <w:bCs/>
                <w:lang w:eastAsia="zh-Hans"/>
              </w:rPr>
            </w:pPr>
            <w:r>
              <w:rPr>
                <w:rFonts w:hint="eastAsia"/>
                <w:b/>
                <w:bCs/>
              </w:rPr>
              <w:t>指标要求</w:t>
            </w:r>
          </w:p>
        </w:tc>
      </w:tr>
      <w:tr w14:paraId="1512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93" w:type="pct"/>
            <w:noWrap w:val="0"/>
            <w:vAlign w:val="center"/>
          </w:tcPr>
          <w:p w14:paraId="70A932C2">
            <w:pPr>
              <w:widowControl/>
              <w:jc w:val="left"/>
              <w:textAlignment w:val="center"/>
              <w:rPr>
                <w:rFonts w:ascii="宋体" w:hAnsi="宋体" w:cs="宋体"/>
                <w:bCs/>
                <w:color w:val="000000"/>
                <w:szCs w:val="21"/>
              </w:rPr>
            </w:pPr>
            <w:r>
              <w:rPr>
                <w:rFonts w:hint="eastAsia" w:ascii="宋体" w:hAnsi="宋体" w:cs="宋体"/>
                <w:bCs/>
                <w:color w:val="000000"/>
                <w:szCs w:val="21"/>
              </w:rPr>
              <w:t>★零信任沙箱</w:t>
            </w:r>
          </w:p>
        </w:tc>
        <w:tc>
          <w:tcPr>
            <w:tcW w:w="4106" w:type="pct"/>
            <w:noWrap w:val="0"/>
            <w:vAlign w:val="center"/>
          </w:tcPr>
          <w:p w14:paraId="14CD2B4E">
            <w:pPr>
              <w:widowControl/>
              <w:jc w:val="left"/>
              <w:textAlignment w:val="center"/>
              <w:rPr>
                <w:rFonts w:hint="eastAsia" w:ascii="宋体" w:hAnsi="宋体" w:cs="宋体"/>
                <w:bCs/>
                <w:color w:val="000000"/>
                <w:szCs w:val="21"/>
              </w:rPr>
            </w:pPr>
            <w:r>
              <w:rPr>
                <w:rFonts w:hint="eastAsia" w:ascii="宋体" w:hAnsi="宋体" w:cs="宋体"/>
                <w:bCs/>
                <w:color w:val="000000"/>
                <w:szCs w:val="21"/>
              </w:rPr>
              <w:t>本次提供 100 点零信任沙箱授权，实现已安装零信任客户端的用户可根据业务需要配置沙箱，投标时提供厂商出具的与现网零信任无缝兼容承诺函。</w:t>
            </w:r>
          </w:p>
          <w:p w14:paraId="0D481C12">
            <w:pPr>
              <w:widowControl/>
              <w:jc w:val="left"/>
              <w:textAlignment w:val="center"/>
              <w:rPr>
                <w:rFonts w:ascii="宋体" w:hAnsi="宋体" w:cs="宋体"/>
                <w:bCs/>
                <w:color w:val="000000"/>
                <w:szCs w:val="21"/>
              </w:rPr>
            </w:pPr>
            <w:r>
              <w:rPr>
                <w:rFonts w:hint="eastAsia" w:ascii="宋体" w:hAnsi="宋体" w:cs="宋体"/>
                <w:bCs/>
                <w:color w:val="000000"/>
                <w:szCs w:val="21"/>
              </w:rPr>
              <w:t>目前在用零信任系统为Atrust。</w:t>
            </w:r>
          </w:p>
          <w:p w14:paraId="51409EA1">
            <w:pPr>
              <w:widowControl/>
              <w:jc w:val="left"/>
              <w:textAlignment w:val="center"/>
              <w:rPr>
                <w:rFonts w:hint="eastAsia" w:ascii="宋体" w:hAnsi="宋体" w:cs="宋体"/>
                <w:bCs/>
                <w:color w:val="000000"/>
                <w:szCs w:val="21"/>
              </w:rPr>
            </w:pPr>
            <w:r>
              <w:rPr>
                <w:rFonts w:hint="eastAsia" w:ascii="宋体" w:hAnsi="宋体" w:cs="宋体"/>
                <w:bCs/>
                <w:color w:val="000000"/>
                <w:szCs w:val="21"/>
              </w:rPr>
              <w:t>提供5年软件升级服务。</w:t>
            </w:r>
          </w:p>
        </w:tc>
      </w:tr>
    </w:tbl>
    <w:p w14:paraId="67457192">
      <w:pPr>
        <w:rPr>
          <w:rFonts w:hint="eastAsia" w:ascii="Arial" w:hAnsi="Arial"/>
          <w:b/>
          <w:bCs/>
          <w:szCs w:val="32"/>
        </w:rPr>
      </w:pPr>
    </w:p>
    <w:p w14:paraId="7FB0B69C">
      <w:pPr>
        <w:pStyle w:val="3"/>
        <w:numPr>
          <w:ilvl w:val="0"/>
          <w:numId w:val="3"/>
        </w:numPr>
        <w:ind w:firstLine="422"/>
        <w:rPr>
          <w:rFonts w:hint="eastAsia"/>
        </w:rPr>
      </w:pPr>
      <w:r>
        <w:t>云资源服务支撑</w:t>
      </w:r>
    </w:p>
    <w:tbl>
      <w:tblPr>
        <w:tblStyle w:val="9"/>
        <w:tblW w:w="47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393"/>
      </w:tblGrid>
      <w:tr w14:paraId="5F2A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608" w:type="dxa"/>
            <w:noWrap w:val="0"/>
            <w:vAlign w:val="center"/>
          </w:tcPr>
          <w:p w14:paraId="32FBA7DB">
            <w:pPr>
              <w:jc w:val="left"/>
              <w:rPr>
                <w:rFonts w:hint="eastAsia"/>
                <w:b/>
                <w:bCs/>
                <w:lang w:eastAsia="zh-Hans"/>
              </w:rPr>
            </w:pPr>
            <w:r>
              <w:rPr>
                <w:rFonts w:hint="eastAsia"/>
                <w:b/>
                <w:bCs/>
              </w:rPr>
              <w:t>技术指标</w:t>
            </w:r>
          </w:p>
        </w:tc>
        <w:tc>
          <w:tcPr>
            <w:tcW w:w="7393" w:type="dxa"/>
            <w:noWrap w:val="0"/>
            <w:vAlign w:val="center"/>
          </w:tcPr>
          <w:p w14:paraId="3BDE9AB0">
            <w:pPr>
              <w:jc w:val="left"/>
              <w:rPr>
                <w:rFonts w:hint="eastAsia"/>
                <w:b/>
                <w:bCs/>
                <w:lang w:eastAsia="zh-Hans"/>
              </w:rPr>
            </w:pPr>
            <w:r>
              <w:rPr>
                <w:rFonts w:hint="eastAsia"/>
                <w:b/>
                <w:bCs/>
              </w:rPr>
              <w:t>指标要求</w:t>
            </w:r>
          </w:p>
        </w:tc>
      </w:tr>
      <w:tr w14:paraId="2836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93" w:type="pct"/>
            <w:noWrap w:val="0"/>
            <w:vAlign w:val="center"/>
          </w:tcPr>
          <w:p w14:paraId="151333FC">
            <w:pPr>
              <w:widowControl/>
              <w:jc w:val="left"/>
              <w:textAlignment w:val="center"/>
              <w:rPr>
                <w:rFonts w:ascii="宋体" w:hAnsi="宋体" w:cs="宋体"/>
                <w:bCs/>
                <w:color w:val="000000"/>
                <w:szCs w:val="21"/>
              </w:rPr>
            </w:pPr>
            <w:r>
              <w:rPr>
                <w:rFonts w:hint="eastAsia" w:ascii="宋体" w:hAnsi="宋体" w:cs="宋体"/>
                <w:bCs/>
                <w:color w:val="000000"/>
                <w:szCs w:val="21"/>
              </w:rPr>
              <w:t>要求</w:t>
            </w:r>
          </w:p>
        </w:tc>
        <w:tc>
          <w:tcPr>
            <w:tcW w:w="4106" w:type="pct"/>
            <w:noWrap w:val="0"/>
            <w:vAlign w:val="center"/>
          </w:tcPr>
          <w:p w14:paraId="4A087ED2">
            <w:pPr>
              <w:widowControl/>
              <w:jc w:val="left"/>
              <w:textAlignment w:val="center"/>
              <w:rPr>
                <w:rFonts w:ascii="宋体" w:hAnsi="宋体" w:cs="宋体"/>
                <w:bCs/>
                <w:color w:val="000000"/>
                <w:szCs w:val="21"/>
              </w:rPr>
            </w:pPr>
            <w:r>
              <w:rPr>
                <w:rFonts w:hint="eastAsia" w:ascii="宋体" w:hAnsi="宋体" w:cs="宋体"/>
                <w:bCs/>
                <w:color w:val="000000"/>
                <w:szCs w:val="21"/>
              </w:rPr>
              <w:t>具备主流公有云厂商代理资质，提供≥5万元的云资源购买额度。</w:t>
            </w:r>
          </w:p>
        </w:tc>
      </w:tr>
    </w:tbl>
    <w:p w14:paraId="64792949">
      <w:pPr>
        <w:pStyle w:val="20"/>
        <w:ind w:left="0" w:leftChars="0" w:firstLine="0" w:firstLineChars="0"/>
        <w:rPr>
          <w:rFonts w:hint="eastAsia" w:ascii="Arial" w:hAnsi="Arial"/>
        </w:rPr>
      </w:pPr>
    </w:p>
    <w:p w14:paraId="2BFA7DF1">
      <w:pPr>
        <w:pStyle w:val="3"/>
        <w:numPr>
          <w:ilvl w:val="0"/>
          <w:numId w:val="3"/>
        </w:numPr>
        <w:ind w:firstLine="422"/>
        <w:rPr>
          <w:rFonts w:hint="eastAsia"/>
        </w:rPr>
      </w:pPr>
      <w:r>
        <w:rPr>
          <w:rFonts w:hint="eastAsia"/>
        </w:rPr>
        <w:t>防火墙授权续期</w:t>
      </w:r>
    </w:p>
    <w:tbl>
      <w:tblPr>
        <w:tblStyle w:val="9"/>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8003"/>
      </w:tblGrid>
      <w:tr w14:paraId="02F2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167" w:type="dxa"/>
            <w:noWrap w:val="0"/>
            <w:vAlign w:val="center"/>
          </w:tcPr>
          <w:p w14:paraId="2EF8C094">
            <w:pPr>
              <w:jc w:val="left"/>
              <w:rPr>
                <w:rFonts w:ascii="仿宋" w:hAnsi="仿宋" w:eastAsia="仿宋"/>
                <w:b/>
                <w:szCs w:val="21"/>
              </w:rPr>
            </w:pPr>
            <w:r>
              <w:rPr>
                <w:rFonts w:hint="eastAsia"/>
                <w:b/>
                <w:bCs/>
              </w:rPr>
              <w:t>技术指标</w:t>
            </w:r>
          </w:p>
        </w:tc>
        <w:tc>
          <w:tcPr>
            <w:tcW w:w="8003" w:type="dxa"/>
            <w:noWrap w:val="0"/>
            <w:vAlign w:val="center"/>
          </w:tcPr>
          <w:p w14:paraId="5006D729">
            <w:pPr>
              <w:jc w:val="left"/>
              <w:rPr>
                <w:rFonts w:ascii="仿宋" w:hAnsi="仿宋" w:eastAsia="仿宋"/>
                <w:b/>
                <w:szCs w:val="21"/>
              </w:rPr>
            </w:pPr>
            <w:r>
              <w:rPr>
                <w:rFonts w:hint="eastAsia"/>
                <w:b/>
                <w:bCs/>
              </w:rPr>
              <w:t>指标要求</w:t>
            </w:r>
          </w:p>
        </w:tc>
      </w:tr>
      <w:tr w14:paraId="6A90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67" w:type="dxa"/>
            <w:shd w:val="clear" w:color="000000" w:fill="FFFFFF"/>
            <w:noWrap w:val="0"/>
            <w:vAlign w:val="center"/>
          </w:tcPr>
          <w:p w14:paraId="47AFD2E9">
            <w:pPr>
              <w:jc w:val="left"/>
              <w:rPr>
                <w:rFonts w:hint="eastAsia" w:ascii="宋体" w:hAnsi="宋体" w:cs="宋体"/>
                <w:color w:val="000000"/>
              </w:rPr>
            </w:pPr>
            <w:r>
              <w:rPr>
                <w:rFonts w:hint="eastAsia" w:ascii="宋体" w:hAnsi="宋体" w:cs="宋体"/>
                <w:color w:val="000000"/>
              </w:rPr>
              <w:t>续保要求</w:t>
            </w:r>
          </w:p>
        </w:tc>
        <w:tc>
          <w:tcPr>
            <w:tcW w:w="8003" w:type="dxa"/>
            <w:shd w:val="clear" w:color="000000" w:fill="FFFFFF"/>
            <w:noWrap w:val="0"/>
            <w:vAlign w:val="center"/>
          </w:tcPr>
          <w:p w14:paraId="23CE6772">
            <w:pPr>
              <w:rPr>
                <w:rFonts w:hint="eastAsia" w:ascii="宋体" w:hAnsi="宋体" w:cs="宋体"/>
                <w:color w:val="000000"/>
              </w:rPr>
            </w:pPr>
            <w:r>
              <w:rPr>
                <w:rFonts w:hint="eastAsia" w:ascii="宋体" w:hAnsi="宋体" w:cs="宋体"/>
                <w:b/>
                <w:bCs/>
                <w:color w:val="000000"/>
              </w:rPr>
              <w:t>针对医院现有两台防火墙奇安信NSG5000，每台提供续保一年原厂软硬件质保服务，每台配置1年安全组合升级订阅服务包（威胁情报数据订阅服务、应用识别库、URL分类特征库、病毒防护特征库、入侵防御特征库升级服务）</w:t>
            </w:r>
          </w:p>
        </w:tc>
      </w:tr>
      <w:tr w14:paraId="3DF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67" w:type="dxa"/>
            <w:vMerge w:val="restart"/>
            <w:shd w:val="clear" w:color="000000" w:fill="FFFFFF"/>
            <w:noWrap w:val="0"/>
            <w:vAlign w:val="center"/>
          </w:tcPr>
          <w:p w14:paraId="23D470F6">
            <w:pPr>
              <w:jc w:val="left"/>
              <w:rPr>
                <w:rFonts w:hint="eastAsia" w:ascii="宋体" w:hAnsi="宋体" w:cs="宋体"/>
                <w:color w:val="000000"/>
              </w:rPr>
            </w:pPr>
            <w:r>
              <w:rPr>
                <w:rFonts w:hint="eastAsia" w:ascii="宋体" w:hAnsi="宋体" w:cs="宋体"/>
                <w:color w:val="000000"/>
              </w:rPr>
              <w:t>网络协议</w:t>
            </w:r>
          </w:p>
        </w:tc>
        <w:tc>
          <w:tcPr>
            <w:tcW w:w="8003" w:type="dxa"/>
            <w:shd w:val="clear" w:color="000000" w:fill="FFFFFF"/>
            <w:noWrap w:val="0"/>
            <w:vAlign w:val="center"/>
          </w:tcPr>
          <w:p w14:paraId="012B3EA6">
            <w:pPr>
              <w:rPr>
                <w:rFonts w:hint="eastAsia" w:ascii="宋体" w:hAnsi="宋体" w:cs="宋体"/>
                <w:color w:val="000000"/>
              </w:rPr>
            </w:pPr>
            <w:r>
              <w:rPr>
                <w:rFonts w:hint="eastAsia" w:ascii="宋体" w:hAnsi="宋体" w:cs="宋体"/>
                <w:color w:val="000000"/>
              </w:rPr>
              <w:t xml:space="preserve">支持MPLS流量透传；支持针对MPLS流量的安全审查，包括漏洞防护、反病毒、间谍软件防护、内容过滤、URL过滤、基于终端状态访问控制等安全防护功能； </w:t>
            </w:r>
          </w:p>
        </w:tc>
      </w:tr>
      <w:tr w14:paraId="29D3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67" w:type="dxa"/>
            <w:vMerge w:val="continue"/>
            <w:shd w:val="clear" w:color="000000" w:fill="FFFFFF"/>
            <w:noWrap w:val="0"/>
            <w:vAlign w:val="center"/>
          </w:tcPr>
          <w:p w14:paraId="68E14E68">
            <w:pPr>
              <w:jc w:val="left"/>
              <w:rPr>
                <w:rFonts w:hint="eastAsia" w:ascii="宋体" w:hAnsi="宋体" w:cs="宋体"/>
                <w:color w:val="000000"/>
              </w:rPr>
            </w:pPr>
          </w:p>
        </w:tc>
        <w:tc>
          <w:tcPr>
            <w:tcW w:w="8003" w:type="dxa"/>
            <w:shd w:val="clear" w:color="000000" w:fill="FFFFFF"/>
            <w:noWrap w:val="0"/>
            <w:vAlign w:val="center"/>
          </w:tcPr>
          <w:p w14:paraId="600309C2">
            <w:pPr>
              <w:rPr>
                <w:rFonts w:hint="eastAsia" w:ascii="宋体" w:hAnsi="宋体" w:cs="宋体"/>
                <w:color w:val="000000"/>
              </w:rPr>
            </w:pPr>
            <w:r>
              <w:rPr>
                <w:rFonts w:hint="eastAsia" w:ascii="宋体" w:hAnsi="宋体" w:cs="宋体"/>
                <w:color w:val="000000"/>
              </w:rPr>
              <w:t xml:space="preserve">支持MTU≥9000byte的巨型帧Jumbo Frame </w:t>
            </w:r>
          </w:p>
        </w:tc>
      </w:tr>
      <w:tr w14:paraId="21F6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7" w:type="dxa"/>
            <w:shd w:val="clear" w:color="auto" w:fill="auto"/>
            <w:noWrap w:val="0"/>
            <w:vAlign w:val="center"/>
          </w:tcPr>
          <w:p w14:paraId="4762172E">
            <w:pPr>
              <w:jc w:val="left"/>
              <w:rPr>
                <w:rFonts w:hint="eastAsia" w:ascii="宋体" w:hAnsi="宋体" w:cs="宋体"/>
                <w:color w:val="000000"/>
              </w:rPr>
            </w:pPr>
            <w:r>
              <w:rPr>
                <w:rFonts w:hint="eastAsia" w:ascii="宋体" w:hAnsi="宋体" w:cs="宋体"/>
                <w:color w:val="000000"/>
              </w:rPr>
              <w:t>地址转换</w:t>
            </w:r>
          </w:p>
        </w:tc>
        <w:tc>
          <w:tcPr>
            <w:tcW w:w="8003" w:type="dxa"/>
            <w:shd w:val="clear" w:color="000000" w:fill="FFFFFF"/>
            <w:noWrap w:val="0"/>
            <w:vAlign w:val="center"/>
          </w:tcPr>
          <w:p w14:paraId="5CC3A00C">
            <w:pPr>
              <w:rPr>
                <w:rFonts w:hint="eastAsia" w:ascii="宋体" w:hAnsi="宋体" w:cs="宋体"/>
                <w:color w:val="000000"/>
              </w:rPr>
            </w:pPr>
            <w:r>
              <w:rPr>
                <w:rFonts w:hint="eastAsia" w:ascii="宋体" w:hAnsi="宋体" w:cs="宋体"/>
                <w:color w:val="000000"/>
              </w:rPr>
              <w:t>支持在源地址转换过程中，对SNAT（源地址转换）使用的地址池利用率进行监控，并在地址池利用率超过阈值时，通过SNMP Trap、邮件、声音、短信等方式告警</w:t>
            </w:r>
          </w:p>
        </w:tc>
      </w:tr>
      <w:tr w14:paraId="045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7" w:type="dxa"/>
            <w:shd w:val="clear" w:color="000000" w:fill="FFFFFF"/>
            <w:noWrap w:val="0"/>
            <w:vAlign w:val="center"/>
          </w:tcPr>
          <w:p w14:paraId="541B3AF3">
            <w:pPr>
              <w:jc w:val="left"/>
              <w:rPr>
                <w:rFonts w:hint="eastAsia" w:ascii="宋体" w:hAnsi="宋体" w:cs="宋体"/>
                <w:color w:val="000000"/>
              </w:rPr>
            </w:pPr>
            <w:r>
              <w:rPr>
                <w:rFonts w:hint="eastAsia" w:ascii="宋体" w:hAnsi="宋体" w:cs="宋体"/>
                <w:color w:val="000000"/>
              </w:rPr>
              <w:t>访问控制</w:t>
            </w:r>
          </w:p>
        </w:tc>
        <w:tc>
          <w:tcPr>
            <w:tcW w:w="8003" w:type="dxa"/>
            <w:shd w:val="clear" w:color="000000" w:fill="FFFFFF"/>
            <w:noWrap w:val="0"/>
            <w:vAlign w:val="center"/>
          </w:tcPr>
          <w:p w14:paraId="017EF289">
            <w:pPr>
              <w:rPr>
                <w:rFonts w:hint="eastAsia" w:ascii="宋体" w:hAnsi="宋体" w:cs="宋体"/>
                <w:color w:val="000000"/>
              </w:rPr>
            </w:pPr>
            <w:r>
              <w:rPr>
                <w:rFonts w:hint="eastAsia" w:ascii="宋体" w:hAnsi="宋体" w:cs="宋体"/>
                <w:color w:val="000000"/>
              </w:rPr>
              <w:t>支持基于源安全域、目的安全域、源用户、源地址、源地区、目的地址、目的地区、服务、应用、隧道、时间、VLAN等多种方式进行访问控制，并支持地理区域对象的导入以及重复策略的检查。</w:t>
            </w:r>
          </w:p>
        </w:tc>
      </w:tr>
      <w:tr w14:paraId="52C9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7" w:type="dxa"/>
            <w:shd w:val="clear" w:color="000000" w:fill="FFFFFF"/>
            <w:noWrap w:val="0"/>
            <w:vAlign w:val="center"/>
          </w:tcPr>
          <w:p w14:paraId="07EBB843">
            <w:pPr>
              <w:jc w:val="left"/>
              <w:rPr>
                <w:rFonts w:hint="eastAsia" w:ascii="宋体" w:hAnsi="宋体" w:cs="宋体"/>
                <w:color w:val="000000"/>
              </w:rPr>
            </w:pPr>
            <w:r>
              <w:rPr>
                <w:rFonts w:hint="eastAsia" w:ascii="宋体" w:hAnsi="宋体" w:cs="宋体"/>
                <w:color w:val="000000"/>
              </w:rPr>
              <w:t>病毒防护</w:t>
            </w:r>
          </w:p>
        </w:tc>
        <w:tc>
          <w:tcPr>
            <w:tcW w:w="8003" w:type="dxa"/>
            <w:shd w:val="clear" w:color="000000" w:fill="FFFFFF"/>
            <w:noWrap w:val="0"/>
            <w:vAlign w:val="center"/>
          </w:tcPr>
          <w:p w14:paraId="0FF4865E">
            <w:pPr>
              <w:rPr>
                <w:rFonts w:hint="eastAsia" w:ascii="宋体" w:hAnsi="宋体" w:cs="宋体"/>
                <w:color w:val="000000"/>
              </w:rPr>
            </w:pPr>
            <w:r>
              <w:rPr>
                <w:rFonts w:hint="eastAsia" w:ascii="宋体" w:hAnsi="宋体" w:cs="宋体"/>
                <w:color w:val="000000"/>
              </w:rPr>
              <w:t>能够对HTTP/FTP/POP3/SMTP/IMAP/SMB六种协议进行病毒查杀；本地病毒库规模大于3000万; 支持对最多6级的压缩文件进行解压查杀；</w:t>
            </w:r>
          </w:p>
          <w:p w14:paraId="042D6260">
            <w:pPr>
              <w:rPr>
                <w:rFonts w:hint="eastAsia" w:ascii="宋体" w:hAnsi="宋体" w:cs="宋体"/>
                <w:color w:val="000000"/>
              </w:rPr>
            </w:pPr>
            <w:r>
              <w:rPr>
                <w:rFonts w:hint="eastAsia" w:ascii="宋体" w:hAnsi="宋体" w:cs="宋体"/>
                <w:color w:val="000000"/>
              </w:rPr>
              <w:t>支持基于MD5的自定义病毒签名；支持设置例外特征，对特定的病毒特征不进行查杀；</w:t>
            </w:r>
          </w:p>
        </w:tc>
      </w:tr>
      <w:tr w14:paraId="6134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67" w:type="dxa"/>
            <w:shd w:val="clear" w:color="000000" w:fill="FFFFFF"/>
            <w:noWrap w:val="0"/>
            <w:vAlign w:val="center"/>
          </w:tcPr>
          <w:p w14:paraId="3EED0D4E">
            <w:pPr>
              <w:jc w:val="left"/>
              <w:rPr>
                <w:rFonts w:hint="eastAsia" w:ascii="宋体" w:hAnsi="宋体" w:cs="宋体"/>
                <w:color w:val="000000"/>
              </w:rPr>
            </w:pPr>
            <w:r>
              <w:rPr>
                <w:rFonts w:hint="eastAsia" w:ascii="宋体" w:hAnsi="宋体" w:cs="宋体"/>
                <w:color w:val="000000"/>
              </w:rPr>
              <w:t>入侵防御</w:t>
            </w:r>
          </w:p>
        </w:tc>
        <w:tc>
          <w:tcPr>
            <w:tcW w:w="8003" w:type="dxa"/>
            <w:shd w:val="clear" w:color="000000" w:fill="FFFFFF"/>
            <w:noWrap w:val="0"/>
            <w:vAlign w:val="center"/>
          </w:tcPr>
          <w:p w14:paraId="36C20717">
            <w:pPr>
              <w:rPr>
                <w:rFonts w:hint="eastAsia" w:ascii="宋体" w:hAnsi="宋体" w:cs="宋体"/>
                <w:color w:val="000000"/>
              </w:rPr>
            </w:pPr>
            <w:r>
              <w:rPr>
                <w:rFonts w:hint="eastAsia" w:ascii="宋体" w:hAnsi="宋体" w:cs="宋体"/>
                <w:color w:val="000000"/>
              </w:rPr>
              <w:t>产品的漏洞防护特征库包含高危漏洞攻击特征，至少包括“永恒之蓝”、“震网三代”、“暗云3”、“Struts”、“Struts2”、“Xshell后门代码”以及对应的攻击的名称、CVEID、CNNVDID、CWEID、严重性、影响的平台、类型、描述、解决方案建议等详细信息；</w:t>
            </w:r>
          </w:p>
        </w:tc>
      </w:tr>
      <w:tr w14:paraId="4189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67" w:type="dxa"/>
            <w:shd w:val="clear" w:color="000000" w:fill="FFFFFF"/>
            <w:noWrap w:val="0"/>
            <w:vAlign w:val="center"/>
          </w:tcPr>
          <w:p w14:paraId="58DC744B">
            <w:pPr>
              <w:jc w:val="left"/>
              <w:rPr>
                <w:rFonts w:hint="eastAsia" w:ascii="宋体" w:hAnsi="宋体" w:cs="宋体"/>
                <w:color w:val="000000"/>
              </w:rPr>
            </w:pPr>
            <w:r>
              <w:rPr>
                <w:rFonts w:hint="eastAsia" w:ascii="宋体" w:hAnsi="宋体" w:cs="宋体"/>
                <w:color w:val="000000"/>
              </w:rPr>
              <w:t>★威胁情报</w:t>
            </w:r>
          </w:p>
        </w:tc>
        <w:tc>
          <w:tcPr>
            <w:tcW w:w="8003" w:type="dxa"/>
            <w:shd w:val="clear" w:color="000000" w:fill="FFFFFF"/>
            <w:noWrap w:val="0"/>
            <w:vAlign w:val="center"/>
          </w:tcPr>
          <w:p w14:paraId="71D4E576">
            <w:pPr>
              <w:rPr>
                <w:rFonts w:hint="eastAsia" w:ascii="宋体" w:hAnsi="宋体" w:cs="宋体"/>
                <w:color w:val="000000"/>
              </w:rPr>
            </w:pPr>
            <w:r>
              <w:rPr>
                <w:rFonts w:hint="eastAsia" w:ascii="宋体" w:hAnsi="宋体" w:cs="宋体"/>
                <w:color w:val="000000"/>
              </w:rPr>
              <w:t>支持威胁情报检测、威胁情报库升级、失陷主机展示及处置；(提供第三方权威机构出具的检测报告）</w:t>
            </w:r>
          </w:p>
        </w:tc>
      </w:tr>
      <w:tr w14:paraId="0650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7" w:type="dxa"/>
            <w:shd w:val="clear" w:color="000000" w:fill="FFFFFF"/>
            <w:noWrap w:val="0"/>
            <w:vAlign w:val="center"/>
          </w:tcPr>
          <w:p w14:paraId="2DF86068">
            <w:pPr>
              <w:jc w:val="left"/>
              <w:rPr>
                <w:rFonts w:hint="eastAsia" w:ascii="宋体" w:hAnsi="宋体" w:cs="宋体"/>
                <w:color w:val="000000"/>
              </w:rPr>
            </w:pPr>
            <w:r>
              <w:rPr>
                <w:rFonts w:hint="eastAsia" w:ascii="宋体" w:hAnsi="宋体" w:cs="宋体"/>
                <w:color w:val="000000"/>
              </w:rPr>
              <w:t>★共享接入管理</w:t>
            </w:r>
          </w:p>
        </w:tc>
        <w:tc>
          <w:tcPr>
            <w:tcW w:w="8003" w:type="dxa"/>
            <w:shd w:val="clear" w:color="000000" w:fill="FFFFFF"/>
            <w:noWrap w:val="0"/>
            <w:vAlign w:val="center"/>
          </w:tcPr>
          <w:p w14:paraId="0F33ED6E">
            <w:pPr>
              <w:rPr>
                <w:rFonts w:hint="eastAsia" w:ascii="宋体" w:hAnsi="宋体" w:cs="宋体"/>
                <w:color w:val="000000"/>
              </w:rPr>
            </w:pPr>
            <w:r>
              <w:rPr>
                <w:rFonts w:hint="eastAsia" w:ascii="宋体" w:hAnsi="宋体" w:cs="宋体"/>
                <w:color w:val="000000"/>
              </w:rPr>
              <w:t>支持共享接入检测和共享接入管控功能；</w:t>
            </w:r>
          </w:p>
        </w:tc>
      </w:tr>
      <w:tr w14:paraId="292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167" w:type="dxa"/>
            <w:shd w:val="clear" w:color="000000" w:fill="FFFFFF"/>
            <w:noWrap w:val="0"/>
            <w:vAlign w:val="center"/>
          </w:tcPr>
          <w:p w14:paraId="0E656F7D">
            <w:pPr>
              <w:jc w:val="left"/>
              <w:rPr>
                <w:rFonts w:hint="eastAsia" w:ascii="宋体" w:hAnsi="宋体" w:cs="宋体"/>
                <w:color w:val="000000"/>
              </w:rPr>
            </w:pPr>
            <w:r>
              <w:rPr>
                <w:rFonts w:hint="eastAsia" w:ascii="宋体" w:hAnsi="宋体" w:cs="宋体"/>
                <w:color w:val="000000"/>
              </w:rPr>
              <w:t>SSL 解密</w:t>
            </w:r>
          </w:p>
        </w:tc>
        <w:tc>
          <w:tcPr>
            <w:tcW w:w="8003" w:type="dxa"/>
            <w:shd w:val="clear" w:color="000000" w:fill="FFFFFF"/>
            <w:noWrap w:val="0"/>
            <w:vAlign w:val="center"/>
          </w:tcPr>
          <w:p w14:paraId="6BDA473D">
            <w:pPr>
              <w:rPr>
                <w:rFonts w:hint="eastAsia" w:ascii="宋体" w:hAnsi="宋体" w:cs="宋体"/>
                <w:color w:val="000000"/>
              </w:rPr>
            </w:pPr>
            <w:r>
              <w:rPr>
                <w:rFonts w:hint="eastAsia" w:ascii="宋体" w:hAnsi="宋体" w:cs="宋体"/>
                <w:color w:val="000000"/>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tc>
      </w:tr>
      <w:tr w14:paraId="667B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67" w:type="dxa"/>
            <w:shd w:val="clear" w:color="000000" w:fill="FFFFFF"/>
            <w:noWrap w:val="0"/>
            <w:vAlign w:val="center"/>
          </w:tcPr>
          <w:p w14:paraId="4411B632">
            <w:pPr>
              <w:jc w:val="left"/>
              <w:rPr>
                <w:rFonts w:hint="eastAsia" w:ascii="宋体" w:hAnsi="宋体" w:cs="宋体"/>
                <w:color w:val="000000"/>
              </w:rPr>
            </w:pPr>
            <w:r>
              <w:rPr>
                <w:rFonts w:hint="eastAsia" w:ascii="宋体" w:hAnsi="宋体" w:cs="宋体"/>
                <w:color w:val="000000"/>
              </w:rPr>
              <w:t>网络异常感知</w:t>
            </w:r>
          </w:p>
        </w:tc>
        <w:tc>
          <w:tcPr>
            <w:tcW w:w="8003" w:type="dxa"/>
            <w:shd w:val="clear" w:color="000000" w:fill="FFFFFF"/>
            <w:noWrap w:val="0"/>
            <w:vAlign w:val="center"/>
          </w:tcPr>
          <w:p w14:paraId="492373D3">
            <w:pPr>
              <w:rPr>
                <w:rFonts w:hint="eastAsia" w:ascii="宋体" w:hAnsi="宋体" w:cs="宋体"/>
                <w:color w:val="000000"/>
              </w:rPr>
            </w:pPr>
            <w:r>
              <w:rPr>
                <w:rFonts w:hint="eastAsia" w:ascii="宋体" w:hAnsi="宋体" w:cs="宋体"/>
                <w:color w:val="000000"/>
              </w:rPr>
              <w:t>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4379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7" w:type="dxa"/>
            <w:shd w:val="clear" w:color="000000" w:fill="FFFFFF"/>
            <w:noWrap w:val="0"/>
            <w:vAlign w:val="center"/>
          </w:tcPr>
          <w:p w14:paraId="0C4DAFFD">
            <w:pPr>
              <w:jc w:val="left"/>
              <w:rPr>
                <w:rFonts w:hint="eastAsia" w:ascii="宋体" w:hAnsi="宋体" w:cs="宋体"/>
                <w:color w:val="000000"/>
              </w:rPr>
            </w:pPr>
            <w:r>
              <w:rPr>
                <w:rFonts w:hint="eastAsia" w:ascii="宋体" w:hAnsi="宋体" w:cs="宋体"/>
                <w:color w:val="000000"/>
              </w:rPr>
              <w:t>策略与处置</w:t>
            </w:r>
          </w:p>
        </w:tc>
        <w:tc>
          <w:tcPr>
            <w:tcW w:w="8003" w:type="dxa"/>
            <w:shd w:val="clear" w:color="000000" w:fill="FFFFFF"/>
            <w:noWrap w:val="0"/>
            <w:vAlign w:val="center"/>
          </w:tcPr>
          <w:p w14:paraId="04F46837">
            <w:pPr>
              <w:rPr>
                <w:rFonts w:hint="eastAsia" w:ascii="宋体" w:hAnsi="宋体" w:cs="宋体"/>
                <w:color w:val="000000"/>
              </w:rPr>
            </w:pPr>
            <w:r>
              <w:rPr>
                <w:rFonts w:hint="eastAsia" w:ascii="宋体" w:hAnsi="宋体" w:cs="宋体"/>
                <w:color w:val="000000"/>
              </w:rPr>
              <w:t>支持接收针对突发重大安全事件的“应急响应消息”，并至少在界面显示安全事件名称、类型、当前防护状态、处置状态以及相应的操作等信息；并可根据设备安全配置的变化动态显示应急响应的处理结果</w:t>
            </w:r>
          </w:p>
        </w:tc>
      </w:tr>
      <w:tr w14:paraId="75CA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67" w:type="dxa"/>
            <w:vMerge w:val="restart"/>
            <w:shd w:val="clear" w:color="auto" w:fill="auto"/>
            <w:noWrap w:val="0"/>
            <w:vAlign w:val="center"/>
          </w:tcPr>
          <w:p w14:paraId="3D3B4FF2">
            <w:pPr>
              <w:jc w:val="left"/>
              <w:rPr>
                <w:rFonts w:hint="eastAsia" w:ascii="宋体" w:hAnsi="宋体" w:cs="宋体"/>
                <w:color w:val="000000"/>
              </w:rPr>
            </w:pPr>
            <w:r>
              <w:rPr>
                <w:rFonts w:hint="eastAsia" w:ascii="宋体" w:hAnsi="宋体" w:cs="宋体"/>
                <w:color w:val="000000"/>
              </w:rPr>
              <w:t>运维管理</w:t>
            </w:r>
          </w:p>
        </w:tc>
        <w:tc>
          <w:tcPr>
            <w:tcW w:w="8003" w:type="dxa"/>
            <w:shd w:val="clear" w:color="000000" w:fill="FFFFFF"/>
            <w:noWrap w:val="0"/>
            <w:vAlign w:val="center"/>
          </w:tcPr>
          <w:p w14:paraId="5C9687BB">
            <w:pPr>
              <w:rPr>
                <w:rFonts w:hint="eastAsia" w:ascii="宋体" w:hAnsi="宋体" w:cs="宋体"/>
                <w:color w:val="000000"/>
              </w:rPr>
            </w:pPr>
            <w:r>
              <w:rPr>
                <w:rFonts w:hint="eastAsia" w:ascii="宋体" w:hAnsi="宋体" w:cs="宋体"/>
                <w:color w:val="000000"/>
              </w:rPr>
              <w:t>★具有独立审计用户，支持标准Syslog日志审计方式，支持Syslog端口自定义，支持内外端机主机名更改，强化日志审计及集中管理功能，能够对功能访问模块拒绝访问进行日志记录，支持对日志的高性能处理和存储，提供具备高性能Syslog日志处理和存储技术的第三方机构测试报告或证书复印件；</w:t>
            </w:r>
          </w:p>
        </w:tc>
      </w:tr>
      <w:tr w14:paraId="3BA0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7" w:type="dxa"/>
            <w:vMerge w:val="continue"/>
            <w:shd w:val="clear" w:color="auto" w:fill="auto"/>
            <w:noWrap w:val="0"/>
            <w:vAlign w:val="center"/>
          </w:tcPr>
          <w:p w14:paraId="6BA41F85">
            <w:pPr>
              <w:jc w:val="left"/>
              <w:rPr>
                <w:rFonts w:hint="eastAsia" w:ascii="宋体" w:hAnsi="宋体" w:cs="宋体"/>
                <w:color w:val="000000"/>
              </w:rPr>
            </w:pPr>
          </w:p>
        </w:tc>
        <w:tc>
          <w:tcPr>
            <w:tcW w:w="8003" w:type="dxa"/>
            <w:shd w:val="clear" w:color="000000" w:fill="FFFFFF"/>
            <w:noWrap w:val="0"/>
            <w:vAlign w:val="center"/>
          </w:tcPr>
          <w:p w14:paraId="4BAB735B">
            <w:pPr>
              <w:rPr>
                <w:rFonts w:hint="eastAsia" w:ascii="宋体" w:hAnsi="宋体" w:cs="宋体"/>
                <w:color w:val="000000"/>
              </w:rPr>
            </w:pPr>
            <w:r>
              <w:rPr>
                <w:rFonts w:hint="eastAsia" w:ascii="宋体" w:hAnsi="宋体" w:cs="宋体"/>
                <w:color w:val="000000"/>
              </w:rPr>
              <w:t>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支持通过设置IP地址、MAC地址、资产类型、操作系统、应用、开放的端口和访问的端口等信息来制定资产指纹库</w:t>
            </w:r>
          </w:p>
        </w:tc>
      </w:tr>
    </w:tbl>
    <w:p w14:paraId="591BD062">
      <w:pPr>
        <w:pStyle w:val="20"/>
        <w:ind w:left="0" w:leftChars="0" w:firstLine="0" w:firstLineChars="0"/>
        <w:rPr>
          <w:rFonts w:hint="eastAsia" w:ascii="Arial" w:hAnsi="Arial"/>
        </w:rPr>
      </w:pPr>
    </w:p>
    <w:p w14:paraId="2847A4FC">
      <w:pPr>
        <w:pStyle w:val="20"/>
        <w:ind w:left="0" w:leftChars="0" w:firstLine="0" w:firstLineChars="0"/>
        <w:rPr>
          <w:rFonts w:hint="eastAsia" w:ascii="Arial" w:hAnsi="Arial"/>
        </w:rPr>
      </w:pPr>
    </w:p>
    <w:p w14:paraId="6BA08B1F">
      <w:pPr>
        <w:pStyle w:val="3"/>
        <w:numPr>
          <w:ilvl w:val="0"/>
          <w:numId w:val="3"/>
        </w:numPr>
        <w:ind w:firstLine="422"/>
        <w:rPr>
          <w:rFonts w:hint="eastAsia"/>
        </w:rPr>
      </w:pPr>
      <w:r>
        <w:rPr>
          <w:rFonts w:hint="eastAsia"/>
        </w:rPr>
        <w:t>安全驻场服务</w:t>
      </w:r>
    </w:p>
    <w:tbl>
      <w:tblPr>
        <w:tblStyle w:val="9"/>
        <w:tblW w:w="4736"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7673"/>
      </w:tblGrid>
      <w:tr w14:paraId="3F1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92" w:type="pct"/>
            <w:noWrap w:val="0"/>
            <w:vAlign w:val="center"/>
          </w:tcPr>
          <w:p w14:paraId="52AE1275">
            <w:pPr>
              <w:jc w:val="center"/>
              <w:rPr>
                <w:b/>
                <w:bCs/>
              </w:rPr>
            </w:pPr>
            <w:r>
              <w:rPr>
                <w:rFonts w:hint="eastAsia"/>
                <w:b/>
                <w:bCs/>
              </w:rPr>
              <w:t>技术指标</w:t>
            </w:r>
          </w:p>
        </w:tc>
        <w:tc>
          <w:tcPr>
            <w:tcW w:w="4308" w:type="pct"/>
            <w:noWrap w:val="0"/>
            <w:vAlign w:val="center"/>
          </w:tcPr>
          <w:p w14:paraId="3E22C57D">
            <w:pPr>
              <w:jc w:val="center"/>
              <w:rPr>
                <w:b/>
                <w:bCs/>
              </w:rPr>
            </w:pPr>
            <w:r>
              <w:rPr>
                <w:rFonts w:hint="eastAsia"/>
                <w:b/>
                <w:bCs/>
              </w:rPr>
              <w:t>指标要求</w:t>
            </w:r>
          </w:p>
        </w:tc>
      </w:tr>
      <w:tr w14:paraId="5102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pct"/>
            <w:noWrap w:val="0"/>
            <w:vAlign w:val="center"/>
          </w:tcPr>
          <w:p w14:paraId="76E4E9D5">
            <w:pPr>
              <w:jc w:val="center"/>
            </w:pPr>
            <w:r>
              <w:rPr>
                <w:rFonts w:hint="eastAsia"/>
              </w:rPr>
              <w:t>基本要求</w:t>
            </w:r>
          </w:p>
        </w:tc>
        <w:tc>
          <w:tcPr>
            <w:tcW w:w="4308" w:type="pct"/>
            <w:noWrap w:val="0"/>
            <w:vAlign w:val="center"/>
          </w:tcPr>
          <w:p w14:paraId="1FCE4C4B">
            <w:pPr>
              <w:widowControl/>
              <w:adjustRightInd w:val="0"/>
              <w:snapToGrid w:val="0"/>
              <w:jc w:val="left"/>
              <w:rPr>
                <w:rFonts w:hint="eastAsia" w:ascii="宋体" w:hAnsi="宋体"/>
                <w:b/>
                <w:bCs/>
                <w:kern w:val="0"/>
                <w:szCs w:val="21"/>
              </w:rPr>
            </w:pPr>
            <w:r>
              <w:rPr>
                <w:rFonts w:hint="eastAsia" w:ascii="宋体" w:hAnsi="宋体"/>
                <w:kern w:val="0"/>
                <w:szCs w:val="21"/>
              </w:rPr>
              <w:t>提供1人一年的人员驻场服务，按照医院要求展开工作。要求具有2年以上网络安全从业经验，要求具有红蓝队攻防经验</w:t>
            </w:r>
            <w:r>
              <w:rPr>
                <w:rFonts w:hint="eastAsia" w:ascii="宋体" w:hAnsi="宋体"/>
                <w:kern w:val="0"/>
                <w:szCs w:val="21"/>
                <w:lang w:val="en-US" w:eastAsia="zh-CN"/>
              </w:rPr>
              <w:t>，</w:t>
            </w:r>
            <w:r>
              <w:rPr>
                <w:rFonts w:hint="eastAsia" w:ascii="宋体" w:hAnsi="宋体"/>
                <w:kern w:val="0"/>
                <w:szCs w:val="21"/>
              </w:rPr>
              <w:t>熟悉国内主流网络安全厂商产品维护经验，熟悉网络安全攻击手段和防护措施；要求具有CISP认证；</w:t>
            </w:r>
          </w:p>
        </w:tc>
      </w:tr>
      <w:tr w14:paraId="2EDD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92" w:type="pct"/>
            <w:noWrap w:val="0"/>
            <w:vAlign w:val="center"/>
          </w:tcPr>
          <w:p w14:paraId="1E4EEF9F">
            <w:pPr>
              <w:jc w:val="center"/>
              <w:rPr>
                <w:rFonts w:hint="eastAsia"/>
              </w:rPr>
            </w:pPr>
            <w:r>
              <w:rPr>
                <w:rFonts w:hint="eastAsia"/>
              </w:rPr>
              <w:t>服务要求</w:t>
            </w:r>
          </w:p>
        </w:tc>
        <w:tc>
          <w:tcPr>
            <w:tcW w:w="4308" w:type="pct"/>
            <w:noWrap w:val="0"/>
            <w:vAlign w:val="center"/>
          </w:tcPr>
          <w:p w14:paraId="707328F6">
            <w:pPr>
              <w:adjustRightInd w:val="0"/>
              <w:snapToGrid w:val="0"/>
              <w:jc w:val="left"/>
              <w:rPr>
                <w:rFonts w:hint="eastAsia" w:ascii="宋体" w:hAnsi="宋体"/>
                <w:szCs w:val="21"/>
              </w:rPr>
            </w:pPr>
            <w:r>
              <w:rPr>
                <w:rFonts w:hint="eastAsia" w:ascii="宋体" w:hAnsi="宋体"/>
                <w:szCs w:val="21"/>
              </w:rPr>
              <w:t>服务内容包括但不限于以下内容：</w:t>
            </w:r>
          </w:p>
          <w:p w14:paraId="7E174B5E">
            <w:pPr>
              <w:adjustRightInd w:val="0"/>
              <w:snapToGrid w:val="0"/>
              <w:jc w:val="left"/>
              <w:rPr>
                <w:szCs w:val="21"/>
              </w:rPr>
            </w:pPr>
            <w:r>
              <w:rPr>
                <w:rFonts w:hint="eastAsia" w:ascii="宋体" w:hAnsi="宋体"/>
                <w:szCs w:val="21"/>
              </w:rPr>
              <w:t>1、日常防火墙策略、安全设备防护策略、规则库版本更新检查和梳理。</w:t>
            </w:r>
          </w:p>
          <w:p w14:paraId="7182BE3C">
            <w:pPr>
              <w:adjustRightInd w:val="0"/>
              <w:snapToGrid w:val="0"/>
              <w:jc w:val="left"/>
              <w:rPr>
                <w:szCs w:val="21"/>
              </w:rPr>
            </w:pPr>
            <w:r>
              <w:rPr>
                <w:rFonts w:hint="eastAsia"/>
                <w:szCs w:val="21"/>
              </w:rPr>
              <w:t>2、结合实际业务安全需求，对现有安全策略进行差距分析，发现策略缺失、策略冗余、策略未废止等问题，并制定相应工作方案开展策略优化工作，内容包括：访问控制策略优化、安全防护策略优化、行为审计策略优化等，通过安全策略优化完善策略可用性，提升防护能力。针对所有需要安全策略优化的安全设备输出安全策略优化报告，该报告内容是记录了优化前和优化后的策略变化情况。</w:t>
            </w:r>
          </w:p>
          <w:p w14:paraId="0F850C12">
            <w:pPr>
              <w:adjustRightInd w:val="0"/>
              <w:snapToGrid w:val="0"/>
              <w:jc w:val="left"/>
              <w:rPr>
                <w:rFonts w:ascii="宋体" w:hAnsi="宋体"/>
                <w:szCs w:val="21"/>
              </w:rPr>
            </w:pPr>
            <w:r>
              <w:rPr>
                <w:rFonts w:hint="eastAsia" w:ascii="宋体" w:hAnsi="宋体"/>
                <w:szCs w:val="21"/>
              </w:rPr>
              <w:t>3、每月度、季度提供《安全运营总结报告》，旨在发现建设、运营过程中的问题，从威胁发现、分析验证、通报处置出发，推动提升安全运营能力的建设.</w:t>
            </w:r>
          </w:p>
          <w:p w14:paraId="4F090B97">
            <w:pPr>
              <w:adjustRightInd w:val="0"/>
              <w:snapToGrid w:val="0"/>
              <w:jc w:val="left"/>
              <w:rPr>
                <w:rFonts w:hint="eastAsia" w:ascii="宋体" w:hAnsi="宋体"/>
                <w:szCs w:val="21"/>
              </w:rPr>
            </w:pPr>
            <w:r>
              <w:rPr>
                <w:rFonts w:hint="eastAsia" w:ascii="宋体" w:hAnsi="宋体"/>
                <w:szCs w:val="21"/>
              </w:rPr>
              <w:t>对于安全设备的日常巡检及技术分析，给出风险建议并提供解决方案。由中标方负责巡检，检查日志，出具检查报告和巡检记录。对于发现的问题及时指出并提供相应的解决方案。</w:t>
            </w:r>
          </w:p>
          <w:p w14:paraId="7AD41610">
            <w:pPr>
              <w:adjustRightInd w:val="0"/>
              <w:snapToGrid w:val="0"/>
              <w:jc w:val="left"/>
              <w:rPr>
                <w:rFonts w:hint="eastAsia" w:ascii="宋体" w:hAnsi="宋体"/>
                <w:szCs w:val="21"/>
              </w:rPr>
            </w:pPr>
            <w:r>
              <w:rPr>
                <w:rFonts w:hint="eastAsia" w:ascii="宋体" w:hAnsi="宋体"/>
                <w:szCs w:val="21"/>
              </w:rPr>
              <w:t>4、安全巡检服务包含但不限于对服务器、应用系统、网络设备、网络安全设备的驻场巡检服务。对信息系统内的各类状态进行判断，每次巡查均要有记录，年末提供年度汇总报告。各类巡检服务要求如下：</w:t>
            </w:r>
          </w:p>
          <w:p w14:paraId="00F21199">
            <w:pPr>
              <w:adjustRightInd w:val="0"/>
              <w:snapToGrid w:val="0"/>
              <w:jc w:val="left"/>
              <w:rPr>
                <w:rFonts w:hint="eastAsia" w:ascii="宋体" w:hAnsi="宋体"/>
                <w:szCs w:val="21"/>
              </w:rPr>
            </w:pPr>
            <w:r>
              <w:rPr>
                <w:rFonts w:hint="eastAsia" w:ascii="宋体" w:hAnsi="宋体"/>
                <w:szCs w:val="21"/>
              </w:rPr>
              <w:t>a、服务器设备巡检服务：服务器运行维护通过日常驻场巡检关键活动可以减小或规避日常服务器故障对各类应用服务的影响。由于服务器使用过程中存在的设置漏洞，且需要应对大量用户的频繁访问和大量文件、数据的管理，同时还要应对日常使用过程中对服务需求变动的配置变更，因此，需定期对服务器配置的定期优化，按照等级保护要求对相关安全策略进行梳理。清除临时文件信息，减小或避免存在漏洞的设置，提高服务器对用户需求的响应。</w:t>
            </w:r>
          </w:p>
          <w:p w14:paraId="1924CAF9">
            <w:pPr>
              <w:adjustRightInd w:val="0"/>
              <w:snapToGrid w:val="0"/>
              <w:jc w:val="left"/>
              <w:rPr>
                <w:rFonts w:ascii="宋体" w:hAnsi="宋体"/>
                <w:szCs w:val="21"/>
              </w:rPr>
            </w:pPr>
            <w:r>
              <w:rPr>
                <w:rFonts w:hint="eastAsia" w:ascii="宋体" w:hAnsi="宋体"/>
                <w:szCs w:val="21"/>
              </w:rPr>
              <w:t>b、网络设备和安全设备巡检服务：对网络设备运行状态的定期检查和分析能够及时把握网络运行情况，发现网络运行中的隐患问题，减小或规避安全事件的发生，减小网络故障对日常使用的影响。</w:t>
            </w:r>
          </w:p>
          <w:p w14:paraId="7C99B650">
            <w:pPr>
              <w:adjustRightInd w:val="0"/>
              <w:snapToGrid w:val="0"/>
              <w:jc w:val="left"/>
              <w:rPr>
                <w:rFonts w:hint="eastAsia" w:ascii="宋体" w:hAnsi="宋体"/>
                <w:kern w:val="0"/>
                <w:szCs w:val="21"/>
              </w:rPr>
            </w:pPr>
            <w:r>
              <w:rPr>
                <w:rFonts w:hint="eastAsia" w:ascii="宋体" w:hAnsi="宋体" w:cs="宋体"/>
              </w:rPr>
              <w:t>5、协助用户做好与网络安全相关的一切工作，包括信息安全制度执行、日常安全防护、信息安全检查等工作；</w:t>
            </w:r>
          </w:p>
        </w:tc>
      </w:tr>
    </w:tbl>
    <w:p w14:paraId="6B6797B6">
      <w:pPr>
        <w:pStyle w:val="3"/>
        <w:numPr>
          <w:ilvl w:val="0"/>
          <w:numId w:val="3"/>
        </w:numPr>
        <w:ind w:firstLine="422"/>
        <w:rPr>
          <w:rFonts w:hint="eastAsia"/>
        </w:rPr>
      </w:pPr>
      <w:r>
        <w:rPr>
          <w:rFonts w:hint="eastAsia"/>
        </w:rPr>
        <w:t>集成服务</w:t>
      </w:r>
    </w:p>
    <w:tbl>
      <w:tblPr>
        <w:tblStyle w:val="9"/>
        <w:tblW w:w="47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3D42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01" w:type="dxa"/>
            <w:noWrap w:val="0"/>
            <w:vAlign w:val="center"/>
          </w:tcPr>
          <w:p w14:paraId="494FA9E0">
            <w:pPr>
              <w:widowControl/>
              <w:spacing w:line="360" w:lineRule="auto"/>
              <w:jc w:val="center"/>
              <w:textAlignment w:val="center"/>
              <w:rPr>
                <w:rFonts w:hint="eastAsia" w:ascii="宋体" w:hAnsi="宋体" w:cs="宋体"/>
                <w:bCs/>
                <w:color w:val="000000"/>
                <w:szCs w:val="21"/>
              </w:rPr>
            </w:pPr>
            <w:r>
              <w:rPr>
                <w:rFonts w:hint="eastAsia" w:ascii="宋体" w:hAnsi="宋体" w:cs="宋体"/>
                <w:bCs/>
                <w:color w:val="000000"/>
                <w:szCs w:val="21"/>
              </w:rPr>
              <w:t>服务要求</w:t>
            </w:r>
          </w:p>
        </w:tc>
      </w:tr>
      <w:tr w14:paraId="41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01" w:type="dxa"/>
            <w:noWrap w:val="0"/>
            <w:vAlign w:val="center"/>
          </w:tcPr>
          <w:p w14:paraId="00B171C2">
            <w:pPr>
              <w:widowControl/>
              <w:numPr>
                <w:ilvl w:val="0"/>
                <w:numId w:val="4"/>
              </w:numPr>
              <w:spacing w:line="360" w:lineRule="auto"/>
              <w:textAlignment w:val="center"/>
              <w:rPr>
                <w:rFonts w:ascii="宋体" w:hAnsi="宋体" w:cs="宋体"/>
                <w:bCs/>
                <w:color w:val="000000"/>
                <w:szCs w:val="21"/>
              </w:rPr>
            </w:pPr>
            <w:r>
              <w:rPr>
                <w:rFonts w:hint="eastAsia" w:ascii="宋体" w:hAnsi="宋体" w:cs="宋体"/>
                <w:bCs/>
                <w:color w:val="000000"/>
                <w:szCs w:val="21"/>
              </w:rPr>
              <w:t>集成商熟悉医疗行业网络安全形势和建设经验；</w:t>
            </w:r>
          </w:p>
          <w:p w14:paraId="1BF57853">
            <w:pPr>
              <w:widowControl/>
              <w:numPr>
                <w:ilvl w:val="0"/>
                <w:numId w:val="4"/>
              </w:numPr>
              <w:spacing w:line="360" w:lineRule="auto"/>
              <w:textAlignment w:val="center"/>
              <w:rPr>
                <w:rFonts w:ascii="宋体" w:hAnsi="宋体" w:cs="宋体"/>
                <w:bCs/>
                <w:color w:val="000000"/>
                <w:szCs w:val="21"/>
              </w:rPr>
            </w:pPr>
            <w:r>
              <w:rPr>
                <w:rFonts w:hint="eastAsia" w:ascii="宋体" w:hAnsi="宋体" w:cs="宋体"/>
                <w:bCs/>
                <w:color w:val="000000"/>
                <w:szCs w:val="21"/>
              </w:rPr>
              <w:t>集成商具备自有技术团队，能够提供网络、网络安全、系统、应用安全支持；</w:t>
            </w:r>
          </w:p>
          <w:p w14:paraId="4E98B942">
            <w:pPr>
              <w:widowControl/>
              <w:numPr>
                <w:ilvl w:val="0"/>
                <w:numId w:val="4"/>
              </w:numPr>
              <w:spacing w:line="360" w:lineRule="auto"/>
              <w:textAlignment w:val="center"/>
              <w:rPr>
                <w:rFonts w:ascii="宋体" w:hAnsi="宋体" w:cs="宋体"/>
                <w:bCs/>
                <w:color w:val="000000"/>
                <w:szCs w:val="21"/>
              </w:rPr>
            </w:pPr>
            <w:r>
              <w:rPr>
                <w:rFonts w:hint="eastAsia" w:ascii="宋体" w:hAnsi="宋体" w:cs="宋体"/>
                <w:bCs/>
                <w:color w:val="000000"/>
                <w:szCs w:val="21"/>
              </w:rPr>
              <w:t>集成商能够提供规划咨询服务，协助用户实现网络安全防护架构最优化；</w:t>
            </w:r>
          </w:p>
          <w:p w14:paraId="5E57265D">
            <w:pPr>
              <w:widowControl/>
              <w:numPr>
                <w:ilvl w:val="0"/>
                <w:numId w:val="4"/>
              </w:numPr>
              <w:spacing w:line="360" w:lineRule="auto"/>
              <w:textAlignment w:val="center"/>
              <w:rPr>
                <w:rFonts w:hint="eastAsia" w:ascii="宋体" w:hAnsi="宋体" w:cs="宋体"/>
              </w:rPr>
            </w:pPr>
            <w:r>
              <w:rPr>
                <w:rFonts w:hint="eastAsia" w:ascii="宋体" w:hAnsi="宋体" w:cs="宋体"/>
                <w:bCs/>
                <w:color w:val="000000"/>
                <w:szCs w:val="21"/>
              </w:rPr>
              <w:t>集成商须提供7*24小时技术支持，在出现问题后，30分钟内能够到达现场提供技术服务；</w:t>
            </w:r>
          </w:p>
        </w:tc>
      </w:tr>
    </w:tbl>
    <w:p w14:paraId="3DA12058">
      <w:pPr>
        <w:pStyle w:val="20"/>
        <w:ind w:left="0" w:leftChars="0" w:firstLine="0" w:firstLineChars="0"/>
        <w:rPr>
          <w:rFonts w:hint="eastAsia" w:ascii="Arial" w:hAnsi="Arial"/>
        </w:rPr>
      </w:pPr>
    </w:p>
    <w:p w14:paraId="123AC554">
      <w:pPr>
        <w:pStyle w:val="20"/>
        <w:ind w:left="0" w:leftChars="0" w:firstLine="0" w:firstLineChars="0"/>
        <w:rPr>
          <w:rFonts w:hint="eastAsia" w:ascii="Arial" w:hAnsi="Arial"/>
        </w:rPr>
      </w:pPr>
      <w:r>
        <w:rPr>
          <w:rFonts w:ascii="Arial" w:hAnsi="Arial"/>
        </w:rPr>
        <w:br w:type="page"/>
      </w:r>
      <w:r>
        <w:rPr>
          <w:rFonts w:hint="eastAsia" w:ascii="Arial" w:hAnsi="Arial"/>
        </w:rPr>
        <w:t>商务条款：</w:t>
      </w:r>
    </w:p>
    <w:p w14:paraId="0E60655A">
      <w:pPr>
        <w:spacing w:line="360" w:lineRule="auto"/>
        <w:rPr>
          <w:rFonts w:hint="eastAsia"/>
        </w:rPr>
      </w:pPr>
      <w:r>
        <w:rPr>
          <w:rFonts w:hint="eastAsia"/>
        </w:rPr>
        <w:t>1、集成技术服务：</w:t>
      </w:r>
    </w:p>
    <w:p w14:paraId="0297F738">
      <w:pPr>
        <w:spacing w:line="360" w:lineRule="auto"/>
        <w:rPr>
          <w:rFonts w:hint="eastAsia"/>
        </w:rPr>
      </w:pPr>
      <w:r>
        <w:rPr>
          <w:rFonts w:hint="eastAsia"/>
        </w:rPr>
        <w:t>1.1.上线前用户将会对相关系统功能要求进行逐一测试验证。</w:t>
      </w:r>
    </w:p>
    <w:p w14:paraId="6C4F1B88">
      <w:pPr>
        <w:spacing w:line="360" w:lineRule="auto"/>
        <w:rPr>
          <w:rFonts w:hint="eastAsia"/>
        </w:rPr>
      </w:pPr>
      <w:r>
        <w:rPr>
          <w:rFonts w:hint="eastAsia"/>
        </w:rPr>
        <w:t>1.2.提供详细的实施方案，若在实施过程中造成医院业务非计划性停机或者数据丢失，由中标方负全部责任并赔偿院方因此造成的全部损失。</w:t>
      </w:r>
    </w:p>
    <w:p w14:paraId="056A365C">
      <w:pPr>
        <w:spacing w:line="360" w:lineRule="auto"/>
        <w:rPr>
          <w:rFonts w:hint="eastAsia"/>
        </w:rPr>
      </w:pPr>
      <w:r>
        <w:rPr>
          <w:rFonts w:hint="eastAsia"/>
        </w:rPr>
        <w:t>1.3.投标供应商须具备全专业技术团队服务能力并针对本项目组建专门的实施团队，且实施团队不少于5人，其中须由具有信息安全相关证书的人员担任本次项目经理，负责本次项目实施工作的整体管理和协调工作，要求投标时提供相关工程师社保证明以及证书复印件，后续实施的工程师必须与投标文件中的工程师一一对应，进场施工时须核对工程师相关证件及专业证书；</w:t>
      </w:r>
    </w:p>
    <w:p w14:paraId="6F112E73">
      <w:pPr>
        <w:spacing w:line="360" w:lineRule="auto"/>
        <w:rPr>
          <w:rFonts w:hint="eastAsia"/>
        </w:rPr>
      </w:pPr>
      <w:r>
        <w:rPr>
          <w:rFonts w:hint="eastAsia"/>
        </w:rPr>
        <w:t>1.4.投标单位在标书中确认的项目经理和主要技术人员，必须参与项目施工，未经用户同意不允许变更，在实施时用户有权验证实施工程师身份和认证证书原件。</w:t>
      </w:r>
    </w:p>
    <w:p w14:paraId="34E5F5F5">
      <w:pPr>
        <w:pStyle w:val="20"/>
        <w:ind w:left="0" w:leftChars="0" w:firstLine="0" w:firstLineChars="0"/>
        <w:rPr>
          <w:rFonts w:hint="eastAsia" w:ascii="宋体" w:hAnsi="宋体" w:cs="宋体"/>
          <w:b w:val="0"/>
          <w:bCs w:val="0"/>
          <w:color w:val="000000"/>
        </w:rPr>
      </w:pPr>
    </w:p>
    <w:p w14:paraId="47556E60">
      <w:pPr>
        <w:spacing w:line="360" w:lineRule="auto"/>
        <w:rPr>
          <w:rFonts w:hint="eastAsia"/>
        </w:rPr>
      </w:pPr>
      <w:r>
        <w:rPr>
          <w:rFonts w:hint="eastAsia"/>
        </w:rPr>
        <w:t>2.质量保证</w:t>
      </w:r>
    </w:p>
    <w:p w14:paraId="4D532D8C">
      <w:pPr>
        <w:spacing w:line="360" w:lineRule="auto"/>
        <w:rPr>
          <w:rFonts w:hint="eastAsia"/>
        </w:rPr>
      </w:pPr>
      <w:r>
        <w:rPr>
          <w:rFonts w:hint="eastAsia"/>
        </w:rPr>
        <w:t>2.1、投标产品必须是符合国家技术规范和质量标准的合格产品，满足采购单位的使用需求，并具有可靠的售后服务体系，质量可靠、使用安全，有要求原厂服务内容的需要提供落款为浙江省肿瘤医院的原厂质保服务承诺原件。</w:t>
      </w:r>
    </w:p>
    <w:p w14:paraId="73C915CA">
      <w:pPr>
        <w:spacing w:line="360" w:lineRule="auto"/>
        <w:rPr>
          <w:rFonts w:hint="eastAsia"/>
        </w:rPr>
      </w:pPr>
      <w:r>
        <w:rPr>
          <w:rFonts w:hint="eastAsia"/>
        </w:rPr>
        <w:t>2.2、所投产品（硬件）须为原厂全新非OEM产品，符合国家技术规范和质量标准，通过国家有关部门检测合格的原产地产品，未曾开箱使用，能够与采购单位现有设备正常连接；设备安装调试完毕后，能在其功能范围内保障采购单位的系统安全、稳定运行。</w:t>
      </w:r>
    </w:p>
    <w:p w14:paraId="49D902A6">
      <w:pPr>
        <w:spacing w:line="360" w:lineRule="auto"/>
        <w:rPr>
          <w:rFonts w:hint="eastAsia"/>
        </w:rPr>
      </w:pPr>
      <w:r>
        <w:rPr>
          <w:rFonts w:hint="eastAsia"/>
        </w:rPr>
        <w:t>2.3、本项目的所有软、硬件(如线缆、软件、硬件模块等，包括未列出而系统实施又必需的软件、硬件)需配齐以构成一套完整实用系统，所有辅材采用原装配套产品，没有原装配套的产品的，由供应商提供相应产品并保证其质量安全。</w:t>
      </w:r>
    </w:p>
    <w:p w14:paraId="099976BE">
      <w:pPr>
        <w:spacing w:line="360" w:lineRule="auto"/>
        <w:rPr>
          <w:rFonts w:hint="eastAsia"/>
        </w:rPr>
      </w:pPr>
      <w:r>
        <w:rPr>
          <w:rFonts w:hint="eastAsia"/>
        </w:rPr>
        <w:t>2.4、完成设备的安装调试，电源、相关缆线（网线、光纤线）必须齐全并满足机房实际布局连接要求；新增设备后如涉及到机房布局需要进行调整。</w:t>
      </w:r>
    </w:p>
    <w:p w14:paraId="3FC19032">
      <w:pPr>
        <w:spacing w:line="360" w:lineRule="auto"/>
        <w:rPr>
          <w:rFonts w:hint="eastAsia"/>
        </w:rPr>
      </w:pPr>
      <w:r>
        <w:rPr>
          <w:rFonts w:hint="eastAsia"/>
        </w:rPr>
        <w:t>2.5、本次招标的供货除包括上述设备外，还应包括随机的辅助设备、专用电线电缆、随机软件、技术资料（包括操作手册、使用指南、维修指南和含维修网点在内的服务手册等）、设备运行所必需的随机消耗材料，相应的技术服务与质量保证。</w:t>
      </w:r>
    </w:p>
    <w:p w14:paraId="12975017">
      <w:pPr>
        <w:spacing w:line="360" w:lineRule="auto"/>
        <w:rPr>
          <w:rFonts w:hint="eastAsia"/>
        </w:rPr>
      </w:pPr>
      <w:r>
        <w:rPr>
          <w:rFonts w:hint="eastAsia"/>
        </w:rPr>
        <w:t>2.6、所投产品的应详细列明投标设备的所有技术指标（包括所投产品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主要部件明细表（包括品牌、制造厂名和主要技术参数）等，任何含糊不清的表述对评标结果的影响将是投标人的责任。</w:t>
      </w:r>
    </w:p>
    <w:p w14:paraId="34A41A35">
      <w:pPr>
        <w:spacing w:line="360" w:lineRule="auto"/>
        <w:rPr>
          <w:rFonts w:hint="eastAsia"/>
        </w:rPr>
      </w:pPr>
      <w:r>
        <w:rPr>
          <w:rFonts w:hint="eastAsia"/>
        </w:rPr>
        <w:t>2.7、投标人保证其提供的产品中所有预装和为本项目安装的软件均为具有合法版权或使用权的正版软件且无质量瑕疵。</w:t>
      </w:r>
    </w:p>
    <w:p w14:paraId="5D1DC01E">
      <w:pPr>
        <w:spacing w:line="360" w:lineRule="auto"/>
        <w:rPr>
          <w:rFonts w:hint="eastAsia"/>
          <w:lang w:val="en-US" w:eastAsia="zh-CN"/>
        </w:rPr>
      </w:pPr>
      <w:r>
        <w:rPr>
          <w:rFonts w:hint="eastAsia"/>
        </w:rPr>
        <w:t>2.8、如遇软件产品升级、改版，应免费提供更新、升级服务。</w:t>
      </w:r>
    </w:p>
    <w:sectPr>
      <w:footerReference r:id="rId3" w:type="default"/>
      <w:footerReference r:id="rId4" w:type="even"/>
      <w:pgSz w:w="11906" w:h="16838"/>
      <w:pgMar w:top="1247" w:right="1247" w:bottom="1247" w:left="1474" w:header="851" w:footer="850"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87F6">
    <w:pPr>
      <w:pStyle w:val="7"/>
      <w:jc w:val="center"/>
    </w:pPr>
    <w:r>
      <w:rPr>
        <w:rFonts w:hint="eastAsia"/>
      </w:rPr>
      <w:t>第</w:t>
    </w:r>
    <w:r>
      <w:fldChar w:fldCharType="begin"/>
    </w:r>
    <w:r>
      <w:instrText xml:space="preserve"> PAGE   \* MERGEFORMAT </w:instrText>
    </w:r>
    <w:r>
      <w:fldChar w:fldCharType="separate"/>
    </w:r>
    <w:r>
      <w:rPr>
        <w:lang w:val="zh-CN"/>
      </w:rPr>
      <w:t>49</w:t>
    </w:r>
    <w:r>
      <w:rPr>
        <w:lang w:val="zh-CN"/>
      </w:rPr>
      <w:fldChar w:fldCharType="end"/>
    </w:r>
    <w:r>
      <w:rPr>
        <w:rFonts w:hint="eastAsia"/>
      </w:rPr>
      <w:t>页，共</w:t>
    </w:r>
    <w:r>
      <w:fldChar w:fldCharType="begin"/>
    </w:r>
    <w:r>
      <w:instrText xml:space="preserve"> NUMPAGES   \* MERGEFORMAT </w:instrText>
    </w:r>
    <w:r>
      <w:fldChar w:fldCharType="separate"/>
    </w:r>
    <w:r>
      <w:t>85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299F">
    <w:pPr>
      <w:pStyle w:val="7"/>
      <w:framePr w:wrap="around" w:vAnchor="text" w:hAnchor="margin" w:xAlign="center" w:y="1"/>
      <w:rPr>
        <w:rStyle w:val="13"/>
      </w:rPr>
    </w:pPr>
    <w:r>
      <w:fldChar w:fldCharType="begin"/>
    </w:r>
    <w:r>
      <w:rPr>
        <w:rStyle w:val="13"/>
      </w:rPr>
      <w:instrText xml:space="preserve">PAGE  </w:instrText>
    </w:r>
    <w:r>
      <w:fldChar w:fldCharType="end"/>
    </w:r>
  </w:p>
  <w:p w14:paraId="17981A86">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03120"/>
    <w:multiLevelType w:val="multilevel"/>
    <w:tmpl w:val="88903120"/>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10F9FA6"/>
    <w:multiLevelType w:val="singleLevel"/>
    <w:tmpl w:val="F10F9FA6"/>
    <w:lvl w:ilvl="0" w:tentative="0">
      <w:start w:val="3"/>
      <w:numFmt w:val="chineseCounting"/>
      <w:suff w:val="nothing"/>
      <w:lvlText w:val="%1、"/>
      <w:lvlJc w:val="left"/>
      <w:rPr>
        <w:rFonts w:hint="eastAsia"/>
      </w:rPr>
    </w:lvl>
  </w:abstractNum>
  <w:abstractNum w:abstractNumId="2">
    <w:nsid w:val="0F7C30F2"/>
    <w:multiLevelType w:val="multilevel"/>
    <w:tmpl w:val="0F7C30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A73CC8B"/>
    <w:multiLevelType w:val="singleLevel"/>
    <w:tmpl w:val="7A73CC8B"/>
    <w:lvl w:ilvl="0" w:tentative="0">
      <w:start w:val="5"/>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TgyMjRhNDdhNzJhN2M4ODE3MTQxNjdmZTc3YjEifQ=="/>
    <w:docVar w:name="KSO_WPS_MARK_KEY" w:val="5c232b46-63e1-49ba-b714-147982538ceb"/>
  </w:docVars>
  <w:rsids>
    <w:rsidRoot w:val="00172A27"/>
    <w:rsid w:val="00267101"/>
    <w:rsid w:val="002B7BC0"/>
    <w:rsid w:val="00617F63"/>
    <w:rsid w:val="00A56C49"/>
    <w:rsid w:val="00AF1AD0"/>
    <w:rsid w:val="00CC72A4"/>
    <w:rsid w:val="00D53E95"/>
    <w:rsid w:val="00F10185"/>
    <w:rsid w:val="020E094A"/>
    <w:rsid w:val="02FD6E0F"/>
    <w:rsid w:val="039F48A4"/>
    <w:rsid w:val="03D41080"/>
    <w:rsid w:val="0717442D"/>
    <w:rsid w:val="07ED0962"/>
    <w:rsid w:val="0A8D00C5"/>
    <w:rsid w:val="0FC41BBC"/>
    <w:rsid w:val="0FD536AF"/>
    <w:rsid w:val="0FEE0C3F"/>
    <w:rsid w:val="10200907"/>
    <w:rsid w:val="158C5316"/>
    <w:rsid w:val="19657BC9"/>
    <w:rsid w:val="1A501E51"/>
    <w:rsid w:val="1D874829"/>
    <w:rsid w:val="1E8371C8"/>
    <w:rsid w:val="1EF93EC1"/>
    <w:rsid w:val="1FD15EE6"/>
    <w:rsid w:val="208C720F"/>
    <w:rsid w:val="23D83BE7"/>
    <w:rsid w:val="24607A68"/>
    <w:rsid w:val="25007AE7"/>
    <w:rsid w:val="25C45C42"/>
    <w:rsid w:val="264F3224"/>
    <w:rsid w:val="275E4309"/>
    <w:rsid w:val="281C3097"/>
    <w:rsid w:val="297F5F99"/>
    <w:rsid w:val="29BE2BCF"/>
    <w:rsid w:val="2B870602"/>
    <w:rsid w:val="34DD74E5"/>
    <w:rsid w:val="352B4F33"/>
    <w:rsid w:val="38390388"/>
    <w:rsid w:val="38B85B64"/>
    <w:rsid w:val="38EA3628"/>
    <w:rsid w:val="398E7D88"/>
    <w:rsid w:val="3A0B7440"/>
    <w:rsid w:val="3AA66D7B"/>
    <w:rsid w:val="3AAD7791"/>
    <w:rsid w:val="3C2F232F"/>
    <w:rsid w:val="3CF71FC1"/>
    <w:rsid w:val="3F0D4E6A"/>
    <w:rsid w:val="3FCC3EF6"/>
    <w:rsid w:val="412914CA"/>
    <w:rsid w:val="45EE7D8D"/>
    <w:rsid w:val="46004DE1"/>
    <w:rsid w:val="4B0A6CF9"/>
    <w:rsid w:val="4BE906CF"/>
    <w:rsid w:val="4C253292"/>
    <w:rsid w:val="4D8B6D31"/>
    <w:rsid w:val="4EB6651D"/>
    <w:rsid w:val="52D4387D"/>
    <w:rsid w:val="535D4F68"/>
    <w:rsid w:val="55D947F2"/>
    <w:rsid w:val="560E5497"/>
    <w:rsid w:val="5658076E"/>
    <w:rsid w:val="570651DD"/>
    <w:rsid w:val="57346605"/>
    <w:rsid w:val="5A0F59C3"/>
    <w:rsid w:val="5B1C7423"/>
    <w:rsid w:val="5C1D1077"/>
    <w:rsid w:val="5E621661"/>
    <w:rsid w:val="5E663BE2"/>
    <w:rsid w:val="5FFC338E"/>
    <w:rsid w:val="61B37B58"/>
    <w:rsid w:val="627346DB"/>
    <w:rsid w:val="63C628EA"/>
    <w:rsid w:val="65B53B95"/>
    <w:rsid w:val="65F047FB"/>
    <w:rsid w:val="67495550"/>
    <w:rsid w:val="682C160E"/>
    <w:rsid w:val="6989465F"/>
    <w:rsid w:val="6CBE6F77"/>
    <w:rsid w:val="6D4D3D17"/>
    <w:rsid w:val="6D5D0BE7"/>
    <w:rsid w:val="6D913F13"/>
    <w:rsid w:val="6E8C475B"/>
    <w:rsid w:val="727B0C2E"/>
    <w:rsid w:val="73F751C6"/>
    <w:rsid w:val="74345AF1"/>
    <w:rsid w:val="75343EBF"/>
    <w:rsid w:val="754766DA"/>
    <w:rsid w:val="760024B2"/>
    <w:rsid w:val="76823878"/>
    <w:rsid w:val="78423BD1"/>
    <w:rsid w:val="7B7F7384"/>
    <w:rsid w:val="7CF97649"/>
    <w:rsid w:val="7E450CC9"/>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adjustRightInd w:val="0"/>
      <w:spacing w:line="315" w:lineRule="atLeast"/>
      <w:jc w:val="left"/>
      <w:textAlignment w:val="baseline"/>
    </w:pPr>
    <w:rPr>
      <w:rFonts w:ascii="仿宋_GB2312" w:eastAsia="仿宋_GB2312"/>
      <w:kern w:val="0"/>
      <w:sz w:val="28"/>
      <w:szCs w:val="20"/>
    </w:rPr>
  </w:style>
  <w:style w:type="paragraph" w:styleId="6">
    <w:name w:val="Plain Text"/>
    <w:basedOn w:val="1"/>
    <w:autoRedefine/>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Table Elegant"/>
    <w:basedOn w:val="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3">
    <w:name w:val="page number"/>
    <w:qFormat/>
    <w:uiPriority w:val="0"/>
    <w:rPr>
      <w:rFonts w:eastAsia="Arial"/>
    </w:rPr>
  </w:style>
  <w:style w:type="character" w:styleId="14">
    <w:name w:val="Hyperlink"/>
    <w:basedOn w:val="12"/>
    <w:autoRedefine/>
    <w:unhideWhenUsed/>
    <w:qFormat/>
    <w:uiPriority w:val="99"/>
    <w:rPr>
      <w:color w:val="0563C1"/>
      <w:u w:val="single"/>
    </w:rPr>
  </w:style>
  <w:style w:type="paragraph" w:customStyle="1" w:styleId="15">
    <w:name w:val="_Style 1"/>
    <w:qFormat/>
    <w:uiPriority w:val="0"/>
    <w:rPr>
      <w:rFonts w:ascii="Calibri" w:hAnsi="Calibri" w:eastAsia="宋体" w:cs="Times New Roman"/>
      <w:kern w:val="2"/>
      <w:sz w:val="28"/>
      <w:szCs w:val="22"/>
      <w:lang w:val="en-US" w:eastAsia="zh-CN" w:bidi="ar-SA"/>
    </w:rPr>
  </w:style>
  <w:style w:type="paragraph" w:customStyle="1" w:styleId="16">
    <w:name w:val="List Paragraph1"/>
    <w:basedOn w:val="1"/>
    <w:qFormat/>
    <w:uiPriority w:val="0"/>
    <w:pPr>
      <w:ind w:firstLine="420" w:firstLineChars="200"/>
    </w:pPr>
    <w:rPr>
      <w:rFonts w:ascii="Calibri" w:hAnsi="Calibri"/>
      <w:szCs w:val="22"/>
    </w:rPr>
  </w:style>
  <w:style w:type="paragraph"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1447</Words>
  <Characters>1580</Characters>
  <Lines>59</Lines>
  <Paragraphs>16</Paragraphs>
  <TotalTime>3</TotalTime>
  <ScaleCrop>false</ScaleCrop>
  <LinksUpToDate>false</LinksUpToDate>
  <CharactersWithSpaces>1583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2021-10-26T05:21:00Z</dcterms:created>
  <dc:creator>lenovo</dc:creator>
  <cp:lastModifiedBy>周菁楠</cp:lastModifiedBy>
  <cp:lastPrinted>2024-11-26T02:57:00Z</cp:lastPrinted>
  <dcterms:modified xsi:type="dcterms:W3CDTF">2025-02-14T02:56:00Z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5CC55F85FF1742A88D5EBAF0D7ABB615_13</vt:lpwstr>
  </property>
  <property fmtid="{D5CDD505-2E9C-101B-9397-08002B2CF9AE}" pid="4" name="KSOTemplateDocerSaveRecord">
    <vt:lpwstr>eyJoZGlkIjoiOTc2ZGM5YjM5NTAxNTVmYWQ0NWRjOWVlNTU4YjZlZjkiLCJ1c2VySWQiOiIyNjAzODE4NzUifQ==</vt:lpwstr>
  </property>
</Properties>
</file>