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sz w:val="28"/>
        </w:rPr>
      </w:pPr>
      <w:r>
        <w:rPr>
          <w:rFonts w:hint="eastAsia"/>
          <w:b/>
          <w:bCs/>
          <w:color w:val="000000"/>
          <w:sz w:val="28"/>
        </w:rPr>
        <w:t>二、招标货物一览表</w:t>
      </w:r>
    </w:p>
    <w:tbl>
      <w:tblPr>
        <w:tblStyle w:val="1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0"/>
        <w:gridCol w:w="1784"/>
        <w:gridCol w:w="901"/>
        <w:gridCol w:w="2459"/>
        <w:gridCol w:w="1260"/>
        <w:gridCol w:w="1156"/>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20"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序号</w:t>
            </w:r>
          </w:p>
        </w:tc>
        <w:tc>
          <w:tcPr>
            <w:tcW w:w="1784"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货物名称</w:t>
            </w:r>
          </w:p>
        </w:tc>
        <w:tc>
          <w:tcPr>
            <w:tcW w:w="901"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数量</w:t>
            </w:r>
          </w:p>
        </w:tc>
        <w:tc>
          <w:tcPr>
            <w:tcW w:w="2459" w:type="dxa"/>
            <w:vAlign w:val="center"/>
          </w:tcPr>
          <w:p>
            <w:pPr>
              <w:widowControl/>
              <w:jc w:val="left"/>
              <w:rPr>
                <w:rFonts w:hint="eastAsia" w:ascii="宋体" w:hAnsi="宋体" w:eastAsia="宋体"/>
                <w:color w:val="000000"/>
                <w:kern w:val="0"/>
                <w:sz w:val="24"/>
                <w:lang w:val="en-US" w:eastAsia="zh-CN" w:bidi="ar"/>
              </w:rPr>
            </w:pPr>
            <w:r>
              <w:rPr>
                <w:rFonts w:hint="eastAsia" w:ascii="宋体" w:hAnsi="宋体"/>
                <w:color w:val="000000"/>
                <w:kern w:val="0"/>
                <w:sz w:val="24"/>
                <w:lang w:bidi="ar"/>
              </w:rPr>
              <w:t>主要技术</w:t>
            </w:r>
            <w:r>
              <w:rPr>
                <w:rFonts w:hint="eastAsia" w:ascii="宋体" w:hAnsi="宋体"/>
                <w:color w:val="000000"/>
                <w:kern w:val="0"/>
                <w:sz w:val="24"/>
                <w:lang w:val="en-US" w:eastAsia="zh-CN" w:bidi="ar"/>
              </w:rPr>
              <w:t>要求</w:t>
            </w:r>
            <w:bookmarkStart w:id="0" w:name="_GoBack"/>
            <w:bookmarkEnd w:id="0"/>
          </w:p>
        </w:tc>
        <w:tc>
          <w:tcPr>
            <w:tcW w:w="1260"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交货期</w:t>
            </w:r>
          </w:p>
        </w:tc>
        <w:tc>
          <w:tcPr>
            <w:tcW w:w="1156"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目的地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20"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1.</w:t>
            </w:r>
          </w:p>
        </w:tc>
        <w:tc>
          <w:tcPr>
            <w:tcW w:w="1784" w:type="dxa"/>
            <w:vAlign w:val="center"/>
          </w:tcPr>
          <w:p>
            <w:pPr>
              <w:widowControl/>
              <w:jc w:val="left"/>
              <w:rPr>
                <w:rFonts w:ascii="宋体" w:hAnsi="宋体"/>
                <w:color w:val="000000"/>
                <w:kern w:val="0"/>
                <w:sz w:val="24"/>
                <w:lang w:bidi="ar"/>
              </w:rPr>
            </w:pPr>
            <w:r>
              <w:rPr>
                <w:rFonts w:hint="eastAsia"/>
              </w:rPr>
              <w:t>远程院感巡检仪</w:t>
            </w:r>
          </w:p>
        </w:tc>
        <w:tc>
          <w:tcPr>
            <w:tcW w:w="901"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1</w:t>
            </w:r>
            <w:r>
              <w:rPr>
                <w:rFonts w:ascii="宋体" w:hAnsi="宋体"/>
                <w:color w:val="000000"/>
                <w:kern w:val="0"/>
                <w:sz w:val="24"/>
                <w:lang w:bidi="ar"/>
              </w:rPr>
              <w:t xml:space="preserve"> </w:t>
            </w:r>
          </w:p>
        </w:tc>
        <w:tc>
          <w:tcPr>
            <w:tcW w:w="2459" w:type="dxa"/>
            <w:vAlign w:val="center"/>
          </w:tcPr>
          <w:p>
            <w:pPr>
              <w:widowControl/>
              <w:jc w:val="left"/>
              <w:rPr>
                <w:rFonts w:hint="eastAsia" w:ascii="宋体" w:hAnsi="宋体" w:eastAsia="宋体"/>
                <w:color w:val="000000"/>
                <w:kern w:val="0"/>
                <w:sz w:val="24"/>
                <w:lang w:val="en-US" w:eastAsia="zh-CN" w:bidi="ar"/>
              </w:rPr>
            </w:pPr>
            <w:r>
              <w:rPr>
                <w:rFonts w:hint="eastAsia" w:ascii="宋体" w:hAnsi="宋体"/>
                <w:color w:val="000000"/>
                <w:kern w:val="0"/>
                <w:sz w:val="24"/>
                <w:lang w:val="en-US" w:eastAsia="zh-CN" w:bidi="ar"/>
              </w:rPr>
              <w:t>如下</w:t>
            </w:r>
          </w:p>
        </w:tc>
        <w:tc>
          <w:tcPr>
            <w:tcW w:w="1260" w:type="dxa"/>
            <w:vMerge w:val="restart"/>
            <w:vAlign w:val="center"/>
          </w:tcPr>
          <w:p>
            <w:pPr>
              <w:widowControl/>
              <w:jc w:val="left"/>
              <w:rPr>
                <w:rFonts w:ascii="宋体" w:hAnsi="宋体"/>
                <w:color w:val="000000"/>
                <w:kern w:val="0"/>
                <w:sz w:val="24"/>
                <w:lang w:bidi="ar"/>
              </w:rPr>
            </w:pPr>
          </w:p>
        </w:tc>
        <w:tc>
          <w:tcPr>
            <w:tcW w:w="1156" w:type="dxa"/>
            <w:vMerge w:val="restart"/>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浙江省肿瘤医院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20"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2</w:t>
            </w:r>
          </w:p>
        </w:tc>
        <w:tc>
          <w:tcPr>
            <w:tcW w:w="1784" w:type="dxa"/>
            <w:vAlign w:val="center"/>
          </w:tcPr>
          <w:p>
            <w:pPr>
              <w:widowControl/>
              <w:jc w:val="left"/>
              <w:rPr>
                <w:rFonts w:ascii="宋体" w:hAnsi="宋体"/>
                <w:color w:val="000000"/>
                <w:kern w:val="0"/>
                <w:sz w:val="24"/>
                <w:lang w:bidi="ar"/>
              </w:rPr>
            </w:pPr>
          </w:p>
        </w:tc>
        <w:tc>
          <w:tcPr>
            <w:tcW w:w="901" w:type="dxa"/>
            <w:vAlign w:val="center"/>
          </w:tcPr>
          <w:p>
            <w:pPr>
              <w:widowControl/>
              <w:jc w:val="left"/>
              <w:rPr>
                <w:rFonts w:ascii="宋体" w:hAnsi="宋体"/>
                <w:color w:val="000000"/>
                <w:kern w:val="0"/>
                <w:sz w:val="24"/>
                <w:lang w:bidi="ar"/>
              </w:rPr>
            </w:pPr>
          </w:p>
        </w:tc>
        <w:tc>
          <w:tcPr>
            <w:tcW w:w="2459" w:type="dxa"/>
            <w:vAlign w:val="center"/>
          </w:tcPr>
          <w:p>
            <w:pPr>
              <w:widowControl/>
              <w:jc w:val="left"/>
              <w:rPr>
                <w:rFonts w:ascii="宋体" w:hAnsi="宋体"/>
                <w:color w:val="000000"/>
                <w:kern w:val="0"/>
                <w:sz w:val="24"/>
                <w:lang w:bidi="ar"/>
              </w:rPr>
            </w:pPr>
          </w:p>
        </w:tc>
        <w:tc>
          <w:tcPr>
            <w:tcW w:w="1260" w:type="dxa"/>
            <w:vMerge w:val="continue"/>
            <w:vAlign w:val="center"/>
          </w:tcPr>
          <w:p>
            <w:pPr>
              <w:jc w:val="center"/>
              <w:rPr>
                <w:color w:val="000000"/>
                <w:szCs w:val="21"/>
              </w:rPr>
            </w:pPr>
          </w:p>
        </w:tc>
        <w:tc>
          <w:tcPr>
            <w:tcW w:w="1156" w:type="dxa"/>
            <w:vMerge w:val="continue"/>
            <w:vAlign w:val="center"/>
          </w:tcPr>
          <w:p>
            <w:pPr>
              <w:jc w:val="center"/>
              <w:rPr>
                <w:color w:val="000000"/>
                <w:szCs w:val="21"/>
              </w:rPr>
            </w:pPr>
          </w:p>
        </w:tc>
      </w:tr>
    </w:tbl>
    <w:p>
      <w:pPr>
        <w:spacing w:line="360" w:lineRule="auto"/>
        <w:jc w:val="center"/>
        <w:rPr>
          <w:rFonts w:ascii="宋体"/>
          <w:color w:val="000000"/>
          <w:szCs w:val="21"/>
        </w:rPr>
      </w:pPr>
    </w:p>
    <w:p>
      <w:pPr>
        <w:jc w:val="center"/>
        <w:rPr>
          <w:b/>
          <w:color w:val="000000"/>
          <w:sz w:val="28"/>
          <w:szCs w:val="28"/>
        </w:rPr>
      </w:pPr>
      <w:r>
        <w:rPr>
          <w:rFonts w:hint="eastAsia"/>
          <w:b/>
          <w:color w:val="000000"/>
          <w:sz w:val="28"/>
          <w:szCs w:val="28"/>
        </w:rPr>
        <w:t>三、设备技术要求及主要性能参数</w:t>
      </w:r>
    </w:p>
    <w:tbl>
      <w:tblPr>
        <w:tblStyle w:val="11"/>
        <w:tblW w:w="835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9"/>
        <w:gridCol w:w="6855"/>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454"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序号</w:t>
            </w:r>
          </w:p>
        </w:tc>
        <w:tc>
          <w:tcPr>
            <w:tcW w:w="6855"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招标要求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1</w:t>
            </w:r>
          </w:p>
        </w:tc>
        <w:tc>
          <w:tcPr>
            <w:tcW w:w="6855" w:type="dxa"/>
            <w:vAlign w:val="center"/>
          </w:tcPr>
          <w:p>
            <w:r>
              <w:rPr>
                <w:rFonts w:hint="eastAsia"/>
              </w:rPr>
              <w:t>院感巡检仪技术参数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widowControl/>
              <w:jc w:val="left"/>
              <w:rPr>
                <w:rFonts w:ascii="宋体" w:hAnsi="宋体"/>
                <w:color w:val="000000"/>
                <w:kern w:val="0"/>
                <w:sz w:val="24"/>
                <w:lang w:bidi="ar"/>
              </w:rPr>
            </w:pPr>
            <w:r>
              <w:rPr>
                <w:rFonts w:ascii="宋体" w:hAnsi="宋体"/>
                <w:color w:val="000000"/>
                <w:kern w:val="0"/>
                <w:sz w:val="24"/>
                <w:lang w:bidi="ar"/>
              </w:rPr>
              <w:t>1.1</w:t>
            </w:r>
          </w:p>
        </w:tc>
        <w:tc>
          <w:tcPr>
            <w:tcW w:w="6855" w:type="dxa"/>
          </w:tcPr>
          <w:p>
            <w:pPr>
              <w:rPr>
                <w:rFonts w:hint="eastAsia"/>
              </w:rPr>
            </w:pPr>
            <w:r>
              <w:rPr>
                <w:rFonts w:hint="eastAsia"/>
              </w:rPr>
              <w:t>检测精度：0.5fmolATP</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▲1.</w:t>
            </w:r>
            <w:r>
              <w:rPr>
                <w:rFonts w:ascii="宋体" w:hAnsi="宋体"/>
                <w:color w:val="000000"/>
                <w:kern w:val="0"/>
                <w:sz w:val="24"/>
                <w:lang w:bidi="ar"/>
              </w:rPr>
              <w:t>2</w:t>
            </w:r>
          </w:p>
        </w:tc>
        <w:tc>
          <w:tcPr>
            <w:tcW w:w="6855" w:type="dxa"/>
          </w:tcPr>
          <w:p>
            <w:pPr>
              <w:rPr>
                <w:rFonts w:hint="eastAsia"/>
              </w:rPr>
            </w:pPr>
            <w:r>
              <w:rPr>
                <w:rFonts w:hint="eastAsia"/>
              </w:rPr>
              <w:t>检测范围：0 to 0.5fmol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1</w:t>
            </w:r>
            <w:r>
              <w:rPr>
                <w:rFonts w:ascii="宋体" w:hAnsi="宋体"/>
                <w:color w:val="000000"/>
                <w:kern w:val="0"/>
                <w:sz w:val="24"/>
                <w:lang w:bidi="ar"/>
              </w:rPr>
              <w:t>.3</w:t>
            </w:r>
          </w:p>
        </w:tc>
        <w:tc>
          <w:tcPr>
            <w:tcW w:w="6855" w:type="dxa"/>
          </w:tcPr>
          <w:p>
            <w:pPr>
              <w:rPr>
                <w:rFonts w:hint="eastAsia"/>
              </w:rPr>
            </w:pPr>
            <w:r>
              <w:rPr>
                <w:rFonts w:hint="eastAsia"/>
              </w:rPr>
              <w:t>检测时间：15秒</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1</w:t>
            </w:r>
            <w:r>
              <w:rPr>
                <w:rFonts w:ascii="宋体" w:hAnsi="宋体"/>
                <w:color w:val="000000"/>
                <w:kern w:val="0"/>
                <w:sz w:val="24"/>
                <w:lang w:bidi="ar"/>
              </w:rPr>
              <w:t>.4</w:t>
            </w:r>
          </w:p>
        </w:tc>
        <w:tc>
          <w:tcPr>
            <w:tcW w:w="6855" w:type="dxa"/>
          </w:tcPr>
          <w:p>
            <w:pPr>
              <w:rPr>
                <w:rFonts w:hint="eastAsia"/>
              </w:rPr>
            </w:pPr>
            <w:r>
              <w:rPr>
                <w:rFonts w:hint="eastAsia"/>
              </w:rPr>
              <w:t>本底：小于2RLU</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▲1</w:t>
            </w:r>
            <w:r>
              <w:rPr>
                <w:rFonts w:ascii="宋体" w:hAnsi="宋体"/>
                <w:color w:val="000000"/>
                <w:kern w:val="0"/>
                <w:sz w:val="24"/>
                <w:lang w:bidi="ar"/>
              </w:rPr>
              <w:t>.5</w:t>
            </w:r>
          </w:p>
        </w:tc>
        <w:tc>
          <w:tcPr>
            <w:tcW w:w="6855" w:type="dxa"/>
          </w:tcPr>
          <w:p>
            <w:pPr>
              <w:rPr>
                <w:rFonts w:hint="eastAsia"/>
              </w:rPr>
            </w:pPr>
            <w:r>
              <w:rPr>
                <w:rFonts w:hint="eastAsia"/>
              </w:rPr>
              <w:t>不少于1000个用户ID设定；不少于1000个检测组；不少于100万个记忆储存</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rPr>
                <w:rFonts w:ascii="宋体" w:hAnsi="宋体"/>
                <w:color w:val="000000"/>
                <w:kern w:val="0"/>
                <w:sz w:val="24"/>
                <w:lang w:bidi="ar"/>
              </w:rPr>
            </w:pPr>
            <w:r>
              <w:rPr>
                <w:rFonts w:ascii="宋体" w:hAnsi="宋体"/>
                <w:color w:val="000000"/>
                <w:kern w:val="0"/>
                <w:sz w:val="24"/>
                <w:lang w:bidi="ar"/>
              </w:rPr>
              <w:t>1.6</w:t>
            </w:r>
          </w:p>
        </w:tc>
        <w:tc>
          <w:tcPr>
            <w:tcW w:w="6855" w:type="dxa"/>
          </w:tcPr>
          <w:p>
            <w:pPr>
              <w:rPr>
                <w:rFonts w:hint="eastAsia" w:eastAsia="宋体"/>
                <w:lang w:val="en-US" w:eastAsia="zh-CN"/>
              </w:rPr>
            </w:pPr>
            <w:r>
              <w:rPr>
                <w:rFonts w:hint="eastAsia"/>
                <w:lang w:val="en-US" w:eastAsia="zh-CN"/>
              </w:rPr>
              <w:t>具备</w:t>
            </w:r>
            <w:r>
              <w:rPr>
                <w:rFonts w:hint="eastAsia"/>
              </w:rPr>
              <w:t>自动判断合格，自动统计合格率</w:t>
            </w:r>
            <w:r>
              <w:rPr>
                <w:rFonts w:hint="eastAsia"/>
                <w:lang w:val="en-US" w:eastAsia="zh-CN"/>
              </w:rPr>
              <w:t>功能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rPr>
                <w:rFonts w:ascii="宋体" w:hAnsi="宋体"/>
                <w:color w:val="000000"/>
                <w:kern w:val="0"/>
                <w:sz w:val="24"/>
                <w:lang w:bidi="ar"/>
              </w:rPr>
            </w:pPr>
            <w:r>
              <w:rPr>
                <w:rFonts w:ascii="宋体" w:hAnsi="宋体"/>
                <w:color w:val="000000"/>
                <w:kern w:val="0"/>
                <w:sz w:val="24"/>
                <w:lang w:bidi="ar"/>
              </w:rPr>
              <w:t>1.7</w:t>
            </w:r>
          </w:p>
        </w:tc>
        <w:tc>
          <w:tcPr>
            <w:tcW w:w="6855" w:type="dxa"/>
          </w:tcPr>
          <w:p>
            <w:pPr>
              <w:spacing w:line="312" w:lineRule="auto"/>
              <w:ind w:right="363"/>
              <w:rPr>
                <w:rFonts w:ascii="宋体" w:hAnsi="宋体"/>
                <w:color w:val="000000"/>
                <w:kern w:val="0"/>
                <w:sz w:val="24"/>
                <w:lang w:bidi="ar"/>
              </w:rPr>
            </w:pPr>
            <w:r>
              <w:rPr>
                <w:rFonts w:hint="eastAsia"/>
                <w:lang w:val="en-US" w:eastAsia="zh-CN"/>
              </w:rPr>
              <w:t>具备</w:t>
            </w:r>
            <w:r>
              <w:rPr>
                <w:rFonts w:hint="eastAsia"/>
              </w:rPr>
              <w:t>多种待机时间设置</w:t>
            </w:r>
            <w:r>
              <w:rPr>
                <w:rFonts w:hint="eastAsia"/>
                <w:lang w:val="en-US" w:eastAsia="zh-CN"/>
              </w:rPr>
              <w:t>功能</w:t>
            </w:r>
            <w:r>
              <w:rPr>
                <w:rFonts w:hint="eastAsia"/>
              </w:rPr>
              <w:t>（5-60分钟）</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rPr>
                <w:rFonts w:ascii="宋体" w:hAnsi="宋体"/>
                <w:color w:val="000000"/>
                <w:kern w:val="0"/>
                <w:sz w:val="24"/>
                <w:lang w:bidi="ar"/>
              </w:rPr>
            </w:pPr>
            <w:r>
              <w:rPr>
                <w:rFonts w:ascii="宋体" w:hAnsi="宋体"/>
                <w:color w:val="000000"/>
                <w:kern w:val="0"/>
                <w:sz w:val="24"/>
                <w:lang w:bidi="ar"/>
              </w:rPr>
              <w:t>1.8</w:t>
            </w:r>
          </w:p>
        </w:tc>
        <w:tc>
          <w:tcPr>
            <w:tcW w:w="6855" w:type="dxa"/>
          </w:tcPr>
          <w:p>
            <w:pPr>
              <w:rPr>
                <w:rFonts w:hint="eastAsia"/>
              </w:rPr>
            </w:pPr>
            <w:r>
              <w:rPr>
                <w:rFonts w:hint="eastAsia"/>
              </w:rPr>
              <w:t>TypeC USB接口与PC通讯</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08" w:hRule="atLeast"/>
        </w:trPr>
        <w:tc>
          <w:tcPr>
            <w:tcW w:w="1499" w:type="dxa"/>
            <w:vAlign w:val="center"/>
          </w:tcPr>
          <w:p>
            <w:pPr>
              <w:rPr>
                <w:rFonts w:ascii="宋体" w:hAnsi="宋体"/>
                <w:color w:val="000000"/>
                <w:kern w:val="0"/>
                <w:sz w:val="24"/>
                <w:lang w:bidi="ar"/>
              </w:rPr>
            </w:pPr>
            <w:r>
              <w:rPr>
                <w:rFonts w:ascii="宋体" w:hAnsi="宋体"/>
                <w:color w:val="000000"/>
                <w:kern w:val="0"/>
                <w:sz w:val="24"/>
                <w:lang w:bidi="ar"/>
              </w:rPr>
              <w:t>1.9</w:t>
            </w:r>
          </w:p>
        </w:tc>
        <w:tc>
          <w:tcPr>
            <w:tcW w:w="6855" w:type="dxa"/>
          </w:tcPr>
          <w:p>
            <w:pPr>
              <w:rPr>
                <w:rFonts w:hint="eastAsia"/>
              </w:rPr>
            </w:pPr>
            <w:r>
              <w:rPr>
                <w:rFonts w:hint="eastAsia"/>
              </w:rPr>
              <w:t>不小于5.5寸触摸屏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31" w:hRule="atLeast"/>
        </w:trPr>
        <w:tc>
          <w:tcPr>
            <w:tcW w:w="1499" w:type="dxa"/>
          </w:tcPr>
          <w:p>
            <w:pPr>
              <w:rPr>
                <w:rFonts w:ascii="宋体" w:hAnsi="宋体"/>
                <w:color w:val="000000"/>
                <w:kern w:val="0"/>
                <w:sz w:val="24"/>
                <w:lang w:bidi="ar"/>
              </w:rPr>
            </w:pPr>
            <w:r>
              <w:rPr>
                <w:rFonts w:ascii="宋体" w:hAnsi="宋体"/>
                <w:color w:val="000000"/>
                <w:kern w:val="0"/>
                <w:sz w:val="24"/>
                <w:lang w:bidi="ar"/>
              </w:rPr>
              <w:t>1.10</w:t>
            </w:r>
          </w:p>
        </w:tc>
        <w:tc>
          <w:tcPr>
            <w:tcW w:w="6855" w:type="dxa"/>
          </w:tcPr>
          <w:p>
            <w:pPr>
              <w:rPr>
                <w:rFonts w:hint="eastAsia"/>
              </w:rPr>
            </w:pPr>
            <w:r>
              <w:rPr>
                <w:rFonts w:hint="eastAsia"/>
              </w:rPr>
              <w:t>通讯模块：WIFI、 4G全网通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499" w:type="dxa"/>
          </w:tcPr>
          <w:p>
            <w:pPr>
              <w:rPr>
                <w:rFonts w:ascii="宋体" w:hAnsi="宋体"/>
                <w:color w:val="000000"/>
                <w:kern w:val="0"/>
                <w:sz w:val="24"/>
                <w:lang w:bidi="ar"/>
              </w:rPr>
            </w:pPr>
            <w:r>
              <w:rPr>
                <w:rFonts w:ascii="宋体" w:hAnsi="宋体"/>
                <w:color w:val="000000"/>
                <w:kern w:val="0"/>
                <w:sz w:val="24"/>
                <w:lang w:bidi="ar"/>
              </w:rPr>
              <w:t>1.11</w:t>
            </w:r>
          </w:p>
        </w:tc>
        <w:tc>
          <w:tcPr>
            <w:tcW w:w="6855" w:type="dxa"/>
            <w:vAlign w:val="center"/>
          </w:tcPr>
          <w:p>
            <w:pPr>
              <w:rPr>
                <w:rFonts w:hint="eastAsia"/>
              </w:rPr>
            </w:pPr>
            <w:r>
              <w:rPr>
                <w:rFonts w:hint="eastAsia"/>
              </w:rPr>
              <w:t>摄像头支持二维码识别</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tcPr>
          <w:p>
            <w:pPr>
              <w:rPr>
                <w:rFonts w:ascii="宋体" w:hAnsi="宋体"/>
                <w:color w:val="000000"/>
                <w:kern w:val="0"/>
                <w:sz w:val="24"/>
                <w:lang w:bidi="ar"/>
              </w:rPr>
            </w:pPr>
            <w:r>
              <w:rPr>
                <w:rFonts w:ascii="宋体" w:hAnsi="宋体"/>
                <w:color w:val="000000"/>
                <w:kern w:val="0"/>
                <w:sz w:val="24"/>
                <w:lang w:bidi="ar"/>
              </w:rPr>
              <w:t>1.12</w:t>
            </w:r>
          </w:p>
        </w:tc>
        <w:tc>
          <w:tcPr>
            <w:tcW w:w="6855" w:type="dxa"/>
            <w:vAlign w:val="center"/>
          </w:tcPr>
          <w:p>
            <w:pPr>
              <w:rPr>
                <w:rFonts w:ascii="宋体" w:hAnsi="宋体"/>
                <w:color w:val="000000"/>
                <w:kern w:val="0"/>
                <w:sz w:val="24"/>
                <w:lang w:bidi="ar"/>
              </w:rPr>
            </w:pPr>
            <w:r>
              <w:rPr>
                <w:rFonts w:hint="eastAsia"/>
                <w:lang w:val="en-US" w:eastAsia="zh-CN"/>
              </w:rPr>
              <w:t>不低于</w:t>
            </w:r>
            <w:r>
              <w:rPr>
                <w:rFonts w:hint="eastAsia"/>
              </w:rPr>
              <w:t>5000mAh电池容量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tcPr>
          <w:p>
            <w:pPr>
              <w:rPr>
                <w:rFonts w:ascii="宋体" w:hAnsi="宋体"/>
                <w:color w:val="000000"/>
                <w:kern w:val="0"/>
                <w:sz w:val="24"/>
                <w:lang w:bidi="ar"/>
              </w:rPr>
            </w:pPr>
            <w:r>
              <w:rPr>
                <w:rFonts w:hint="eastAsia" w:ascii="宋体" w:hAnsi="宋体"/>
                <w:color w:val="000000"/>
                <w:kern w:val="0"/>
                <w:sz w:val="24"/>
                <w:lang w:bidi="ar"/>
              </w:rPr>
              <w:t>1</w:t>
            </w:r>
            <w:r>
              <w:rPr>
                <w:rFonts w:ascii="宋体" w:hAnsi="宋体"/>
                <w:color w:val="000000"/>
                <w:kern w:val="0"/>
                <w:sz w:val="24"/>
                <w:lang w:bidi="ar"/>
              </w:rPr>
              <w:t>.13</w:t>
            </w:r>
          </w:p>
        </w:tc>
        <w:tc>
          <w:tcPr>
            <w:tcW w:w="6855" w:type="dxa"/>
            <w:vAlign w:val="center"/>
          </w:tcPr>
          <w:p>
            <w:pPr>
              <w:rPr>
                <w:rFonts w:hint="eastAsia" w:eastAsia="宋体"/>
                <w:lang w:val="en-US" w:eastAsia="zh-CN"/>
              </w:rPr>
            </w:pPr>
            <w:r>
              <w:rPr>
                <w:rFonts w:hint="eastAsia"/>
                <w:lang w:val="en-US" w:eastAsia="zh-CN"/>
              </w:rPr>
              <w:t>具备</w:t>
            </w:r>
            <w:r>
              <w:rPr>
                <w:rFonts w:hint="eastAsia"/>
              </w:rPr>
              <w:t>温度补偿</w:t>
            </w:r>
            <w:r>
              <w:rPr>
                <w:rFonts w:hint="eastAsia"/>
                <w:lang w:val="en-US" w:eastAsia="zh-CN"/>
              </w:rPr>
              <w:t>功能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tcPr>
          <w:p>
            <w:pPr>
              <w:rPr>
                <w:rFonts w:hint="eastAsia" w:ascii="宋体" w:hAnsi="宋体"/>
                <w:color w:val="000000"/>
                <w:kern w:val="0"/>
                <w:sz w:val="24"/>
                <w:lang w:bidi="ar"/>
              </w:rPr>
            </w:pPr>
            <w:r>
              <w:rPr>
                <w:rFonts w:hint="eastAsia" w:ascii="宋体" w:hAnsi="宋体"/>
                <w:color w:val="000000"/>
                <w:kern w:val="0"/>
                <w:sz w:val="24"/>
                <w:lang w:bidi="ar"/>
              </w:rPr>
              <w:t>1</w:t>
            </w:r>
            <w:r>
              <w:rPr>
                <w:rFonts w:ascii="宋体" w:hAnsi="宋体"/>
                <w:color w:val="000000"/>
                <w:kern w:val="0"/>
                <w:sz w:val="24"/>
                <w:lang w:bidi="ar"/>
              </w:rPr>
              <w:t>.14</w:t>
            </w:r>
          </w:p>
        </w:tc>
        <w:tc>
          <w:tcPr>
            <w:tcW w:w="6855" w:type="dxa"/>
            <w:vAlign w:val="center"/>
          </w:tcPr>
          <w:p>
            <w:pPr>
              <w:rPr>
                <w:rFonts w:hint="eastAsia"/>
              </w:rPr>
            </w:pPr>
            <w:r>
              <w:rPr>
                <w:rFonts w:hint="eastAsia"/>
                <w:lang w:val="en-US" w:eastAsia="zh-CN"/>
              </w:rPr>
              <w:t>具备</w:t>
            </w:r>
            <w:r>
              <w:rPr>
                <w:rFonts w:hint="eastAsia"/>
              </w:rPr>
              <w:t>医疗机构自查工作软件，可与疾病预防控制监督员软件及省医疗机构传染病防治依法执业合规平台进行自动数据对接，自动上传检测结果。</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tcPr>
          <w:p>
            <w:pPr>
              <w:rPr>
                <w:rFonts w:ascii="宋体" w:hAnsi="宋体"/>
                <w:color w:val="000000"/>
                <w:kern w:val="0"/>
                <w:sz w:val="24"/>
                <w:lang w:bidi="ar"/>
              </w:rPr>
            </w:pPr>
            <w:r>
              <w:t>2</w:t>
            </w:r>
            <w:r>
              <w:rPr>
                <w:rFonts w:hint="eastAsia"/>
              </w:rPr>
              <w:t>主要用途：</w:t>
            </w:r>
          </w:p>
        </w:tc>
        <w:tc>
          <w:tcPr>
            <w:tcW w:w="6855" w:type="dxa"/>
            <w:vAlign w:val="center"/>
          </w:tcPr>
          <w:p>
            <w:pPr>
              <w:rPr>
                <w:rFonts w:hint="eastAsia"/>
              </w:rPr>
            </w:pPr>
            <w:r>
              <w:rPr>
                <w:rFonts w:hint="eastAsia"/>
              </w:rPr>
              <w:t>用于医疗卫生机构物体表面关键点控制和医务人员手卫生评价，医疗器械及软式内镜清洗效果评价。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tcPr>
          <w:p>
            <w:r>
              <w:t>3</w:t>
            </w:r>
            <w:r>
              <w:rPr>
                <w:rFonts w:hint="eastAsia"/>
              </w:rPr>
              <w:t>配置</w:t>
            </w:r>
          </w:p>
          <w:p>
            <w:pPr>
              <w:rPr>
                <w:rFonts w:ascii="宋体" w:hAnsi="宋体"/>
                <w:color w:val="000000"/>
                <w:kern w:val="0"/>
                <w:sz w:val="24"/>
                <w:lang w:bidi="ar"/>
              </w:rPr>
            </w:pPr>
          </w:p>
        </w:tc>
        <w:tc>
          <w:tcPr>
            <w:tcW w:w="6855" w:type="dxa"/>
            <w:vAlign w:val="center"/>
          </w:tcPr>
          <w:p>
            <w:pPr>
              <w:rPr>
                <w:rFonts w:hint="eastAsia"/>
              </w:rPr>
            </w:pPr>
            <w:r>
              <w:rPr>
                <w:rFonts w:hint="eastAsia"/>
              </w:rPr>
              <w:t>巡检仪主机、仪器包、PC数据线、物联卡、中文操作手册</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tcPr>
          <w:p>
            <w:r>
              <w:t>4</w:t>
            </w:r>
            <w:r>
              <w:rPr>
                <w:rFonts w:hint="eastAsia"/>
              </w:rPr>
              <w:t>质保时间：</w:t>
            </w:r>
          </w:p>
        </w:tc>
        <w:tc>
          <w:tcPr>
            <w:tcW w:w="6855" w:type="dxa"/>
            <w:vAlign w:val="center"/>
          </w:tcPr>
          <w:p>
            <w:r>
              <w:rPr>
                <w:rFonts w:hint="eastAsia"/>
                <w:lang w:val="en-US" w:eastAsia="zh-CN"/>
              </w:rPr>
              <w:t>不低于</w:t>
            </w:r>
            <w:r>
              <w:rPr>
                <w:rFonts w:hint="eastAsia"/>
              </w:rPr>
              <w:t>1年</w:t>
            </w:r>
          </w:p>
          <w:p/>
        </w:tc>
      </w:tr>
    </w:tbl>
    <w:p>
      <w:pPr>
        <w:rPr>
          <w:rFonts w:ascii="宋体" w:hAnsi="宋体"/>
          <w:color w:val="000000"/>
          <w:kern w:val="0"/>
          <w:sz w:val="24"/>
          <w:lang w:bidi="ar"/>
        </w:rPr>
      </w:pPr>
    </w:p>
    <w:p>
      <w:pPr>
        <w:rPr>
          <w:rFonts w:ascii="宋体" w:hAnsi="宋体"/>
          <w:color w:val="000000"/>
          <w:kern w:val="0"/>
          <w:sz w:val="24"/>
          <w:lang w:bidi="ar"/>
        </w:rPr>
      </w:pPr>
    </w:p>
    <w:p>
      <w:pPr>
        <w:jc w:val="center"/>
        <w:rPr>
          <w:b/>
          <w:color w:val="000000"/>
          <w:sz w:val="28"/>
          <w:szCs w:val="28"/>
        </w:rPr>
      </w:pPr>
      <w:r>
        <w:rPr>
          <w:rFonts w:hint="eastAsia"/>
          <w:b/>
          <w:color w:val="000000"/>
          <w:sz w:val="28"/>
          <w:szCs w:val="28"/>
        </w:rPr>
        <w:t>四、商务条款</w:t>
      </w:r>
    </w:p>
    <w:tbl>
      <w:tblPr>
        <w:tblStyle w:val="11"/>
        <w:tblW w:w="8354"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99"/>
        <w:gridCol w:w="1887"/>
        <w:gridCol w:w="496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序号</w:t>
            </w:r>
          </w:p>
        </w:tc>
        <w:tc>
          <w:tcPr>
            <w:tcW w:w="1887" w:type="dxa"/>
            <w:vAlign w:val="center"/>
          </w:tcPr>
          <w:p>
            <w:pPr>
              <w:widowControl/>
              <w:jc w:val="left"/>
              <w:rPr>
                <w:rFonts w:ascii="宋体" w:hAnsi="宋体"/>
                <w:color w:val="000000"/>
                <w:kern w:val="0"/>
                <w:sz w:val="24"/>
                <w:lang w:bidi="ar"/>
              </w:rPr>
            </w:pPr>
          </w:p>
        </w:tc>
        <w:tc>
          <w:tcPr>
            <w:tcW w:w="4968" w:type="dxa"/>
            <w:vAlign w:val="center"/>
          </w:tcPr>
          <w:p>
            <w:pPr>
              <w:widowControl/>
              <w:jc w:val="left"/>
              <w:rPr>
                <w:rFonts w:ascii="宋体" w:hAnsi="宋体"/>
                <w:color w:val="000000"/>
                <w:kern w:val="0"/>
                <w:sz w:val="24"/>
                <w:lang w:bidi="ar"/>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1</w:t>
            </w:r>
          </w:p>
        </w:tc>
        <w:tc>
          <w:tcPr>
            <w:tcW w:w="1887" w:type="dxa"/>
            <w:vAlign w:val="center"/>
          </w:tcPr>
          <w:p>
            <w:pPr>
              <w:widowControl/>
              <w:rPr>
                <w:rFonts w:ascii="宋体" w:hAnsi="宋体"/>
                <w:color w:val="000000"/>
                <w:kern w:val="0"/>
                <w:sz w:val="24"/>
                <w:lang w:bidi="ar"/>
              </w:rPr>
            </w:pPr>
            <w:r>
              <w:rPr>
                <w:rFonts w:hint="eastAsia" w:ascii="宋体" w:hAnsi="宋体"/>
                <w:color w:val="000000"/>
                <w:kern w:val="0"/>
                <w:sz w:val="24"/>
                <w:lang w:bidi="ar"/>
              </w:rPr>
              <w:t>保修时间</w:t>
            </w:r>
          </w:p>
        </w:tc>
        <w:tc>
          <w:tcPr>
            <w:tcW w:w="4968" w:type="dxa"/>
            <w:vAlign w:val="center"/>
          </w:tcPr>
          <w:p>
            <w:pPr>
              <w:widowControl/>
              <w:rPr>
                <w:rFonts w:ascii="宋体" w:hAnsi="宋体" w:eastAsia="宋体" w:cs="Calibri"/>
                <w:color w:val="000000"/>
                <w:kern w:val="0"/>
                <w:sz w:val="24"/>
                <w:szCs w:val="24"/>
                <w:lang w:val="en-US" w:eastAsia="zh-CN" w:bidi="ar"/>
              </w:rPr>
            </w:pPr>
            <w:r>
              <w:rPr>
                <w:rFonts w:hint="eastAsia" w:ascii="宋体" w:hAnsi="宋体"/>
                <w:color w:val="000000"/>
                <w:kern w:val="0"/>
                <w:sz w:val="24"/>
                <w:lang w:bidi="ar"/>
              </w:rPr>
              <w:t>保修时间≥</w:t>
            </w:r>
            <w:r>
              <w:rPr>
                <w:rFonts w:hint="eastAsia" w:ascii="宋体" w:hAnsi="宋体"/>
                <w:color w:val="000000"/>
                <w:kern w:val="0"/>
                <w:sz w:val="24"/>
                <w:lang w:val="en-US" w:eastAsia="zh-CN" w:bidi="ar"/>
              </w:rPr>
              <w:t>1</w:t>
            </w:r>
            <w:r>
              <w:rPr>
                <w:rFonts w:hint="eastAsia" w:ascii="宋体" w:hAnsi="宋体"/>
                <w:color w:val="000000"/>
                <w:kern w:val="0"/>
                <w:sz w:val="24"/>
                <w:lang w:bidi="ar"/>
              </w:rPr>
              <w:t>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2</w:t>
            </w:r>
          </w:p>
        </w:tc>
        <w:tc>
          <w:tcPr>
            <w:tcW w:w="1887" w:type="dxa"/>
            <w:vAlign w:val="center"/>
          </w:tcPr>
          <w:p>
            <w:pPr>
              <w:widowControl/>
              <w:rPr>
                <w:rFonts w:ascii="宋体" w:hAnsi="宋体"/>
                <w:color w:val="000000"/>
                <w:kern w:val="0"/>
                <w:sz w:val="24"/>
                <w:lang w:bidi="ar"/>
              </w:rPr>
            </w:pPr>
            <w:r>
              <w:rPr>
                <w:rFonts w:hint="eastAsia" w:ascii="宋体" w:hAnsi="宋体"/>
                <w:color w:val="000000"/>
                <w:kern w:val="0"/>
                <w:sz w:val="24"/>
                <w:lang w:bidi="ar"/>
              </w:rPr>
              <w:t>交货地点</w:t>
            </w:r>
          </w:p>
        </w:tc>
        <w:tc>
          <w:tcPr>
            <w:tcW w:w="4968" w:type="dxa"/>
            <w:vAlign w:val="center"/>
          </w:tcPr>
          <w:p>
            <w:pPr>
              <w:widowControl/>
              <w:rPr>
                <w:rFonts w:ascii="宋体" w:hAnsi="宋体" w:eastAsia="宋体" w:cs="Calibri"/>
                <w:color w:val="000000"/>
                <w:kern w:val="0"/>
                <w:sz w:val="24"/>
                <w:szCs w:val="24"/>
                <w:lang w:val="en-US" w:eastAsia="zh-CN" w:bidi="ar"/>
              </w:rPr>
            </w:pPr>
            <w:r>
              <w:rPr>
                <w:rFonts w:hint="eastAsia" w:ascii="宋体" w:hAnsi="宋体"/>
                <w:color w:val="000000"/>
                <w:kern w:val="0"/>
                <w:sz w:val="24"/>
                <w:lang w:bidi="ar"/>
              </w:rPr>
              <w:t>浙江省肿瘤医院</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53"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3</w:t>
            </w:r>
          </w:p>
        </w:tc>
        <w:tc>
          <w:tcPr>
            <w:tcW w:w="1887" w:type="dxa"/>
            <w:vAlign w:val="center"/>
          </w:tcPr>
          <w:p>
            <w:pPr>
              <w:widowControl/>
              <w:rPr>
                <w:rFonts w:ascii="宋体" w:hAnsi="宋体"/>
                <w:color w:val="000000"/>
                <w:kern w:val="0"/>
                <w:sz w:val="24"/>
                <w:lang w:bidi="ar"/>
              </w:rPr>
            </w:pPr>
            <w:r>
              <w:rPr>
                <w:rFonts w:hint="eastAsia" w:ascii="宋体" w:hAnsi="宋体"/>
                <w:color w:val="000000"/>
                <w:kern w:val="0"/>
                <w:sz w:val="24"/>
                <w:lang w:bidi="ar"/>
              </w:rPr>
              <w:t>交货期</w:t>
            </w:r>
          </w:p>
        </w:tc>
        <w:tc>
          <w:tcPr>
            <w:tcW w:w="4968" w:type="dxa"/>
            <w:vAlign w:val="center"/>
          </w:tcPr>
          <w:p>
            <w:pPr>
              <w:widowControl/>
              <w:rPr>
                <w:rFonts w:hint="default" w:ascii="宋体" w:hAnsi="宋体" w:eastAsia="宋体" w:cs="Calibri"/>
                <w:color w:val="000000"/>
                <w:kern w:val="0"/>
                <w:sz w:val="24"/>
                <w:szCs w:val="24"/>
                <w:lang w:val="en-US" w:eastAsia="zh-CN" w:bidi="ar"/>
              </w:rPr>
            </w:pPr>
            <w:r>
              <w:rPr>
                <w:rFonts w:hint="eastAsia" w:ascii="宋体" w:hAnsi="宋体"/>
                <w:color w:val="000000"/>
                <w:kern w:val="0"/>
                <w:sz w:val="24"/>
                <w:lang w:bidi="ar"/>
              </w:rPr>
              <w:t>合同签订后</w:t>
            </w:r>
            <w:r>
              <w:rPr>
                <w:rFonts w:hint="eastAsia" w:ascii="宋体" w:hAnsi="宋体"/>
                <w:color w:val="000000"/>
                <w:kern w:val="0"/>
                <w:sz w:val="24"/>
                <w:lang w:val="en-US" w:eastAsia="zh-CN" w:bidi="ar"/>
              </w:rPr>
              <w:t>30天内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17"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4</w:t>
            </w:r>
          </w:p>
        </w:tc>
        <w:tc>
          <w:tcPr>
            <w:tcW w:w="1887" w:type="dxa"/>
            <w:vAlign w:val="center"/>
          </w:tcPr>
          <w:p>
            <w:pPr>
              <w:widowControl/>
              <w:rPr>
                <w:rFonts w:ascii="宋体" w:hAnsi="宋体"/>
                <w:color w:val="000000"/>
                <w:kern w:val="0"/>
                <w:sz w:val="24"/>
                <w:lang w:bidi="ar"/>
              </w:rPr>
            </w:pPr>
            <w:r>
              <w:rPr>
                <w:rFonts w:hint="eastAsia" w:ascii="宋体" w:hAnsi="宋体"/>
                <w:color w:val="000000"/>
                <w:kern w:val="0"/>
                <w:sz w:val="24"/>
                <w:lang w:bidi="ar"/>
              </w:rPr>
              <w:t>保证金</w:t>
            </w:r>
          </w:p>
        </w:tc>
        <w:tc>
          <w:tcPr>
            <w:tcW w:w="4968" w:type="dxa"/>
            <w:vAlign w:val="center"/>
          </w:tcPr>
          <w:p>
            <w:pPr>
              <w:widowControl/>
              <w:ind w:firstLine="240" w:firstLineChars="100"/>
              <w:rPr>
                <w:rFonts w:ascii="宋体" w:hAnsi="宋体" w:eastAsia="宋体" w:cs="Calibri"/>
                <w:color w:val="000000"/>
                <w:kern w:val="0"/>
                <w:sz w:val="24"/>
                <w:szCs w:val="24"/>
                <w:lang w:val="en-US" w:eastAsia="zh-CN" w:bidi="ar"/>
              </w:rPr>
            </w:pPr>
            <w:r>
              <w:rPr>
                <w:rFonts w:hint="eastAsia" w:ascii="宋体" w:hAnsi="宋体"/>
                <w:color w:val="000000"/>
                <w:kern w:val="0"/>
                <w:sz w:val="24"/>
                <w:lang w:bidi="ar"/>
              </w:rPr>
              <w:t>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5</w:t>
            </w:r>
          </w:p>
        </w:tc>
        <w:tc>
          <w:tcPr>
            <w:tcW w:w="1887" w:type="dxa"/>
            <w:vAlign w:val="center"/>
          </w:tcPr>
          <w:p>
            <w:pPr>
              <w:widowControl/>
              <w:rPr>
                <w:rFonts w:ascii="宋体" w:hAnsi="宋体"/>
                <w:color w:val="000000"/>
                <w:kern w:val="0"/>
                <w:sz w:val="24"/>
                <w:lang w:bidi="ar"/>
              </w:rPr>
            </w:pPr>
            <w:r>
              <w:rPr>
                <w:rFonts w:hint="eastAsia" w:ascii="宋体" w:hAnsi="宋体"/>
                <w:color w:val="000000"/>
                <w:kern w:val="0"/>
                <w:sz w:val="24"/>
                <w:lang w:bidi="ar"/>
              </w:rPr>
              <w:t>违约责任及争议解决方式</w:t>
            </w:r>
          </w:p>
        </w:tc>
        <w:tc>
          <w:tcPr>
            <w:tcW w:w="4968" w:type="dxa"/>
            <w:vAlign w:val="center"/>
          </w:tcPr>
          <w:p>
            <w:pPr>
              <w:widowControl/>
              <w:rPr>
                <w:rFonts w:ascii="宋体" w:hAnsi="宋体" w:eastAsia="宋体" w:cs="Calibri"/>
                <w:color w:val="000000"/>
                <w:kern w:val="0"/>
                <w:sz w:val="24"/>
                <w:szCs w:val="24"/>
                <w:lang w:val="en-US" w:eastAsia="zh-CN" w:bidi="ar"/>
              </w:rPr>
            </w:pPr>
            <w:r>
              <w:rPr>
                <w:rFonts w:hint="eastAsia" w:ascii="宋体" w:hAnsi="宋体"/>
                <w:color w:val="000000"/>
                <w:kern w:val="0"/>
                <w:sz w:val="24"/>
                <w:lang w:bidi="ar"/>
              </w:rPr>
              <w:t>协商解决</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9"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6</w:t>
            </w:r>
          </w:p>
        </w:tc>
        <w:tc>
          <w:tcPr>
            <w:tcW w:w="1887" w:type="dxa"/>
            <w:vAlign w:val="center"/>
          </w:tcPr>
          <w:p>
            <w:pPr>
              <w:widowControl/>
              <w:rPr>
                <w:rFonts w:ascii="宋体" w:hAnsi="宋体"/>
                <w:color w:val="000000"/>
                <w:kern w:val="0"/>
                <w:sz w:val="24"/>
                <w:lang w:bidi="ar"/>
              </w:rPr>
            </w:pPr>
            <w:r>
              <w:rPr>
                <w:rFonts w:hint="eastAsia" w:ascii="宋体" w:hAnsi="宋体"/>
                <w:color w:val="000000"/>
                <w:kern w:val="0"/>
                <w:sz w:val="24"/>
                <w:lang w:bidi="ar"/>
              </w:rPr>
              <w:t>响应情况</w:t>
            </w:r>
          </w:p>
        </w:tc>
        <w:tc>
          <w:tcPr>
            <w:tcW w:w="4968" w:type="dxa"/>
            <w:vAlign w:val="center"/>
          </w:tcPr>
          <w:p>
            <w:pPr>
              <w:widowControl/>
              <w:rPr>
                <w:rFonts w:ascii="宋体" w:hAnsi="宋体" w:eastAsia="宋体" w:cs="Calibri"/>
                <w:color w:val="000000"/>
                <w:kern w:val="0"/>
                <w:sz w:val="24"/>
                <w:szCs w:val="24"/>
                <w:lang w:val="en-US" w:eastAsia="zh-CN" w:bidi="ar"/>
              </w:rPr>
            </w:pPr>
            <w:r>
              <w:rPr>
                <w:rFonts w:hint="eastAsia" w:ascii="宋体" w:hAnsi="宋体"/>
                <w:color w:val="000000"/>
                <w:kern w:val="0"/>
                <w:sz w:val="24"/>
                <w:lang w:bidi="ar"/>
              </w:rPr>
              <w:t>维修响应时间不超过</w:t>
            </w:r>
            <w:r>
              <w:rPr>
                <w:rFonts w:hint="eastAsia" w:ascii="宋体" w:hAnsi="宋体"/>
                <w:color w:val="000000"/>
                <w:kern w:val="0"/>
                <w:sz w:val="24"/>
                <w:lang w:val="en-US" w:eastAsia="zh-CN" w:bidi="ar"/>
              </w:rPr>
              <w:t>24</w:t>
            </w:r>
            <w:r>
              <w:rPr>
                <w:rFonts w:hint="eastAsia" w:ascii="宋体" w:hAnsi="宋体"/>
                <w:color w:val="000000"/>
                <w:kern w:val="0"/>
                <w:sz w:val="24"/>
                <w:lang w:bidi="ar"/>
              </w:rPr>
              <w:t>小时，提供全方位</w:t>
            </w:r>
            <w:r>
              <w:rPr>
                <w:rFonts w:hint="eastAsia" w:ascii="宋体" w:hAnsi="宋体"/>
                <w:color w:val="000000"/>
                <w:kern w:val="0"/>
                <w:sz w:val="24"/>
                <w:lang w:val="en-US" w:eastAsia="zh-CN" w:bidi="ar"/>
              </w:rPr>
              <w:t>48</w:t>
            </w:r>
            <w:r>
              <w:rPr>
                <w:rFonts w:hint="eastAsia" w:ascii="宋体" w:hAnsi="宋体"/>
                <w:color w:val="000000"/>
                <w:kern w:val="0"/>
                <w:sz w:val="24"/>
                <w:lang w:bidi="ar"/>
              </w:rPr>
              <w:t>小时服务。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89" w:hRule="atLeast"/>
        </w:trPr>
        <w:tc>
          <w:tcPr>
            <w:tcW w:w="1499" w:type="dxa"/>
            <w:vAlign w:val="center"/>
          </w:tcPr>
          <w:p>
            <w:pPr>
              <w:widowControl/>
              <w:jc w:val="left"/>
              <w:rPr>
                <w:rFonts w:ascii="宋体" w:hAnsi="宋体"/>
                <w:color w:val="000000"/>
                <w:kern w:val="0"/>
                <w:sz w:val="24"/>
                <w:lang w:bidi="ar"/>
              </w:rPr>
            </w:pPr>
            <w:r>
              <w:rPr>
                <w:rFonts w:hint="eastAsia" w:ascii="宋体" w:hAnsi="宋体"/>
                <w:color w:val="000000"/>
                <w:kern w:val="0"/>
                <w:sz w:val="24"/>
                <w:lang w:bidi="ar"/>
              </w:rPr>
              <w:t>7</w:t>
            </w:r>
          </w:p>
        </w:tc>
        <w:tc>
          <w:tcPr>
            <w:tcW w:w="1887" w:type="dxa"/>
            <w:vAlign w:val="center"/>
          </w:tcPr>
          <w:p>
            <w:pPr>
              <w:widowControl/>
              <w:rPr>
                <w:rFonts w:ascii="宋体" w:hAnsi="宋体"/>
                <w:color w:val="000000"/>
                <w:kern w:val="0"/>
                <w:sz w:val="24"/>
                <w:lang w:bidi="ar"/>
              </w:rPr>
            </w:pPr>
            <w:r>
              <w:rPr>
                <w:rFonts w:hint="eastAsia" w:ascii="宋体" w:hAnsi="宋体"/>
                <w:color w:val="000000"/>
                <w:kern w:val="0"/>
                <w:sz w:val="24"/>
                <w:lang w:bidi="ar"/>
              </w:rPr>
              <w:t>生产日期</w:t>
            </w:r>
          </w:p>
        </w:tc>
        <w:tc>
          <w:tcPr>
            <w:tcW w:w="4968" w:type="dxa"/>
            <w:vAlign w:val="center"/>
          </w:tcPr>
          <w:p>
            <w:pPr>
              <w:widowControl/>
              <w:rPr>
                <w:rFonts w:ascii="Calibri" w:hAnsi="Calibri" w:eastAsia="宋体" w:cs="Calibri"/>
                <w:bCs/>
                <w:kern w:val="2"/>
                <w:sz w:val="24"/>
                <w:szCs w:val="24"/>
                <w:lang w:val="en-US" w:eastAsia="zh-CN" w:bidi="ar-SA"/>
              </w:rPr>
            </w:pPr>
            <w:r>
              <w:rPr>
                <w:rFonts w:hint="eastAsia"/>
                <w:bCs/>
                <w:sz w:val="24"/>
              </w:rPr>
              <w:t>所投产品生产日期不早于投标日期前1年</w:t>
            </w:r>
          </w:p>
        </w:tc>
      </w:tr>
    </w:tbl>
    <w:p/>
    <w:sectPr>
      <w:headerReference r:id="rId3" w:type="default"/>
      <w:footerReference r:id="rId4" w:type="default"/>
      <w:pgSz w:w="11906" w:h="16838"/>
      <w:pgMar w:top="1134" w:right="1797" w:bottom="1021" w:left="179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tabs>
        <w:tab w:val="clear" w:pos="4153"/>
        <w:tab w:val="clear" w:pos="8306"/>
      </w:tabs>
      <w:rPr>
        <w:rStyle w:val="14"/>
      </w:rPr>
    </w:pPr>
  </w:p>
  <w:p>
    <w:pPr>
      <w:pStyle w:val="8"/>
      <w:tabs>
        <w:tab w:val="clear" w:pos="4153"/>
        <w:tab w:val="clear" w:pos="8306"/>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5M2ZlYjUyN2NiODkwNzdmYTc5ZmZmNTMyMjA4ZjIifQ=="/>
  </w:docVars>
  <w:rsids>
    <w:rsidRoot w:val="00341DD7"/>
    <w:rsid w:val="000C0945"/>
    <w:rsid w:val="002330CE"/>
    <w:rsid w:val="00315791"/>
    <w:rsid w:val="00341DD7"/>
    <w:rsid w:val="00375FCF"/>
    <w:rsid w:val="0072467A"/>
    <w:rsid w:val="00773DE3"/>
    <w:rsid w:val="008F557D"/>
    <w:rsid w:val="00923961"/>
    <w:rsid w:val="00B1113A"/>
    <w:rsid w:val="00C26515"/>
    <w:rsid w:val="00FA084F"/>
    <w:rsid w:val="01A425EF"/>
    <w:rsid w:val="05926700"/>
    <w:rsid w:val="07C02047"/>
    <w:rsid w:val="0CDE4A54"/>
    <w:rsid w:val="173E2AD2"/>
    <w:rsid w:val="18A1557C"/>
    <w:rsid w:val="1AB07CF9"/>
    <w:rsid w:val="1FED10A7"/>
    <w:rsid w:val="220C467F"/>
    <w:rsid w:val="246F29D3"/>
    <w:rsid w:val="26146631"/>
    <w:rsid w:val="27F751B9"/>
    <w:rsid w:val="305735B0"/>
    <w:rsid w:val="3227748F"/>
    <w:rsid w:val="3F9B2476"/>
    <w:rsid w:val="42725710"/>
    <w:rsid w:val="46737CA9"/>
    <w:rsid w:val="46D37819"/>
    <w:rsid w:val="4B0B4954"/>
    <w:rsid w:val="52475554"/>
    <w:rsid w:val="53D61877"/>
    <w:rsid w:val="56757125"/>
    <w:rsid w:val="57215EC7"/>
    <w:rsid w:val="574F6A3D"/>
    <w:rsid w:val="59CF119B"/>
    <w:rsid w:val="5C891B7C"/>
    <w:rsid w:val="5D0905C7"/>
    <w:rsid w:val="6017749F"/>
    <w:rsid w:val="663A5B4B"/>
    <w:rsid w:val="689C2C37"/>
    <w:rsid w:val="698E4AF7"/>
    <w:rsid w:val="70CB5E68"/>
    <w:rsid w:val="7FA0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9" w:name="heading 2"/>
    <w:lsdException w:qFormat="1" w:uiPriority="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4"/>
      <w:lang w:val="en-US" w:eastAsia="zh-CN" w:bidi="ar-SA"/>
    </w:rPr>
  </w:style>
  <w:style w:type="paragraph" w:styleId="2">
    <w:name w:val="heading 1"/>
    <w:basedOn w:val="1"/>
    <w:autoRedefine/>
    <w:qFormat/>
    <w:uiPriority w:val="9"/>
    <w:pPr>
      <w:keepNext/>
      <w:spacing w:line="360" w:lineRule="auto"/>
      <w:jc w:val="center"/>
      <w:outlineLvl w:val="0"/>
    </w:pPr>
    <w:rPr>
      <w:rFonts w:ascii="Arial" w:hAnsi="Arial" w:eastAsia="华文中宋"/>
      <w:b/>
      <w:color w:val="000000"/>
      <w:sz w:val="32"/>
    </w:rPr>
  </w:style>
  <w:style w:type="paragraph" w:styleId="3">
    <w:name w:val="heading 3"/>
    <w:basedOn w:val="1"/>
    <w:autoRedefine/>
    <w:semiHidden/>
    <w:unhideWhenUsed/>
    <w:qFormat/>
    <w:uiPriority w:val="9"/>
    <w:pPr>
      <w:keepNext/>
      <w:snapToGrid w:val="0"/>
      <w:outlineLvl w:val="2"/>
    </w:pPr>
    <w:rPr>
      <w:rFonts w:ascii="Times New Roman" w:hAnsi="Times New Roman"/>
      <w:sz w:val="28"/>
      <w:szCs w:val="20"/>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qFormat/>
    <w:uiPriority w:val="0"/>
    <w:pPr>
      <w:jc w:val="left"/>
    </w:pPr>
  </w:style>
  <w:style w:type="paragraph" w:styleId="5">
    <w:name w:val="Body Text"/>
    <w:basedOn w:val="1"/>
    <w:autoRedefine/>
    <w:qFormat/>
    <w:uiPriority w:val="0"/>
    <w:rPr>
      <w:color w:val="FF0000"/>
    </w:rPr>
  </w:style>
  <w:style w:type="paragraph" w:styleId="6">
    <w:name w:val="Date"/>
    <w:basedOn w:val="1"/>
    <w:autoRedefine/>
    <w:qFormat/>
    <w:uiPriority w:val="0"/>
    <w:pPr>
      <w:widowControl/>
      <w:overflowPunct w:val="0"/>
      <w:autoSpaceDE w:val="0"/>
      <w:autoSpaceDN w:val="0"/>
    </w:pPr>
    <w:rPr>
      <w:rFonts w:eastAsia="仿宋_GB2312"/>
      <w:kern w:val="0"/>
      <w:sz w:val="24"/>
      <w:szCs w:val="20"/>
    </w:rPr>
  </w:style>
  <w:style w:type="paragraph" w:styleId="7">
    <w:name w:val="Balloon Text"/>
    <w:basedOn w:val="1"/>
    <w:autoRedefine/>
    <w:semiHidden/>
    <w:qFormat/>
    <w:uiPriority w:val="0"/>
    <w:rPr>
      <w:sz w:val="18"/>
      <w:szCs w:val="18"/>
    </w:rPr>
  </w:style>
  <w:style w:type="paragraph" w:styleId="8">
    <w:name w:val="footer"/>
    <w:basedOn w:val="1"/>
    <w:link w:val="17"/>
    <w:autoRedefine/>
    <w:qFormat/>
    <w:uiPriority w:val="0"/>
    <w:pPr>
      <w:tabs>
        <w:tab w:val="center" w:pos="4153"/>
        <w:tab w:val="right" w:pos="8306"/>
      </w:tabs>
      <w:snapToGrid w:val="0"/>
      <w:jc w:val="left"/>
    </w:pPr>
    <w:rPr>
      <w:sz w:val="18"/>
      <w:szCs w:val="20"/>
    </w:rPr>
  </w:style>
  <w:style w:type="paragraph" w:styleId="9">
    <w:name w:val="header"/>
    <w:basedOn w:val="1"/>
    <w:link w:val="18"/>
    <w:autoRedefine/>
    <w:qFormat/>
    <w:uiPriority w:val="0"/>
    <w:pPr>
      <w:pBdr>
        <w:bottom w:val="single" w:color="000000" w:sz="6" w:space="1"/>
      </w:pBdr>
      <w:tabs>
        <w:tab w:val="center" w:pos="4153"/>
        <w:tab w:val="right" w:pos="8306"/>
      </w:tabs>
      <w:snapToGrid w:val="0"/>
      <w:jc w:val="center"/>
    </w:pPr>
    <w:rPr>
      <w:sz w:val="18"/>
      <w:szCs w:val="18"/>
    </w:rPr>
  </w:style>
  <w:style w:type="paragraph" w:styleId="10">
    <w:name w:val="annotation subject"/>
    <w:basedOn w:val="4"/>
    <w:autoRedefine/>
    <w:semiHidden/>
    <w:qFormat/>
    <w:uiPriority w:val="0"/>
    <w:rPr>
      <w:b/>
      <w:bCs/>
    </w:rPr>
  </w:style>
  <w:style w:type="table" w:styleId="12">
    <w:name w:val="Table Elegant"/>
    <w:basedOn w:val="11"/>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caps/>
        <w:color w:val="auto"/>
      </w:rPr>
      <w:tblPr/>
      <w:tcPr>
        <w:tcBorders>
          <w:tl2br w:val="nil"/>
          <w:tr2bl w:val="nil"/>
        </w:tcBorders>
      </w:tcPr>
    </w:tblStylePr>
  </w:style>
  <w:style w:type="character" w:styleId="14">
    <w:name w:val="page number"/>
    <w:basedOn w:val="13"/>
    <w:autoRedefine/>
    <w:qFormat/>
    <w:uiPriority w:val="0"/>
  </w:style>
  <w:style w:type="character" w:styleId="15">
    <w:name w:val="Hyperlink"/>
    <w:basedOn w:val="13"/>
    <w:qFormat/>
    <w:uiPriority w:val="0"/>
    <w:rPr>
      <w:color w:val="0000FF"/>
      <w:u w:val="single"/>
    </w:rPr>
  </w:style>
  <w:style w:type="character" w:styleId="16">
    <w:name w:val="annotation reference"/>
    <w:basedOn w:val="13"/>
    <w:autoRedefine/>
    <w:semiHidden/>
    <w:qFormat/>
    <w:uiPriority w:val="0"/>
    <w:rPr>
      <w:sz w:val="21"/>
      <w:szCs w:val="21"/>
    </w:rPr>
  </w:style>
  <w:style w:type="character" w:customStyle="1" w:styleId="17">
    <w:name w:val="页脚 字符"/>
    <w:basedOn w:val="13"/>
    <w:link w:val="8"/>
    <w:autoRedefine/>
    <w:semiHidden/>
    <w:qFormat/>
    <w:uiPriority w:val="0"/>
    <w:rPr>
      <w:rFonts w:eastAsia="宋体"/>
      <w:kern w:val="2"/>
      <w:sz w:val="18"/>
      <w:lang w:val="en-US" w:eastAsia="zh-CN" w:bidi="ar-SA"/>
    </w:rPr>
  </w:style>
  <w:style w:type="character" w:customStyle="1" w:styleId="18">
    <w:name w:val="页眉 字符"/>
    <w:basedOn w:val="13"/>
    <w:link w:val="9"/>
    <w:autoRedefine/>
    <w:qFormat/>
    <w:uiPriority w:val="0"/>
    <w:rPr>
      <w:rFonts w:eastAsia="宋体"/>
      <w:kern w:val="2"/>
      <w:sz w:val="18"/>
      <w:szCs w:val="18"/>
      <w:lang w:val="en-US" w:eastAsia="zh-CN" w:bidi="ar-SA"/>
    </w:rPr>
  </w:style>
  <w:style w:type="character" w:customStyle="1" w:styleId="19">
    <w:name w:val="font01"/>
    <w:basedOn w:val="13"/>
    <w:autoRedefine/>
    <w:qFormat/>
    <w:uiPriority w:val="0"/>
    <w:rPr>
      <w:rFonts w:hint="eastAsia" w:ascii="宋体" w:hAnsi="宋体" w:eastAsia="宋体"/>
      <w:color w:val="000000"/>
      <w:sz w:val="24"/>
      <w:szCs w:val="24"/>
      <w:u w:val="none"/>
    </w:rPr>
  </w:style>
  <w:style w:type="character" w:customStyle="1" w:styleId="20">
    <w:name w:val="apple-converted-space"/>
    <w:basedOn w:val="13"/>
    <w:autoRedefine/>
    <w:qFormat/>
    <w:uiPriority w:val="0"/>
  </w:style>
  <w:style w:type="character" w:customStyle="1" w:styleId="21">
    <w:name w:val="font31"/>
    <w:basedOn w:val="13"/>
    <w:autoRedefine/>
    <w:qFormat/>
    <w:uiPriority w:val="0"/>
    <w:rPr>
      <w:rFonts w:hint="eastAsia" w:ascii="宋体" w:hAnsi="宋体" w:eastAsia="宋体"/>
      <w:color w:val="000000"/>
      <w:sz w:val="24"/>
      <w:szCs w:val="24"/>
      <w:u w:val="none"/>
    </w:rPr>
  </w:style>
  <w:style w:type="character" w:customStyle="1" w:styleId="22">
    <w:name w:val="Header Char"/>
    <w:autoRedefine/>
    <w:semiHidden/>
    <w:qFormat/>
    <w:uiPriority w:val="0"/>
    <w:rPr>
      <w:sz w:val="18"/>
    </w:rPr>
  </w:style>
  <w:style w:type="character" w:customStyle="1" w:styleId="23">
    <w:name w:val="font21"/>
    <w:basedOn w:val="13"/>
    <w:autoRedefine/>
    <w:qFormat/>
    <w:uiPriority w:val="0"/>
    <w:rPr>
      <w:rFonts w:hint="eastAsia" w:ascii="宋体" w:hAnsi="宋体" w:eastAsia="宋体"/>
      <w:color w:val="000000"/>
      <w:sz w:val="24"/>
      <w:szCs w:val="24"/>
      <w:u w:val="none"/>
    </w:rPr>
  </w:style>
  <w:style w:type="paragraph" w:customStyle="1" w:styleId="24">
    <w:name w:val="H-TextFormat"/>
    <w:basedOn w:val="1"/>
    <w:autoRedefine/>
    <w:qFormat/>
    <w:uiPriority w:val="0"/>
    <w:pPr>
      <w:widowControl/>
      <w:autoSpaceDE w:val="0"/>
      <w:autoSpaceDN w:val="0"/>
      <w:jc w:val="left"/>
    </w:pPr>
    <w:rPr>
      <w:rFonts w:ascii="Arial" w:hAnsi="Arial"/>
      <w:kern w:val="0"/>
      <w:sz w:val="22"/>
      <w:szCs w:val="22"/>
      <w:lang w:eastAsia="de-DE"/>
    </w:rPr>
  </w:style>
  <w:style w:type="paragraph" w:customStyle="1" w:styleId="25">
    <w:name w:val="Table Paragraph"/>
    <w:basedOn w:val="1"/>
    <w:autoRedefine/>
    <w:qFormat/>
    <w:uiPriority w:val="0"/>
    <w:pPr>
      <w:jc w:val="left"/>
    </w:pPr>
    <w:rPr>
      <w:kern w:val="0"/>
      <w:sz w:val="22"/>
      <w:szCs w:val="22"/>
      <w:lang w:eastAsia="en-US"/>
    </w:rPr>
  </w:style>
  <w:style w:type="paragraph" w:customStyle="1" w:styleId="26">
    <w:name w:val="列出段落"/>
    <w:basedOn w:val="1"/>
    <w:autoRedefine/>
    <w:qFormat/>
    <w:uiPriority w:val="0"/>
    <w:pPr>
      <w:ind w:firstLine="420" w:firstLineChars="200"/>
    </w:pPr>
    <w:rPr>
      <w:szCs w:val="22"/>
    </w:rPr>
  </w:style>
  <w:style w:type="paragraph" w:customStyle="1" w:styleId="27">
    <w:name w:val="Char Char Char Char Char Char"/>
    <w:basedOn w:val="1"/>
    <w:autoRedefine/>
    <w:qFormat/>
    <w:uiPriority w:val="0"/>
    <w:rPr>
      <w:rFonts w:ascii="仿宋_GB2312" w:eastAsia="仿宋_GB2312"/>
      <w:b/>
      <w:sz w:val="32"/>
      <w:szCs w:val="32"/>
    </w:rPr>
  </w:style>
  <w:style w:type="paragraph" w:customStyle="1" w:styleId="28">
    <w:name w:val="Char Char Char Char Char Char Char"/>
    <w:basedOn w:val="1"/>
    <w:autoRedefine/>
    <w:qFormat/>
    <w:uiPriority w:val="0"/>
    <w:rPr>
      <w:kern w:val="0"/>
    </w:rPr>
  </w:style>
  <w:style w:type="paragraph" w:customStyle="1" w:styleId="29">
    <w:name w:val="Char"/>
    <w:basedOn w:val="1"/>
    <w:autoRedefine/>
    <w:qFormat/>
    <w:uiPriority w:val="0"/>
    <w:rPr>
      <w:rFonts w:ascii="Tahoma" w:hAnsi="Tahoma"/>
      <w:sz w:val="24"/>
      <w:szCs w:val="20"/>
    </w:rPr>
  </w:style>
  <w:style w:type="paragraph" w:styleId="30">
    <w:name w:val="List Paragraph"/>
    <w:basedOn w:val="1"/>
    <w:autoRedefine/>
    <w:qFormat/>
    <w:uiPriority w:val="34"/>
    <w:pPr>
      <w:ind w:firstLine="420" w:firstLineChars="200"/>
    </w:pPr>
    <w:rPr>
      <w:rFonts w:ascii="等线" w:hAnsi="等线" w:eastAsia="等线"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Words>
  <Characters>557</Characters>
  <Lines>4</Lines>
  <Paragraphs>1</Paragraphs>
  <TotalTime>0</TotalTime>
  <ScaleCrop>false</ScaleCrop>
  <LinksUpToDate>false</LinksUpToDate>
  <CharactersWithSpaces>653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2024-01-18T03:51:00Z</dcterms:created>
  <dc:creator>周攀攀 Zhou Panpan</dc:creator>
  <cp:lastModifiedBy></cp:lastModifiedBy>
  <dcterms:modified xsi:type="dcterms:W3CDTF">2024-05-10T09:26:39Z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83542923EFA6476F907338511B53622E_13</vt:lpwstr>
  </property>
</Properties>
</file>