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bookmarkStart w:id="0" w:name="_Toc525753435"/>
      <w:bookmarkStart w:id="1" w:name="_Toc414568763"/>
      <w:r>
        <w:rPr>
          <w:rFonts w:hint="eastAsia"/>
        </w:rPr>
        <w:t>1000M专线技术规范及要求</w:t>
      </w:r>
      <w:bookmarkEnd w:id="0"/>
      <w:bookmarkEnd w:id="1"/>
    </w:p>
    <w:p>
      <w:pPr>
        <w:rPr>
          <w:rFonts w:hint="default" w:ascii="宋体" w:hAnsi="宋体" w:eastAsia="宋体" w:cs="宋体"/>
          <w:sz w:val="28"/>
          <w:szCs w:val="28"/>
          <w:lang w:val="en-US" w:eastAsia="zh-CN"/>
        </w:rPr>
      </w:pPr>
      <w:r>
        <w:rPr>
          <w:rFonts w:hint="eastAsia" w:cs="宋体"/>
          <w:sz w:val="28"/>
          <w:szCs w:val="28"/>
          <w:lang w:val="en-US" w:eastAsia="zh-CN"/>
        </w:rPr>
        <w:t>需求三条1G</w:t>
      </w:r>
      <w:bookmarkStart w:id="9" w:name="_GoBack"/>
      <w:bookmarkEnd w:id="9"/>
      <w:r>
        <w:rPr>
          <w:rFonts w:hint="eastAsia" w:cs="宋体"/>
          <w:sz w:val="28"/>
          <w:szCs w:val="28"/>
          <w:lang w:val="en-US" w:eastAsia="zh-CN"/>
        </w:rPr>
        <w:t>公网专线。</w:t>
      </w:r>
    </w:p>
    <w:p>
      <w:pPr>
        <w:pStyle w:val="2"/>
        <w:keepLines/>
        <w:tabs>
          <w:tab w:val="left" w:pos="567"/>
        </w:tabs>
        <w:jc w:val="left"/>
        <w:rPr>
          <w:rFonts w:hint="eastAsia" w:ascii="宋体" w:hAnsi="宋体" w:eastAsia="宋体" w:cs="宋体"/>
          <w:color w:val="auto"/>
          <w:sz w:val="28"/>
          <w:szCs w:val="28"/>
        </w:rPr>
      </w:pPr>
      <w:bookmarkStart w:id="2" w:name="_Toc470081658"/>
      <w:bookmarkStart w:id="3" w:name="_Toc525753437"/>
      <w:r>
        <w:rPr>
          <w:rFonts w:hint="eastAsia" w:ascii="宋体" w:hAnsi="宋体" w:eastAsia="宋体" w:cs="宋体"/>
          <w:color w:val="auto"/>
          <w:sz w:val="28"/>
          <w:szCs w:val="28"/>
        </w:rPr>
        <w:t>一、互联要求</w:t>
      </w:r>
      <w:bookmarkEnd w:id="2"/>
      <w:bookmarkEnd w:id="3"/>
    </w:p>
    <w:p>
      <w:pPr>
        <w:spacing w:line="360" w:lineRule="auto"/>
        <w:rPr>
          <w:rFonts w:hint="eastAsia" w:ascii="宋体" w:hAnsi="宋体" w:eastAsia="宋体" w:cs="宋体"/>
          <w:kern w:val="2"/>
          <w:sz w:val="28"/>
          <w:szCs w:val="28"/>
        </w:rPr>
      </w:pPr>
      <w:r>
        <w:rPr>
          <w:rFonts w:hint="eastAsia" w:ascii="宋体" w:hAnsi="宋体" w:eastAsia="宋体" w:cs="宋体"/>
          <w:kern w:val="2"/>
          <w:sz w:val="28"/>
          <w:szCs w:val="28"/>
        </w:rPr>
        <w:t>1、乙方提供的线路接入点需交付到甲方指定安装地址，传输、裸纤等资源均由乙方提供。（甲方安装地址：</w:t>
      </w:r>
      <w:r>
        <w:rPr>
          <w:rFonts w:hint="eastAsia" w:ascii="宋体" w:hAnsi="宋体" w:eastAsia="宋体" w:cs="宋体"/>
          <w:color w:val="000000"/>
          <w:sz w:val="28"/>
          <w:szCs w:val="28"/>
        </w:rPr>
        <w:t>杭州市拱墅区半山东路1号</w:t>
      </w:r>
      <w:r>
        <w:rPr>
          <w:rFonts w:hint="eastAsia" w:ascii="宋体" w:hAnsi="宋体" w:eastAsia="宋体" w:cs="宋体"/>
          <w:kern w:val="2"/>
          <w:sz w:val="28"/>
          <w:szCs w:val="28"/>
        </w:rPr>
        <w:t>）。</w:t>
      </w:r>
    </w:p>
    <w:p>
      <w:pPr>
        <w:spacing w:line="360" w:lineRule="auto"/>
        <w:rPr>
          <w:rFonts w:hint="eastAsia" w:ascii="宋体" w:hAnsi="宋体" w:eastAsia="宋体" w:cs="宋体"/>
          <w:kern w:val="2"/>
          <w:sz w:val="28"/>
          <w:szCs w:val="28"/>
        </w:rPr>
      </w:pPr>
      <w:r>
        <w:rPr>
          <w:rFonts w:hint="eastAsia" w:ascii="宋体" w:hAnsi="宋体" w:eastAsia="宋体" w:cs="宋体"/>
          <w:kern w:val="2"/>
          <w:sz w:val="28"/>
          <w:szCs w:val="28"/>
        </w:rPr>
        <w:t>2、乙方提供的互联网链路到达Internet骨干核心路。</w:t>
      </w:r>
    </w:p>
    <w:p>
      <w:pPr>
        <w:spacing w:line="360" w:lineRule="auto"/>
        <w:rPr>
          <w:rFonts w:hint="eastAsia" w:ascii="宋体" w:hAnsi="宋体" w:eastAsia="宋体" w:cs="宋体"/>
          <w:kern w:val="2"/>
          <w:sz w:val="28"/>
          <w:szCs w:val="28"/>
        </w:rPr>
      </w:pPr>
      <w:r>
        <w:rPr>
          <w:rFonts w:hint="eastAsia" w:ascii="宋体" w:hAnsi="宋体" w:eastAsia="宋体" w:cs="宋体"/>
          <w:kern w:val="2"/>
          <w:sz w:val="28"/>
          <w:szCs w:val="28"/>
        </w:rPr>
        <w:t>4、乙方提供的互联接口带宽不小于1Gbps，实际带宽可用率≥95%。</w:t>
      </w:r>
    </w:p>
    <w:p>
      <w:pPr>
        <w:pStyle w:val="3"/>
        <w:spacing w:line="360" w:lineRule="auto"/>
        <w:ind w:left="6"/>
        <w:rPr>
          <w:rFonts w:hint="eastAsia" w:ascii="宋体" w:hAnsi="宋体" w:eastAsia="宋体" w:cs="宋体"/>
          <w:b/>
          <w:sz w:val="28"/>
          <w:szCs w:val="28"/>
        </w:rPr>
      </w:pPr>
      <w:bookmarkStart w:id="4" w:name="_Toc470081662"/>
      <w:bookmarkStart w:id="5" w:name="_Toc460703001"/>
      <w:bookmarkStart w:id="6" w:name="_Toc452564463"/>
      <w:r>
        <w:rPr>
          <w:rFonts w:hint="eastAsia" w:ascii="宋体" w:hAnsi="宋体" w:eastAsia="宋体" w:cs="宋体"/>
          <w:b/>
          <w:sz w:val="28"/>
          <w:szCs w:val="28"/>
        </w:rPr>
        <w:t>二、质量要求</w:t>
      </w:r>
      <w:bookmarkEnd w:id="4"/>
      <w:bookmarkEnd w:id="5"/>
      <w:bookmarkEnd w:id="6"/>
    </w:p>
    <w:p>
      <w:pPr>
        <w:pStyle w:val="19"/>
        <w:numPr>
          <w:ilvl w:val="3"/>
          <w:numId w:val="0"/>
        </w:numPr>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乙方提供互联网出口不得针对甲方用户做任何影响业务品质的控制策略；</w:t>
      </w:r>
    </w:p>
    <w:p>
      <w:pPr>
        <w:pStyle w:val="19"/>
        <w:numPr>
          <w:ilvl w:val="3"/>
          <w:numId w:val="0"/>
        </w:numPr>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乙方提供互联网出口不得针对甲方用户访问的内容进行任何修改、添加；</w:t>
      </w:r>
    </w:p>
    <w:p>
      <w:pPr>
        <w:pStyle w:val="19"/>
        <w:numPr>
          <w:ilvl w:val="3"/>
          <w:numId w:val="0"/>
        </w:numPr>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乙方提供互联网出口不得针对甲方用户访问上行请求进行劫持、重定向；</w:t>
      </w:r>
    </w:p>
    <w:p>
      <w:pPr>
        <w:pStyle w:val="19"/>
        <w:numPr>
          <w:ilvl w:val="3"/>
          <w:numId w:val="0"/>
        </w:numPr>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乙方提供互联网出口不得针对甲方用户访问的页面插入或弹出广告；</w:t>
      </w:r>
    </w:p>
    <w:p>
      <w:pPr>
        <w:pStyle w:val="2"/>
        <w:keepLines/>
        <w:numPr>
          <w:ilvl w:val="0"/>
          <w:numId w:val="0"/>
        </w:numPr>
        <w:tabs>
          <w:tab w:val="left" w:pos="567"/>
        </w:tabs>
        <w:ind w:leftChars="0"/>
        <w:jc w:val="left"/>
        <w:rPr>
          <w:rFonts w:hint="eastAsia" w:ascii="宋体" w:hAnsi="宋体" w:eastAsia="宋体" w:cs="宋体"/>
          <w:color w:val="auto"/>
          <w:sz w:val="28"/>
          <w:szCs w:val="28"/>
        </w:rPr>
      </w:pPr>
      <w:bookmarkStart w:id="7" w:name="_Toc470081663"/>
      <w:bookmarkStart w:id="8" w:name="_Toc525753439"/>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故障处理与维护服务基本要求</w:t>
      </w:r>
      <w:bookmarkEnd w:id="7"/>
      <w:bookmarkEnd w:id="8"/>
    </w:p>
    <w:p>
      <w:pPr>
        <w:pStyle w:val="18"/>
        <w:numPr>
          <w:ilvl w:val="2"/>
          <w:numId w:val="0"/>
        </w:numPr>
        <w:tabs>
          <w:tab w:val="clear" w:pos="567"/>
        </w:tabs>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乙方提供7×24小时热线服务，并在接到甲方的故障申告电话后立即响应；故障申告时间以甲方电话申告的时间为准，故障消除时间以乙方提供的并经甲方确认的时间为准。</w:t>
      </w:r>
    </w:p>
    <w:p>
      <w:pPr>
        <w:pStyle w:val="18"/>
        <w:numPr>
          <w:ilvl w:val="2"/>
          <w:numId w:val="0"/>
        </w:numPr>
        <w:tabs>
          <w:tab w:val="clear" w:pos="567"/>
        </w:tabs>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除不可抗力外，乙方应在故障申告时间开始后的24小时内恢复网络正常。乙方如因网络调整等原因需要暂时中断或部分中断网络，应尽可能安排在非忙时进行，同时必须提前24小时书面通知甲方。</w:t>
      </w:r>
    </w:p>
    <w:p>
      <w:pPr>
        <w:pStyle w:val="18"/>
        <w:numPr>
          <w:ilvl w:val="2"/>
          <w:numId w:val="0"/>
        </w:numPr>
        <w:tabs>
          <w:tab w:val="clear" w:pos="567"/>
        </w:tabs>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乙方应当向甲方提供有效的联系人信息和联系方式，如遇到设备紧急故障或存在重大漏洞需要紧急处理和修补提前30分钟通知甲方或其指定的联系人。</w:t>
      </w:r>
    </w:p>
    <w:p>
      <w:pPr>
        <w:pStyle w:val="18"/>
        <w:numPr>
          <w:ilvl w:val="2"/>
          <w:numId w:val="0"/>
        </w:numPr>
        <w:tabs>
          <w:tab w:val="clear" w:pos="567"/>
        </w:tabs>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03560"/>
    <w:multiLevelType w:val="multilevel"/>
    <w:tmpl w:val="6D703560"/>
    <w:lvl w:ilvl="0" w:tentative="0">
      <w:start w:val="1"/>
      <w:numFmt w:val="ideographDigital"/>
      <w:suff w:val="space"/>
      <w:lvlText w:val="第%1部分、"/>
      <w:lvlJc w:val="left"/>
      <w:pPr>
        <w:ind w:left="0" w:firstLine="0"/>
      </w:pPr>
      <w:rPr>
        <w:rFonts w:hint="eastAsia" w:ascii="仿宋_GB2312" w:hAnsi="仿宋_GB2312" w:eastAsia="仿宋_GB2312" w:cs="Times New Roman"/>
      </w:rPr>
    </w:lvl>
    <w:lvl w:ilvl="1" w:tentative="0">
      <w:start w:val="1"/>
      <w:numFmt w:val="chineseCountingThousand"/>
      <w:lvlText w:val="%2、"/>
      <w:lvlJc w:val="left"/>
      <w:pPr>
        <w:tabs>
          <w:tab w:val="left" w:pos="1135"/>
        </w:tabs>
        <w:ind w:left="0" w:firstLine="0"/>
      </w:pPr>
      <w:rPr>
        <w:rFonts w:hint="eastAsia"/>
      </w:rPr>
    </w:lvl>
    <w:lvl w:ilvl="2" w:tentative="0">
      <w:start w:val="1"/>
      <w:numFmt w:val="decimal"/>
      <w:pStyle w:val="18"/>
      <w:suff w:val="space"/>
      <w:lvlText w:val="%3、"/>
      <w:lvlJc w:val="left"/>
      <w:pPr>
        <w:ind w:left="284" w:firstLine="0"/>
      </w:pPr>
      <w:rPr>
        <w:rFonts w:hint="eastAsia" w:ascii="宋体" w:hAnsi="宋体" w:eastAsia="宋体" w:cs="Times New Roman"/>
        <w:sz w:val="18"/>
        <w:szCs w:val="18"/>
      </w:rPr>
    </w:lvl>
    <w:lvl w:ilvl="3" w:tentative="0">
      <w:start w:val="1"/>
      <w:numFmt w:val="decimal"/>
      <w:pStyle w:val="19"/>
      <w:suff w:val="space"/>
      <w:lvlText w:val="%3.%4、"/>
      <w:lvlJc w:val="left"/>
      <w:pPr>
        <w:ind w:left="0" w:firstLine="0"/>
      </w:pPr>
      <w:rPr>
        <w:rFonts w:hint="eastAsia" w:ascii="仿宋_GB2312" w:hAnsi="仿宋_GB2312" w:eastAsia="仿宋_GB2312" w:cs="Times New Roman"/>
      </w:rPr>
    </w:lvl>
    <w:lvl w:ilvl="4" w:tentative="0">
      <w:start w:val="2"/>
      <w:numFmt w:val="decimalEnclosedCircle"/>
      <w:lvlText w:val="%5"/>
      <w:lvlJc w:val="left"/>
      <w:pPr>
        <w:ind w:left="530" w:hanging="360"/>
      </w:pPr>
      <w:rPr>
        <w:rFonts w:hint="default"/>
      </w:rPr>
    </w:lvl>
    <w:lvl w:ilvl="5" w:tentative="0">
      <w:start w:val="2"/>
      <w:numFmt w:val="decimalEnclosedCircle"/>
      <w:lvlText w:val="%6"/>
      <w:lvlJc w:val="left"/>
      <w:pPr>
        <w:ind w:left="587" w:hanging="360"/>
      </w:pPr>
      <w:rPr>
        <w:rFonts w:hint="default"/>
      </w:rPr>
    </w:lvl>
    <w:lvl w:ilvl="6" w:tentative="0">
      <w:start w:val="1"/>
      <w:numFmt w:val="decimal"/>
      <w:suff w:val="space"/>
      <w:lvlText w:val="%2.%3.%4.%5.%6.%7"/>
      <w:lvlJc w:val="left"/>
      <w:pPr>
        <w:ind w:left="432" w:hanging="32"/>
      </w:pPr>
      <w:rPr>
        <w:rFonts w:hint="eastAsia" w:ascii="仿宋_GB2312" w:hAnsi="仿宋_GB2312" w:eastAsia="仿宋_GB2312" w:cs="Times New Roman"/>
      </w:rPr>
    </w:lvl>
    <w:lvl w:ilvl="7" w:tentative="0">
      <w:start w:val="1"/>
      <w:numFmt w:val="decimal"/>
      <w:lvlText w:val="%1.%2.%3.%4.%5.%6.%7.%8"/>
      <w:lvlJc w:val="left"/>
      <w:pPr>
        <w:tabs>
          <w:tab w:val="left" w:pos="4380"/>
        </w:tabs>
        <w:ind w:left="4380" w:hanging="1440"/>
      </w:pPr>
      <w:rPr>
        <w:rFonts w:hint="eastAsia" w:ascii="仿宋_GB2312" w:hAnsi="仿宋_GB2312" w:eastAsia="仿宋_GB2312" w:cs="Times New Roman"/>
      </w:rPr>
    </w:lvl>
    <w:lvl w:ilvl="8" w:tentative="0">
      <w:start w:val="1"/>
      <w:numFmt w:val="decimal"/>
      <w:lvlText w:val="%1.%2.%3.%4.%5.%6.%7.%8.%9"/>
      <w:lvlJc w:val="left"/>
      <w:pPr>
        <w:tabs>
          <w:tab w:val="left" w:pos="5160"/>
        </w:tabs>
        <w:ind w:left="5160" w:hanging="1800"/>
      </w:pPr>
      <w:rPr>
        <w:rFonts w:hint="eastAsia" w:ascii="仿宋_GB2312" w:hAnsi="仿宋_GB2312" w:eastAsia="仿宋_GB2312"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YjllZmY2M2E1NGNiNjg3NmM3OGQ5ODBmZjZjMmUifQ=="/>
  </w:docVars>
  <w:rsids>
    <w:rsidRoot w:val="00522BA7"/>
    <w:rsid w:val="00023645"/>
    <w:rsid w:val="00064E36"/>
    <w:rsid w:val="000903E9"/>
    <w:rsid w:val="000A2BAC"/>
    <w:rsid w:val="00150FC4"/>
    <w:rsid w:val="001E55F9"/>
    <w:rsid w:val="00225CB8"/>
    <w:rsid w:val="00330343"/>
    <w:rsid w:val="00354D79"/>
    <w:rsid w:val="003550B4"/>
    <w:rsid w:val="00380630"/>
    <w:rsid w:val="00503835"/>
    <w:rsid w:val="00522BA7"/>
    <w:rsid w:val="00552541"/>
    <w:rsid w:val="00576FC8"/>
    <w:rsid w:val="005F757D"/>
    <w:rsid w:val="00603B6E"/>
    <w:rsid w:val="00615057"/>
    <w:rsid w:val="00615996"/>
    <w:rsid w:val="00725326"/>
    <w:rsid w:val="00801644"/>
    <w:rsid w:val="00816241"/>
    <w:rsid w:val="00886F90"/>
    <w:rsid w:val="008A36A2"/>
    <w:rsid w:val="008F7FBD"/>
    <w:rsid w:val="00912DB3"/>
    <w:rsid w:val="00971B85"/>
    <w:rsid w:val="009E58BB"/>
    <w:rsid w:val="00A1220D"/>
    <w:rsid w:val="00A44A91"/>
    <w:rsid w:val="00A52ED3"/>
    <w:rsid w:val="00A7506B"/>
    <w:rsid w:val="00AA6CC9"/>
    <w:rsid w:val="00AB3B64"/>
    <w:rsid w:val="00C67443"/>
    <w:rsid w:val="00C76CC0"/>
    <w:rsid w:val="00C80D95"/>
    <w:rsid w:val="00C87517"/>
    <w:rsid w:val="00CD4A3B"/>
    <w:rsid w:val="00D546D9"/>
    <w:rsid w:val="00D6439B"/>
    <w:rsid w:val="00DB2241"/>
    <w:rsid w:val="00DB6291"/>
    <w:rsid w:val="00DC3241"/>
    <w:rsid w:val="00DE3B31"/>
    <w:rsid w:val="00E96DDB"/>
    <w:rsid w:val="00EF15E2"/>
    <w:rsid w:val="00F21774"/>
    <w:rsid w:val="0D1F4AB4"/>
    <w:rsid w:val="10EF09C7"/>
    <w:rsid w:val="113B3109"/>
    <w:rsid w:val="3CD70781"/>
    <w:rsid w:val="522D51B0"/>
    <w:rsid w:val="565D0271"/>
    <w:rsid w:val="57DE02A3"/>
    <w:rsid w:val="58FD530E"/>
    <w:rsid w:val="5E550D85"/>
    <w:rsid w:val="75C92E93"/>
    <w:rsid w:val="77187E06"/>
    <w:rsid w:val="7EE9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1"/>
    <w:qFormat/>
    <w:uiPriority w:val="0"/>
    <w:pPr>
      <w:keepNext/>
      <w:widowControl w:val="0"/>
      <w:spacing w:line="360" w:lineRule="auto"/>
      <w:jc w:val="center"/>
      <w:outlineLvl w:val="0"/>
    </w:pPr>
    <w:rPr>
      <w:rFonts w:ascii="Times New Roman" w:hAnsi="Times New Roman" w:cs="Times New Roman"/>
      <w:b/>
      <w:color w:val="000000"/>
      <w:kern w:val="2"/>
      <w:sz w:val="32"/>
    </w:rPr>
  </w:style>
  <w:style w:type="paragraph" w:styleId="3">
    <w:name w:val="heading 3"/>
    <w:basedOn w:val="1"/>
    <w:next w:val="1"/>
    <w:link w:val="12"/>
    <w:qFormat/>
    <w:uiPriority w:val="0"/>
    <w:pPr>
      <w:autoSpaceDE w:val="0"/>
      <w:autoSpaceDN w:val="0"/>
      <w:spacing w:before="120" w:after="120" w:line="300" w:lineRule="auto"/>
      <w:jc w:val="both"/>
      <w:outlineLvl w:val="2"/>
    </w:pPr>
    <w:rPr>
      <w:rFonts w:ascii="Times New Roman" w:hAnsi="Times New Roman" w:cs="Times New Roman"/>
      <w:kern w:val="2"/>
      <w:szCs w:val="20"/>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5"/>
    <w:autoRedefine/>
    <w:qFormat/>
    <w:uiPriority w:val="0"/>
    <w:pPr>
      <w:widowControl w:val="0"/>
      <w:ind w:firstLine="420" w:firstLineChars="200"/>
      <w:jc w:val="both"/>
    </w:pPr>
    <w:rPr>
      <w:rFonts w:ascii="Times New Roman" w:hAnsi="Times New Roman" w:cs="Times New Roman"/>
      <w:kern w:val="2"/>
      <w:sz w:val="21"/>
    </w:rPr>
  </w:style>
  <w:style w:type="paragraph" w:styleId="5">
    <w:name w:val="Plain Text"/>
    <w:basedOn w:val="1"/>
    <w:link w:val="22"/>
    <w:semiHidden/>
    <w:unhideWhenUsed/>
    <w:uiPriority w:val="99"/>
    <w:rPr>
      <w:rFonts w:hAnsi="Courier New" w:cs="Courier New"/>
      <w:sz w:val="21"/>
      <w:szCs w:val="21"/>
    </w:rPr>
  </w:style>
  <w:style w:type="paragraph" w:styleId="6">
    <w:name w:val="footer"/>
    <w:basedOn w:val="1"/>
    <w:link w:val="24"/>
    <w:autoRedefine/>
    <w:unhideWhenUsed/>
    <w:qFormat/>
    <w:uiPriority w:val="99"/>
    <w:pPr>
      <w:tabs>
        <w:tab w:val="center" w:pos="4153"/>
        <w:tab w:val="right" w:pos="8306"/>
      </w:tabs>
      <w:snapToGrid w:val="0"/>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autoRedefine/>
    <w:qFormat/>
    <w:uiPriority w:val="0"/>
    <w:rPr>
      <w:rFonts w:ascii="Times New Roman" w:hAnsi="Times New Roman" w:eastAsia="宋体" w:cs="Times New Roman"/>
      <w:b/>
      <w:color w:val="000000"/>
      <w:sz w:val="32"/>
      <w:szCs w:val="24"/>
    </w:rPr>
  </w:style>
  <w:style w:type="character" w:customStyle="1" w:styleId="12">
    <w:name w:val="标题 3 字符"/>
    <w:basedOn w:val="10"/>
    <w:link w:val="3"/>
    <w:autoRedefine/>
    <w:uiPriority w:val="0"/>
    <w:rPr>
      <w:rFonts w:ascii="Times New Roman" w:hAnsi="Times New Roman" w:eastAsia="宋体" w:cs="Times New Roman"/>
      <w:sz w:val="24"/>
      <w:szCs w:val="20"/>
    </w:rPr>
  </w:style>
  <w:style w:type="character" w:customStyle="1" w:styleId="13">
    <w:name w:val="列出段落 Char"/>
    <w:basedOn w:val="10"/>
    <w:link w:val="14"/>
    <w:autoRedefine/>
    <w:qFormat/>
    <w:uiPriority w:val="34"/>
    <w:rPr>
      <w:rFonts w:eastAsia="宋体"/>
      <w:szCs w:val="24"/>
    </w:rPr>
  </w:style>
  <w:style w:type="paragraph" w:customStyle="1" w:styleId="14">
    <w:name w:val="列出段落1"/>
    <w:basedOn w:val="1"/>
    <w:link w:val="13"/>
    <w:qFormat/>
    <w:uiPriority w:val="34"/>
    <w:pPr>
      <w:widowControl w:val="0"/>
      <w:ind w:firstLine="420" w:firstLineChars="200"/>
      <w:jc w:val="both"/>
    </w:pPr>
    <w:rPr>
      <w:rFonts w:asciiTheme="minorHAnsi" w:hAnsiTheme="minorHAnsi" w:cstheme="minorBidi"/>
      <w:kern w:val="2"/>
      <w:sz w:val="21"/>
    </w:rPr>
  </w:style>
  <w:style w:type="character" w:customStyle="1" w:styleId="15">
    <w:name w:val="正文缩进 字符"/>
    <w:basedOn w:val="10"/>
    <w:link w:val="4"/>
    <w:qFormat/>
    <w:uiPriority w:val="0"/>
    <w:rPr>
      <w:rFonts w:ascii="Times New Roman" w:hAnsi="Times New Roman" w:eastAsia="宋体" w:cs="Times New Roman"/>
      <w:szCs w:val="24"/>
    </w:rPr>
  </w:style>
  <w:style w:type="paragraph" w:styleId="16">
    <w:name w:val="List Paragraph"/>
    <w:basedOn w:val="1"/>
    <w:link w:val="17"/>
    <w:qFormat/>
    <w:uiPriority w:val="34"/>
    <w:pPr>
      <w:widowControl w:val="0"/>
      <w:ind w:firstLine="420" w:firstLineChars="200"/>
      <w:jc w:val="both"/>
    </w:pPr>
    <w:rPr>
      <w:rFonts w:ascii="Times New Roman" w:hAnsi="Times New Roman" w:cs="Times New Roman"/>
      <w:kern w:val="2"/>
      <w:sz w:val="28"/>
      <w:szCs w:val="20"/>
    </w:rPr>
  </w:style>
  <w:style w:type="character" w:customStyle="1" w:styleId="17">
    <w:name w:val="列表段落 字符"/>
    <w:basedOn w:val="10"/>
    <w:link w:val="16"/>
    <w:qFormat/>
    <w:uiPriority w:val="34"/>
    <w:rPr>
      <w:rFonts w:ascii="Times New Roman" w:hAnsi="Times New Roman" w:eastAsia="宋体" w:cs="Times New Roman"/>
      <w:sz w:val="28"/>
      <w:szCs w:val="20"/>
    </w:rPr>
  </w:style>
  <w:style w:type="paragraph" w:customStyle="1" w:styleId="18">
    <w:name w:val="样式6"/>
    <w:basedOn w:val="5"/>
    <w:link w:val="20"/>
    <w:qFormat/>
    <w:uiPriority w:val="0"/>
    <w:pPr>
      <w:keepLines/>
      <w:widowControl w:val="0"/>
      <w:numPr>
        <w:ilvl w:val="2"/>
        <w:numId w:val="1"/>
      </w:numPr>
      <w:tabs>
        <w:tab w:val="left" w:pos="567"/>
      </w:tabs>
    </w:pPr>
    <w:rPr>
      <w:rFonts w:hAnsi="宋体" w:cs="宋体"/>
      <w:kern w:val="2"/>
      <w:sz w:val="18"/>
      <w:szCs w:val="18"/>
    </w:rPr>
  </w:style>
  <w:style w:type="paragraph" w:customStyle="1" w:styleId="19">
    <w:name w:val="样式7"/>
    <w:basedOn w:val="5"/>
    <w:link w:val="21"/>
    <w:qFormat/>
    <w:uiPriority w:val="0"/>
    <w:pPr>
      <w:keepLines/>
      <w:widowControl w:val="0"/>
      <w:numPr>
        <w:ilvl w:val="3"/>
        <w:numId w:val="1"/>
      </w:numPr>
      <w:tabs>
        <w:tab w:val="left" w:pos="227"/>
        <w:tab w:val="left" w:pos="567"/>
      </w:tabs>
    </w:pPr>
    <w:rPr>
      <w:rFonts w:hAnsi="宋体" w:cs="宋体"/>
      <w:kern w:val="2"/>
      <w:sz w:val="18"/>
      <w:szCs w:val="18"/>
    </w:rPr>
  </w:style>
  <w:style w:type="character" w:customStyle="1" w:styleId="20">
    <w:name w:val="样式6 Char"/>
    <w:basedOn w:val="10"/>
    <w:link w:val="18"/>
    <w:uiPriority w:val="0"/>
    <w:rPr>
      <w:rFonts w:ascii="宋体" w:hAnsi="宋体" w:eastAsia="宋体" w:cs="宋体"/>
      <w:sz w:val="18"/>
      <w:szCs w:val="18"/>
    </w:rPr>
  </w:style>
  <w:style w:type="character" w:customStyle="1" w:styleId="21">
    <w:name w:val="样式7 Char"/>
    <w:basedOn w:val="10"/>
    <w:link w:val="19"/>
    <w:qFormat/>
    <w:uiPriority w:val="0"/>
    <w:rPr>
      <w:rFonts w:ascii="宋体" w:hAnsi="宋体" w:eastAsia="宋体" w:cs="宋体"/>
      <w:sz w:val="18"/>
      <w:szCs w:val="18"/>
    </w:rPr>
  </w:style>
  <w:style w:type="character" w:customStyle="1" w:styleId="22">
    <w:name w:val="纯文本 字符"/>
    <w:basedOn w:val="10"/>
    <w:link w:val="5"/>
    <w:semiHidden/>
    <w:qFormat/>
    <w:uiPriority w:val="99"/>
    <w:rPr>
      <w:rFonts w:ascii="宋体" w:hAnsi="Courier New" w:eastAsia="宋体" w:cs="Courier New"/>
      <w:kern w:val="0"/>
      <w:szCs w:val="21"/>
    </w:rPr>
  </w:style>
  <w:style w:type="character" w:customStyle="1" w:styleId="23">
    <w:name w:val="页眉 字符"/>
    <w:basedOn w:val="10"/>
    <w:link w:val="7"/>
    <w:qFormat/>
    <w:uiPriority w:val="99"/>
    <w:rPr>
      <w:rFonts w:ascii="宋体" w:hAnsi="宋体" w:eastAsia="宋体" w:cs="宋体"/>
      <w:kern w:val="0"/>
      <w:sz w:val="18"/>
      <w:szCs w:val="18"/>
    </w:rPr>
  </w:style>
  <w:style w:type="character" w:customStyle="1" w:styleId="24">
    <w:name w:val="页脚 字符"/>
    <w:basedOn w:val="10"/>
    <w:link w:val="6"/>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Words>
  <Characters>475</Characters>
  <Lines>3</Lines>
  <Paragraphs>1</Paragraphs>
  <TotalTime>1</TotalTime>
  <ScaleCrop>false</ScaleCrop>
  <LinksUpToDate>false</LinksUpToDate>
  <CharactersWithSpaces>557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2019-07-05T05:48:00Z</dcterms:created>
  <dc:creator>xu xu</dc:creator>
  <cp:lastModifiedBy>WPS_1654673419</cp:lastModifiedBy>
  <dcterms:modified xsi:type="dcterms:W3CDTF">2024-04-02T00:36:48Z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1615CA848C5B478586F8BA63A0BA13B2</vt:lpwstr>
  </property>
</Properties>
</file>