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压舌板采购需求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规格：150mm*18mm*1.6mm/条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要求产品有注册证/备案证，包含在两定平台产品目录内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mJmMWRjYTQ2Y2M4NGU1Y2Y2MWQ3YmI2NzEzZGUifQ=="/>
  </w:docVars>
  <w:rsids>
    <w:rsidRoot w:val="75EA2662"/>
    <w:rsid w:val="75E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2024-01-16T04:31:00Z</dcterms:created>
  <dc:creator>爆肝学习的罗尼玛</dc:creator>
  <cp:lastModifiedBy>爆肝学习的罗尼玛</cp:lastModifiedBy>
  <dcterms:modified xsi:type="dcterms:W3CDTF">2024-01-16T04:33:56Z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831C18527822429299D95EF4DA853F4D_11</vt:lpwstr>
  </property>
</Properties>
</file>