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pPr>
      <w:bookmarkStart w:id="0" w:name="_Toc4400"/>
      <w:bookmarkStart w:id="1" w:name="_Toc1112982"/>
      <w:r>
        <w:rPr>
          <w:rFonts w:hint="eastAsia"/>
        </w:rPr>
        <w:t>建设内容技术指标</w:t>
      </w:r>
      <w:bookmarkEnd w:id="0"/>
      <w:bookmarkEnd w:id="1"/>
    </w:p>
    <w:p>
      <w:pPr>
        <w:pStyle w:val="4"/>
        <w:spacing w:before="0" w:after="0" w:line="360" w:lineRule="auto"/>
      </w:pPr>
      <w:bookmarkStart w:id="2" w:name="_Toc11347"/>
      <w:r>
        <w:rPr>
          <w:rFonts w:hint="eastAsia"/>
        </w:rPr>
        <w:t>建设内容</w:t>
      </w:r>
      <w:bookmarkEnd w:id="2"/>
    </w:p>
    <w:p>
      <w:pPr>
        <w:pStyle w:val="5"/>
        <w:ind w:left="0" w:firstLine="420" w:firstLineChars="200"/>
      </w:pPr>
      <w:bookmarkStart w:id="3" w:name="_Toc17898"/>
      <w:r>
        <w:t>项目概况</w:t>
      </w:r>
      <w:bookmarkEnd w:id="3"/>
      <w:bookmarkStart w:id="11" w:name="_GoBack"/>
      <w:bookmarkEnd w:id="11"/>
    </w:p>
    <w:p>
      <w:pPr>
        <w:spacing w:line="360" w:lineRule="auto"/>
        <w:ind w:firstLine="420" w:firstLineChars="200"/>
        <w:rPr>
          <w:szCs w:val="21"/>
        </w:rPr>
      </w:pPr>
      <w:r>
        <w:rPr>
          <w:szCs w:val="21"/>
        </w:rPr>
        <w:t>随着“十四五”规划和2035年远景目标纲要将"加快数字化发展，建设数字中国"作为重要内容，审计作为</w:t>
      </w:r>
      <w:r>
        <w:rPr>
          <w:rFonts w:hint="eastAsia"/>
          <w:szCs w:val="21"/>
        </w:rPr>
        <w:t>医院管理</w:t>
      </w:r>
      <w:r>
        <w:rPr>
          <w:szCs w:val="21"/>
        </w:rPr>
        <w:t>的</w:t>
      </w:r>
      <w:r>
        <w:rPr>
          <w:rFonts w:hint="eastAsia"/>
          <w:szCs w:val="21"/>
        </w:rPr>
        <w:t>重要工作</w:t>
      </w:r>
      <w:r>
        <w:rPr>
          <w:szCs w:val="21"/>
        </w:rPr>
        <w:t>，必然面临数字化转型带来的机遇和挑战。开展审计数字化转型，可以不断强化审计职能、丰富审计视角、提升审计效能</w:t>
      </w:r>
      <w:r>
        <w:rPr>
          <w:rFonts w:hint="eastAsia"/>
          <w:szCs w:val="21"/>
        </w:rPr>
        <w:t>。2022年3月1日施行的《浙江省内部审计工作规定》也把促进内部审计数字化改革和提高内部审计数字化能力作为推进内部审计事业高质量发展的重要支撑，为此本院</w:t>
      </w:r>
      <w:r>
        <w:rPr>
          <w:szCs w:val="21"/>
        </w:rPr>
        <w:t>现就</w:t>
      </w:r>
      <w:r>
        <w:rPr>
          <w:rFonts w:hint="eastAsia"/>
          <w:szCs w:val="21"/>
        </w:rPr>
        <w:t>数字化审计管理系统</w:t>
      </w:r>
      <w:r>
        <w:rPr>
          <w:szCs w:val="21"/>
        </w:rPr>
        <w:t>进行公开采购。</w:t>
      </w:r>
    </w:p>
    <w:p>
      <w:pPr>
        <w:pStyle w:val="5"/>
        <w:ind w:left="0" w:firstLine="420" w:firstLineChars="200"/>
      </w:pPr>
      <w:bookmarkStart w:id="4" w:name="_Toc777"/>
      <w:r>
        <w:rPr>
          <w:rFonts w:hint="eastAsia"/>
        </w:rPr>
        <w:t>招标要求</w:t>
      </w:r>
      <w:bookmarkEnd w:id="4"/>
    </w:p>
    <w:tbl>
      <w:tblPr>
        <w:tblStyle w:val="16"/>
        <w:tblW w:w="904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pPr>
              <w:widowControl/>
              <w:spacing w:line="360" w:lineRule="auto"/>
              <w:jc w:val="center"/>
              <w:rPr>
                <w:rFonts w:ascii="宋体" w:hAnsi="宋体" w:cs="宋体"/>
                <w:kern w:val="0"/>
                <w:szCs w:val="21"/>
              </w:rPr>
            </w:pPr>
            <w:r>
              <w:rPr>
                <w:rFonts w:hint="eastAsia" w:ascii="宋体" w:hAnsi="宋体" w:cs="宋体"/>
                <w:szCs w:val="21"/>
              </w:rPr>
              <w:t>系统/模块</w:t>
            </w:r>
          </w:p>
        </w:tc>
        <w:tc>
          <w:tcPr>
            <w:tcW w:w="7200"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pPr>
              <w:widowControl/>
              <w:spacing w:line="360" w:lineRule="auto"/>
              <w:rPr>
                <w:rFonts w:ascii="宋体" w:hAnsi="宋体" w:cs="宋体"/>
                <w:szCs w:val="21"/>
                <w:highlight w:val="none"/>
              </w:rPr>
            </w:pPr>
            <w:r>
              <w:rPr>
                <w:rFonts w:hint="eastAsia" w:ascii="等线" w:hAnsi="等线" w:eastAsia="等线" w:cs="宋体"/>
                <w:color w:val="000000"/>
                <w:kern w:val="0"/>
                <w:sz w:val="22"/>
                <w:szCs w:val="22"/>
                <w:highlight w:val="none"/>
              </w:rPr>
              <w:t>数字化审计管理系统</w:t>
            </w:r>
          </w:p>
        </w:tc>
        <w:tc>
          <w:tcPr>
            <w:tcW w:w="7200" w:type="dxa"/>
            <w:vAlign w:val="center"/>
          </w:tcPr>
          <w:p>
            <w:pPr>
              <w:rPr>
                <w:rFonts w:ascii="宋体" w:hAnsi="宋体" w:cs="宋体"/>
                <w:b/>
                <w:bCs/>
                <w:highlight w:val="none"/>
              </w:rPr>
            </w:pPr>
            <w:r>
              <w:rPr>
                <w:rFonts w:hint="eastAsia" w:ascii="宋体" w:hAnsi="宋体" w:cs="宋体"/>
                <w:b/>
                <w:bCs/>
                <w:highlight w:val="none"/>
              </w:rPr>
              <w:t>1.架构</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系统支持B/S架构部署，具备web端与钉钉端；</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B/S架构支持chrome、firefox、360等主流浏览器；采用分布式微服务架构，应用服务支持windows、centos、Ubuntu等操作系统，支持Docker容器化部署以支持弹性伸缩；系统功能架构应采用模块化，可根据项目实际需求自由调整；</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系统需支持对服务器运行数据、异常状况实现自动诊断，对应用运行效率、故障问题及异常问题给出诊断结果，并支持对诊断结果信息的查看提醒，显示查看具体应用运行问题信息；</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系统软件是一套完整的平台软件，具有统一的登录界面和权限管理功能，针对不同的管理者设置管理权限，根据管理区域及管理功能提供相应的管理界面；</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建议系统基于JAVA开发，框架必须同时支持Spring boot以及Spring cloud，易于移动化调整；</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系统支持消息中间件RabbitMQ并可扩展到消息中间件Kafka、缓存中间件必须支持Redis；</w:t>
            </w:r>
          </w:p>
          <w:p>
            <w:pPr>
              <w:rPr>
                <w:rFonts w:ascii="宋体" w:hAnsi="宋体" w:cs="宋体"/>
                <w:b/>
                <w:bCs/>
                <w:highlight w:val="none"/>
              </w:rPr>
            </w:pPr>
            <w:r>
              <w:rPr>
                <w:rFonts w:hint="eastAsia" w:ascii="宋体" w:hAnsi="宋体" w:cs="宋体"/>
                <w:b/>
                <w:bCs/>
                <w:highlight w:val="none"/>
              </w:rPr>
              <w:t>2.系统管理功能</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用户管理，支持对用户的新增、修改、删除操作，同时支持对用户的密码重置；</w:t>
            </w:r>
          </w:p>
          <w:p>
            <w:pPr>
              <w:pStyle w:val="2"/>
              <w:rPr>
                <w:highlight w:val="none"/>
              </w:rPr>
            </w:pPr>
            <w:r>
              <w:rPr>
                <w:rFonts w:hint="eastAsia"/>
                <w:highlight w:val="none"/>
              </w:rPr>
              <w:t>角色管理，支持对系统角色新增、修改、删除操作，同时支持对角色设置数据权限；</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★支持对用户的菜单权限设置，支持用户的角色设置不同的菜单操作权限；支持对用户的角色设置菜单上按钮操作权限；支持系统菜单名字、菜单图标的自定义设置；</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支持自定义系统字典，可以对字典信息进行自定义修改和调整；</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★系统操作日志，可以查看用户操作的IP地址、系统模块、操作类型、请求方式等信息；（</w:t>
            </w:r>
            <w:r>
              <w:rPr>
                <w:rFonts w:hint="eastAsia" w:ascii="宋体" w:hAnsi="宋体" w:cs="宋体"/>
                <w:color w:val="000000"/>
                <w:szCs w:val="21"/>
                <w:highlight w:val="none"/>
                <w:lang w:val="en-US" w:eastAsia="zh-CN"/>
              </w:rPr>
              <w:t>原型演示</w:t>
            </w:r>
            <w:r>
              <w:rPr>
                <w:rFonts w:hint="eastAsia" w:ascii="宋体" w:hAnsi="宋体" w:cs="宋体"/>
                <w:color w:val="000000"/>
                <w:szCs w:val="21"/>
                <w:highlight w:val="none"/>
              </w:rPr>
              <w:t>）</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★系统登录日志，可以查看登录的用户名、登录IP地址、浏览器、登录状态、操作系统等信息；（</w:t>
            </w:r>
            <w:r>
              <w:rPr>
                <w:rFonts w:hint="eastAsia" w:ascii="宋体" w:hAnsi="宋体" w:cs="宋体"/>
                <w:color w:val="000000"/>
                <w:szCs w:val="21"/>
                <w:highlight w:val="none"/>
                <w:lang w:val="en-US" w:eastAsia="zh-CN"/>
              </w:rPr>
              <w:t>原型演示</w:t>
            </w:r>
            <w:r>
              <w:rPr>
                <w:rFonts w:hint="eastAsia" w:ascii="宋体" w:hAnsi="宋体" w:cs="宋体"/>
                <w:color w:val="000000"/>
                <w:szCs w:val="21"/>
                <w:highlight w:val="none"/>
              </w:rPr>
              <w:t>）</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可以对系统部分初始参数自定义，例如账号默认初始密码、默认皮肤等参数；</w:t>
            </w:r>
          </w:p>
          <w:p>
            <w:pPr>
              <w:rPr>
                <w:rFonts w:ascii="宋体" w:hAnsi="宋体" w:cs="宋体"/>
                <w:b/>
                <w:bCs/>
                <w:highlight w:val="none"/>
              </w:rPr>
            </w:pPr>
            <w:r>
              <w:rPr>
                <w:rFonts w:hint="eastAsia" w:ascii="宋体" w:hAnsi="宋体" w:cs="宋体"/>
                <w:b/>
                <w:bCs/>
                <w:highlight w:val="none"/>
              </w:rPr>
              <w:t>3.系统监控功能</w:t>
            </w:r>
          </w:p>
          <w:p>
            <w:pPr>
              <w:spacing w:line="360" w:lineRule="auto"/>
              <w:rPr>
                <w:rFonts w:ascii="宋体" w:hAnsi="宋体" w:cs="宋体"/>
                <w:color w:val="000000"/>
                <w:szCs w:val="21"/>
                <w:highlight w:val="none"/>
              </w:rPr>
            </w:pPr>
            <w:r>
              <w:rPr>
                <w:rFonts w:hint="eastAsia" w:ascii="宋体" w:hAnsi="宋体" w:cs="宋体"/>
                <w:highlight w:val="none"/>
              </w:rPr>
              <w:t>可以查看当前在线用户，包括用户的名称、IP地址、浏览器、操作系统、登</w:t>
            </w:r>
            <w:r>
              <w:rPr>
                <w:rFonts w:hint="eastAsia" w:ascii="宋体" w:hAnsi="宋体" w:cs="宋体"/>
                <w:color w:val="000000"/>
                <w:szCs w:val="21"/>
                <w:highlight w:val="none"/>
              </w:rPr>
              <w:t>录时间、可以强制用户离线退出；</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★可以查看系统数据监控，可以查看系统SQL执行、数据源连接情况、SQL防火墙、URL监控等；（</w:t>
            </w:r>
            <w:r>
              <w:rPr>
                <w:rFonts w:hint="eastAsia" w:ascii="宋体" w:hAnsi="宋体" w:cs="宋体"/>
                <w:color w:val="000000"/>
                <w:szCs w:val="21"/>
                <w:highlight w:val="none"/>
                <w:lang w:val="en-US" w:eastAsia="zh-CN"/>
              </w:rPr>
              <w:t>原型演示</w:t>
            </w:r>
            <w:r>
              <w:rPr>
                <w:rFonts w:hint="eastAsia" w:ascii="宋体" w:hAnsi="宋体" w:cs="宋体"/>
                <w:color w:val="000000"/>
                <w:szCs w:val="21"/>
                <w:highlight w:val="none"/>
              </w:rPr>
              <w:t>）</w:t>
            </w:r>
          </w:p>
          <w:p>
            <w:pPr>
              <w:rPr>
                <w:rFonts w:ascii="宋体" w:hAnsi="宋体" w:cs="宋体"/>
                <w:highlight w:val="none"/>
              </w:rPr>
            </w:pPr>
            <w:r>
              <w:rPr>
                <w:rFonts w:hint="eastAsia" w:ascii="宋体" w:hAnsi="宋体" w:cs="宋体"/>
                <w:highlight w:val="none"/>
              </w:rPr>
              <w:t>服务监控，可以查看服务器CPU、内存、虚拟机、磁盘等运行情况；</w:t>
            </w:r>
          </w:p>
          <w:p>
            <w:pPr>
              <w:rPr>
                <w:rFonts w:ascii="宋体" w:hAnsi="宋体" w:cs="宋体"/>
                <w:b/>
                <w:bCs/>
                <w:highlight w:val="none"/>
              </w:rPr>
            </w:pPr>
            <w:r>
              <w:rPr>
                <w:rFonts w:hint="eastAsia" w:ascii="宋体" w:hAnsi="宋体" w:cs="宋体"/>
                <w:b/>
                <w:bCs/>
                <w:highlight w:val="none"/>
              </w:rPr>
              <w:t>4.数据总览</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可以查看医院项目总数，可能存在问题的项目数，可以查看问题项目的明细信息，可以看问题项目的可能存在问题的原因；</w:t>
            </w:r>
          </w:p>
          <w:p>
            <w:pPr>
              <w:pStyle w:val="2"/>
              <w:rPr>
                <w:highlight w:val="none"/>
              </w:rPr>
            </w:pPr>
            <w:r>
              <w:rPr>
                <w:rFonts w:hint="eastAsia"/>
                <w:highlight w:val="none"/>
              </w:rPr>
              <w:t>可以查看待办任务数，支持查看待办任务详细信息，支持对任务的操作</w:t>
            </w:r>
          </w:p>
          <w:p>
            <w:pPr>
              <w:rPr>
                <w:rFonts w:ascii="宋体" w:hAnsi="宋体" w:cs="宋体"/>
                <w:b/>
                <w:bCs/>
                <w:highlight w:val="none"/>
              </w:rPr>
            </w:pPr>
            <w:r>
              <w:rPr>
                <w:rFonts w:hint="eastAsia" w:ascii="宋体" w:hAnsi="宋体" w:cs="宋体"/>
                <w:b/>
                <w:bCs/>
                <w:highlight w:val="none"/>
              </w:rPr>
              <w:t>5.审计公司管理</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支持外部审计公司的新增、修改、删除操作，审计人员、设置预算审计、结算设计权限；</w:t>
            </w:r>
          </w:p>
          <w:p>
            <w:pPr>
              <w:rPr>
                <w:rFonts w:ascii="宋体" w:hAnsi="宋体" w:cs="宋体"/>
                <w:b/>
                <w:bCs/>
                <w:color w:val="000000"/>
                <w:szCs w:val="21"/>
                <w:highlight w:val="none"/>
              </w:rPr>
            </w:pPr>
            <w:r>
              <w:rPr>
                <w:rFonts w:hint="eastAsia" w:ascii="宋体" w:hAnsi="宋体" w:cs="宋体"/>
                <w:b/>
                <w:bCs/>
                <w:color w:val="000000"/>
                <w:szCs w:val="21"/>
                <w:highlight w:val="none"/>
              </w:rPr>
              <w:t>6.预算项目审计功能</w:t>
            </w:r>
          </w:p>
          <w:p>
            <w:pPr>
              <w:pStyle w:val="2"/>
              <w:spacing w:line="360" w:lineRule="auto"/>
              <w:rPr>
                <w:highlight w:val="none"/>
              </w:rPr>
            </w:pPr>
            <w:r>
              <w:rPr>
                <w:rFonts w:hint="eastAsia"/>
                <w:highlight w:val="none"/>
              </w:rPr>
              <w:t>具有钉钉和WEB端的应用；</w:t>
            </w:r>
          </w:p>
          <w:p>
            <w:pPr>
              <w:pStyle w:val="2"/>
              <w:spacing w:line="360" w:lineRule="auto"/>
              <w:rPr>
                <w:highlight w:val="none"/>
              </w:rPr>
            </w:pPr>
            <w:r>
              <w:rPr>
                <w:rFonts w:hint="eastAsia"/>
                <w:highlight w:val="none"/>
              </w:rPr>
              <w:t>★项目送审，支持各类word、pdf、excel、png、jpg等附件的上传，支持无附件确认功能，具有保存草稿的功能；</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原型演示</w:t>
            </w:r>
            <w:r>
              <w:rPr>
                <w:rFonts w:hint="eastAsia" w:ascii="宋体" w:hAnsi="宋体" w:cs="宋体"/>
                <w:color w:val="000000"/>
                <w:szCs w:val="21"/>
                <w:highlight w:val="none"/>
              </w:rPr>
              <w:t>）</w:t>
            </w:r>
          </w:p>
          <w:p>
            <w:pPr>
              <w:pStyle w:val="2"/>
              <w:spacing w:line="360" w:lineRule="auto"/>
              <w:rPr>
                <w:highlight w:val="none"/>
              </w:rPr>
            </w:pPr>
            <w:r>
              <w:rPr>
                <w:rFonts w:hint="eastAsia"/>
                <w:highlight w:val="none"/>
              </w:rPr>
              <w:t>项目送审确认，可以对记录进行确认操作，支持查看记录的详细信息，支持查看附件内容；</w:t>
            </w:r>
          </w:p>
          <w:p>
            <w:pPr>
              <w:pStyle w:val="2"/>
              <w:spacing w:line="360" w:lineRule="auto"/>
              <w:rPr>
                <w:highlight w:val="none"/>
              </w:rPr>
            </w:pPr>
            <w:r>
              <w:rPr>
                <w:rFonts w:hint="eastAsia"/>
                <w:highlight w:val="none"/>
              </w:rPr>
              <w:t>科室主任审核，支持通过项目状态、招标控制价区间、送审时间区间进行检索记录，支持查看记录详细信息、支持查看记录反馈信息的描述、反馈内容；支持对记录审核通过、驳回操作，驳回操作需要输入驳回原因；支持查看附件，支持单个附件下载和一键打包下载；</w:t>
            </w:r>
          </w:p>
          <w:p>
            <w:pPr>
              <w:pStyle w:val="2"/>
              <w:spacing w:line="360" w:lineRule="auto"/>
              <w:rPr>
                <w:highlight w:val="none"/>
              </w:rPr>
            </w:pPr>
            <w:r>
              <w:rPr>
                <w:rFonts w:hint="eastAsia"/>
                <w:highlight w:val="none"/>
              </w:rPr>
              <w:t>★</w:t>
            </w:r>
            <w:r>
              <w:rPr>
                <w:rFonts w:hint="eastAsia"/>
                <w:highlight w:val="none"/>
                <w:lang w:eastAsia="zh-CN"/>
              </w:rPr>
              <w:t>内审科</w:t>
            </w:r>
            <w:r>
              <w:rPr>
                <w:rFonts w:hint="eastAsia"/>
                <w:highlight w:val="none"/>
              </w:rPr>
              <w:t>委托，支持通过项目状态、招标控制价区间、送审时间区间进行检索记录，支持查看记录详细信息、支持查看记录反馈信息的描述、反馈内容；支持同意委托、驳回委托操作，同意委托操作需要选择审计公司、期望完成时间、委托意见，驳回委托需要输入驳回原因；支持查看全过程记录，包含操作人、操作时间、操作类型；支持查看附件，支持单个附件下载和一键打包下载；</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原型演示</w:t>
            </w:r>
            <w:r>
              <w:rPr>
                <w:rFonts w:hint="eastAsia" w:ascii="宋体" w:hAnsi="宋体" w:cs="宋体"/>
                <w:color w:val="000000"/>
                <w:szCs w:val="21"/>
                <w:highlight w:val="none"/>
              </w:rPr>
              <w:t>）</w:t>
            </w:r>
          </w:p>
          <w:p>
            <w:pPr>
              <w:pStyle w:val="2"/>
              <w:spacing w:line="360" w:lineRule="auto"/>
              <w:rPr>
                <w:highlight w:val="none"/>
              </w:rPr>
            </w:pPr>
            <w:r>
              <w:rPr>
                <w:rFonts w:hint="eastAsia"/>
                <w:highlight w:val="none"/>
              </w:rPr>
              <w:t>★</w:t>
            </w:r>
            <w:r>
              <w:rPr>
                <w:rFonts w:hint="eastAsia"/>
                <w:highlight w:val="none"/>
                <w:lang w:eastAsia="zh-CN"/>
              </w:rPr>
              <w:t>内审科</w:t>
            </w:r>
            <w:r>
              <w:rPr>
                <w:rFonts w:hint="eastAsia"/>
                <w:highlight w:val="none"/>
              </w:rPr>
              <w:t>主任审核，支持通过项目状态、招标控制价区间、送审时间区间进行检索记录，支持查看记录详细信息、支持查看记录反馈信息的描述、反馈内容；支持同意送审、驳回送审操作，驳回送审需要输入驳回原因；支持查看全过程记录，包含操作人、操作时间、操作类型；支持查看附件，支持单个附件下载和一键打包下载；</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原型演示</w:t>
            </w:r>
            <w:r>
              <w:rPr>
                <w:rFonts w:hint="eastAsia" w:ascii="宋体" w:hAnsi="宋体" w:cs="宋体"/>
                <w:color w:val="000000"/>
                <w:szCs w:val="21"/>
                <w:highlight w:val="none"/>
              </w:rPr>
              <w:t>）</w:t>
            </w:r>
          </w:p>
          <w:p>
            <w:pPr>
              <w:pStyle w:val="2"/>
              <w:spacing w:line="360" w:lineRule="auto"/>
              <w:rPr>
                <w:highlight w:val="none"/>
              </w:rPr>
            </w:pPr>
            <w:r>
              <w:rPr>
                <w:rFonts w:hint="eastAsia"/>
                <w:highlight w:val="none"/>
              </w:rPr>
              <w:t>审计公司审计核，支持通过项目状态、招标控制价区间、送审时间区间进行检索记录，支持查看记录详细信息、支持查看记录反馈信息的描述、反馈内容；支持对记录进行反馈，提交补充材料；可以上传完结报告；</w:t>
            </w:r>
          </w:p>
          <w:p>
            <w:pPr>
              <w:pStyle w:val="2"/>
              <w:spacing w:line="360" w:lineRule="auto"/>
              <w:rPr>
                <w:highlight w:val="none"/>
              </w:rPr>
            </w:pPr>
            <w:r>
              <w:rPr>
                <w:rFonts w:hint="eastAsia"/>
                <w:highlight w:val="none"/>
              </w:rPr>
              <w:t>★</w:t>
            </w:r>
            <w:r>
              <w:rPr>
                <w:rFonts w:hint="eastAsia"/>
                <w:highlight w:val="none"/>
                <w:lang w:eastAsia="zh-CN"/>
              </w:rPr>
              <w:t>内审科</w:t>
            </w:r>
            <w:r>
              <w:rPr>
                <w:rFonts w:hint="eastAsia"/>
                <w:highlight w:val="none"/>
              </w:rPr>
              <w:t>确认，支持通过项目状态、招标控制价区间、送审时间区间进行检索记录，支持查看记录详细信息；支持反馈操作，反馈操作需要选择反馈类型（资料完整性反馈、初稿反馈、调整稿反馈、审定稿反馈），支持输入反馈说明、附件；支持上传完结报告，报告包含报告正文、审定明细表等；支持查看附件，支持单个附件下载和一键打包下载；</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原型演示</w:t>
            </w:r>
            <w:r>
              <w:rPr>
                <w:rFonts w:hint="eastAsia" w:ascii="宋体" w:hAnsi="宋体" w:cs="宋体"/>
                <w:color w:val="000000"/>
                <w:szCs w:val="21"/>
                <w:highlight w:val="none"/>
              </w:rPr>
              <w:t>）</w:t>
            </w:r>
          </w:p>
          <w:p>
            <w:pPr>
              <w:rPr>
                <w:rFonts w:ascii="宋体" w:hAnsi="宋体" w:cs="宋体"/>
                <w:b/>
                <w:bCs/>
                <w:color w:val="000000"/>
                <w:szCs w:val="21"/>
                <w:highlight w:val="none"/>
              </w:rPr>
            </w:pPr>
            <w:r>
              <w:rPr>
                <w:rFonts w:hint="eastAsia" w:ascii="宋体" w:hAnsi="宋体" w:cs="宋体"/>
                <w:b/>
                <w:bCs/>
                <w:color w:val="000000"/>
                <w:szCs w:val="21"/>
                <w:highlight w:val="none"/>
              </w:rPr>
              <w:t>7.结算项目审计</w:t>
            </w:r>
          </w:p>
          <w:p>
            <w:pPr>
              <w:pStyle w:val="2"/>
              <w:spacing w:line="360" w:lineRule="auto"/>
              <w:rPr>
                <w:highlight w:val="none"/>
              </w:rPr>
            </w:pPr>
            <w:r>
              <w:rPr>
                <w:rFonts w:hint="eastAsia"/>
                <w:highlight w:val="none"/>
              </w:rPr>
              <w:t>具有钉钉和WEB端的应用；</w:t>
            </w:r>
          </w:p>
          <w:p>
            <w:pPr>
              <w:pStyle w:val="2"/>
              <w:spacing w:line="360" w:lineRule="auto"/>
              <w:rPr>
                <w:highlight w:val="none"/>
              </w:rPr>
            </w:pPr>
            <w:r>
              <w:rPr>
                <w:rFonts w:hint="eastAsia"/>
                <w:highlight w:val="none"/>
              </w:rPr>
              <w:t>★项目送审，支持各类word、pdf、excel、png、jpg等附件的上传，支持无附件确认功能，具有保存草稿的功能；</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原型演示</w:t>
            </w:r>
            <w:r>
              <w:rPr>
                <w:rFonts w:hint="eastAsia" w:ascii="宋体" w:hAnsi="宋体" w:cs="宋体"/>
                <w:color w:val="000000"/>
                <w:szCs w:val="21"/>
                <w:highlight w:val="none"/>
              </w:rPr>
              <w:t>）</w:t>
            </w:r>
          </w:p>
          <w:p>
            <w:pPr>
              <w:pStyle w:val="2"/>
              <w:spacing w:line="360" w:lineRule="auto"/>
              <w:rPr>
                <w:highlight w:val="none"/>
              </w:rPr>
            </w:pPr>
            <w:r>
              <w:rPr>
                <w:rFonts w:hint="eastAsia"/>
                <w:highlight w:val="none"/>
              </w:rPr>
              <w:t>项目送审确认，可以对记录进行确认操作，支持查看记录的详细信息，支持查看附件内容；</w:t>
            </w:r>
          </w:p>
          <w:p>
            <w:pPr>
              <w:pStyle w:val="2"/>
              <w:spacing w:line="360" w:lineRule="auto"/>
              <w:rPr>
                <w:highlight w:val="none"/>
              </w:rPr>
            </w:pPr>
            <w:r>
              <w:rPr>
                <w:rFonts w:hint="eastAsia"/>
                <w:highlight w:val="none"/>
              </w:rPr>
              <w:t>科室主任审核，支持通过项目状态、合同价金额区间、送审时间区间进行检索记录，支持查看记录详细信息、支持查看记录反馈信息的描述、反馈内容；支持对记录审核通过、驳回操作，驳回操作需要输入驳回原因；支持查看附件，支持单个附件下载和一键打包下载；</w:t>
            </w:r>
          </w:p>
          <w:p>
            <w:pPr>
              <w:pStyle w:val="2"/>
              <w:spacing w:line="360" w:lineRule="auto"/>
              <w:rPr>
                <w:highlight w:val="none"/>
              </w:rPr>
            </w:pPr>
            <w:r>
              <w:rPr>
                <w:rFonts w:hint="eastAsia"/>
                <w:highlight w:val="none"/>
              </w:rPr>
              <w:t>★</w:t>
            </w:r>
            <w:r>
              <w:rPr>
                <w:rFonts w:hint="eastAsia"/>
                <w:highlight w:val="none"/>
                <w:lang w:eastAsia="zh-CN"/>
              </w:rPr>
              <w:t>内审科</w:t>
            </w:r>
            <w:r>
              <w:rPr>
                <w:rFonts w:hint="eastAsia"/>
                <w:highlight w:val="none"/>
              </w:rPr>
              <w:t>委托，支持通过项目状态、合同价金额区间、送审时间区间进行检索记录，支持查看记录详细信息、支持查看记录反馈信息的描述、反馈内容；支持同意委托、驳回委托操作，同意委托操作需要选择审计公司、期望完成时间、委托意见，驳回委托需要输入驳回原因；支持查看全过程记录，包含操作人、操作时间、操作类型；支持查看附件，支持单个附件下载和一键打包下载；</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原型演示</w:t>
            </w:r>
            <w:r>
              <w:rPr>
                <w:rFonts w:hint="eastAsia" w:ascii="宋体" w:hAnsi="宋体" w:cs="宋体"/>
                <w:color w:val="000000"/>
                <w:szCs w:val="21"/>
                <w:highlight w:val="none"/>
              </w:rPr>
              <w:t>）</w:t>
            </w:r>
          </w:p>
          <w:p>
            <w:pPr>
              <w:pStyle w:val="2"/>
              <w:spacing w:line="360" w:lineRule="auto"/>
              <w:rPr>
                <w:highlight w:val="none"/>
              </w:rPr>
            </w:pPr>
            <w:r>
              <w:rPr>
                <w:rFonts w:hint="eastAsia"/>
                <w:highlight w:val="none"/>
              </w:rPr>
              <w:t>★</w:t>
            </w:r>
            <w:r>
              <w:rPr>
                <w:rFonts w:hint="eastAsia"/>
                <w:highlight w:val="none"/>
                <w:lang w:eastAsia="zh-CN"/>
              </w:rPr>
              <w:t>内审科</w:t>
            </w:r>
            <w:r>
              <w:rPr>
                <w:rFonts w:hint="eastAsia"/>
                <w:highlight w:val="none"/>
              </w:rPr>
              <w:t>主任审核，支持通过项目状态、合同价金额区间、送审时间区间进行检索记录，支持查看记录详细信息、支持查看记录反馈信息的描述、反馈内容；支持同意送审、驳回送审操作，驳回送审需要输入驳回原因；支持查看全过程记录，包含操作人、操作时间、操作类型；支持查看附件，支持单个附件下载和一键打包下载；</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原型演示</w:t>
            </w:r>
            <w:r>
              <w:rPr>
                <w:rFonts w:hint="eastAsia" w:ascii="宋体" w:hAnsi="宋体" w:cs="宋体"/>
                <w:color w:val="000000"/>
                <w:szCs w:val="21"/>
                <w:highlight w:val="none"/>
              </w:rPr>
              <w:t>）</w:t>
            </w:r>
          </w:p>
          <w:p>
            <w:pPr>
              <w:pStyle w:val="2"/>
              <w:spacing w:line="360" w:lineRule="auto"/>
              <w:rPr>
                <w:highlight w:val="none"/>
              </w:rPr>
            </w:pPr>
            <w:r>
              <w:rPr>
                <w:rFonts w:hint="eastAsia"/>
                <w:highlight w:val="none"/>
              </w:rPr>
              <w:t>审计公司审计核，支持通过项目状态、合同价金额区间、送审时间区间进行检索记录，支持查看记录详细信息、支持查看记录反馈信息的描述、反馈内容；支持对记录进行反馈，提交补充材料；可以上传完结报告；</w:t>
            </w:r>
          </w:p>
          <w:p>
            <w:pPr>
              <w:pStyle w:val="2"/>
              <w:spacing w:line="360" w:lineRule="auto"/>
              <w:rPr>
                <w:highlight w:val="none"/>
              </w:rPr>
            </w:pPr>
            <w:r>
              <w:rPr>
                <w:rFonts w:hint="eastAsia"/>
                <w:highlight w:val="none"/>
              </w:rPr>
              <w:t>★</w:t>
            </w:r>
            <w:r>
              <w:rPr>
                <w:rFonts w:hint="eastAsia"/>
                <w:highlight w:val="none"/>
                <w:lang w:eastAsia="zh-CN"/>
              </w:rPr>
              <w:t>内审科</w:t>
            </w:r>
            <w:r>
              <w:rPr>
                <w:rFonts w:hint="eastAsia"/>
                <w:highlight w:val="none"/>
              </w:rPr>
              <w:t>确认，支持通过项目状态、合同价金额区间、送审时间区间进行检索记录，支持查看记录详细信息；支持反馈操作，反馈操作需要选择反馈类型（资料完整性反馈、初稿反馈、调整稿反馈、审定稿反馈），支持输入反馈说明、附件；支持上传完结报告，报告包含报告正文、审定明细表等；支持查看附件，支持单个附件下载和一键打包下载；</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原型演示</w:t>
            </w:r>
            <w:r>
              <w:rPr>
                <w:rFonts w:hint="eastAsia" w:ascii="宋体" w:hAnsi="宋体" w:cs="宋体"/>
                <w:color w:val="000000"/>
                <w:szCs w:val="21"/>
                <w:highlight w:val="none"/>
              </w:rPr>
              <w:t>）</w:t>
            </w:r>
          </w:p>
          <w:p>
            <w:pPr>
              <w:rPr>
                <w:rFonts w:ascii="宋体" w:hAnsi="宋体" w:cs="宋体"/>
                <w:b/>
                <w:bCs/>
                <w:color w:val="000000"/>
                <w:szCs w:val="21"/>
                <w:highlight w:val="none"/>
              </w:rPr>
            </w:pPr>
            <w:r>
              <w:rPr>
                <w:rFonts w:hint="eastAsia" w:ascii="宋体" w:hAnsi="宋体" w:cs="宋体"/>
                <w:b/>
                <w:bCs/>
                <w:color w:val="000000"/>
                <w:szCs w:val="21"/>
                <w:highlight w:val="none"/>
              </w:rPr>
              <w:t>8.钉钉同步</w:t>
            </w:r>
          </w:p>
          <w:p>
            <w:pPr>
              <w:pStyle w:val="2"/>
              <w:spacing w:line="360" w:lineRule="auto"/>
              <w:rPr>
                <w:highlight w:val="none"/>
              </w:rPr>
            </w:pPr>
            <w:r>
              <w:rPr>
                <w:rFonts w:hint="eastAsia"/>
                <w:highlight w:val="none"/>
              </w:rPr>
              <w:t>★可以通过钉钉接口自动同步人员、组织信息；同步任务需要具备并发设置、错误策略设置；</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原型演示</w:t>
            </w:r>
            <w:r>
              <w:rPr>
                <w:rFonts w:hint="eastAsia" w:ascii="宋体" w:hAnsi="宋体" w:cs="宋体"/>
                <w:color w:val="000000"/>
                <w:szCs w:val="21"/>
                <w:highlight w:val="none"/>
              </w:rPr>
              <w:t>）</w:t>
            </w:r>
          </w:p>
          <w:p>
            <w:pPr>
              <w:pStyle w:val="2"/>
              <w:spacing w:line="360" w:lineRule="auto"/>
              <w:rPr>
                <w:highlight w:val="none"/>
              </w:rPr>
            </w:pPr>
            <w:r>
              <w:rPr>
                <w:rFonts w:hint="eastAsia"/>
                <w:highlight w:val="none"/>
              </w:rPr>
              <w:t>可以实现钉钉端免密无感登录使用；</w:t>
            </w:r>
          </w:p>
          <w:p>
            <w:pPr>
              <w:rPr>
                <w:rFonts w:ascii="宋体" w:hAnsi="宋体" w:cs="宋体"/>
                <w:b/>
                <w:bCs/>
                <w:color w:val="000000"/>
                <w:szCs w:val="21"/>
                <w:highlight w:val="none"/>
              </w:rPr>
            </w:pPr>
            <w:r>
              <w:rPr>
                <w:rFonts w:hint="eastAsia" w:ascii="宋体" w:hAnsi="宋体" w:cs="宋体"/>
                <w:b/>
                <w:bCs/>
                <w:color w:val="000000"/>
                <w:szCs w:val="21"/>
                <w:highlight w:val="none"/>
              </w:rPr>
              <w:t>9.数据预警</w:t>
            </w:r>
          </w:p>
          <w:p>
            <w:pPr>
              <w:pStyle w:val="2"/>
              <w:spacing w:line="360" w:lineRule="auto"/>
              <w:rPr>
                <w:highlight w:val="none"/>
              </w:rPr>
            </w:pPr>
            <w:r>
              <w:rPr>
                <w:rFonts w:hint="eastAsia"/>
                <w:highlight w:val="none"/>
              </w:rPr>
              <w:t>★系统可以自定义设置各类风险预警指标、例如待办超时预警、项目周期超时预警；</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原型演示</w:t>
            </w:r>
            <w:r>
              <w:rPr>
                <w:rFonts w:hint="eastAsia" w:ascii="宋体" w:hAnsi="宋体" w:cs="宋体"/>
                <w:color w:val="000000"/>
                <w:szCs w:val="21"/>
                <w:highlight w:val="none"/>
              </w:rPr>
              <w:t>）</w:t>
            </w:r>
          </w:p>
          <w:p>
            <w:pPr>
              <w:pStyle w:val="2"/>
              <w:spacing w:line="360" w:lineRule="auto"/>
              <w:rPr>
                <w:highlight w:val="none"/>
              </w:rPr>
            </w:pPr>
            <w:r>
              <w:rPr>
                <w:rFonts w:hint="eastAsia"/>
                <w:highlight w:val="none"/>
              </w:rPr>
              <w:t>每次系统登录的时候，可以对异常预警指标自动弹窗提醒，并可以查看预警的详细内容；</w:t>
            </w:r>
          </w:p>
          <w:p>
            <w:pPr>
              <w:rPr>
                <w:rFonts w:ascii="宋体" w:hAnsi="宋体" w:cs="宋体"/>
                <w:b/>
                <w:bCs/>
                <w:color w:val="000000"/>
                <w:szCs w:val="21"/>
                <w:highlight w:val="none"/>
              </w:rPr>
            </w:pPr>
            <w:r>
              <w:rPr>
                <w:rFonts w:hint="eastAsia" w:ascii="宋体" w:hAnsi="宋体" w:cs="宋体"/>
                <w:b/>
                <w:bCs/>
                <w:color w:val="000000"/>
                <w:szCs w:val="21"/>
                <w:highlight w:val="none"/>
              </w:rPr>
              <w:t>10.工作流管理</w:t>
            </w:r>
          </w:p>
          <w:p>
            <w:pPr>
              <w:rPr>
                <w:highlight w:val="none"/>
              </w:rPr>
            </w:pPr>
            <w:r>
              <w:rPr>
                <w:rFonts w:hint="eastAsia"/>
                <w:highlight w:val="none"/>
              </w:rPr>
              <w:t>★系统可以自定义设置各个不同业务的操作流程，包括节点名称、节点操作功能、节点流转关系等；</w:t>
            </w:r>
          </w:p>
          <w:p>
            <w:pPr>
              <w:rPr>
                <w:rFonts w:ascii="宋体" w:hAnsi="宋体" w:cs="宋体"/>
                <w:b/>
                <w:bCs/>
                <w:color w:val="000000"/>
                <w:szCs w:val="21"/>
                <w:highlight w:val="none"/>
              </w:rPr>
            </w:pPr>
            <w:r>
              <w:rPr>
                <w:rFonts w:hint="eastAsia" w:ascii="宋体" w:hAnsi="宋体" w:cs="宋体"/>
                <w:b/>
                <w:bCs/>
                <w:color w:val="000000"/>
                <w:szCs w:val="21"/>
                <w:highlight w:val="none"/>
              </w:rPr>
              <w:t>11.自定义表单管理</w:t>
            </w:r>
          </w:p>
          <w:p>
            <w:pPr>
              <w:pStyle w:val="2"/>
              <w:rPr>
                <w:highlight w:val="none"/>
              </w:rPr>
            </w:pPr>
            <w:r>
              <w:rPr>
                <w:rFonts w:hint="eastAsia"/>
                <w:highlight w:val="none"/>
              </w:rPr>
              <w:t>★系统支持自定义工作表单，支持自定义设置送审材料的数据输入项，可以根据业务发展和变化进行随时的调整；</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原型演示</w:t>
            </w:r>
            <w:r>
              <w:rPr>
                <w:rFonts w:hint="eastAsia" w:ascii="宋体" w:hAnsi="宋体" w:cs="宋体"/>
                <w:color w:val="000000"/>
                <w:szCs w:val="21"/>
                <w:highlight w:val="none"/>
              </w:rPr>
              <w:t>）</w:t>
            </w:r>
          </w:p>
        </w:tc>
      </w:tr>
    </w:tbl>
    <w:p>
      <w:r>
        <w:rPr>
          <w:rFonts w:hint="eastAsia"/>
        </w:rPr>
        <w:br w:type="page"/>
      </w:r>
    </w:p>
    <w:p>
      <w:pPr>
        <w:pStyle w:val="3"/>
      </w:pPr>
      <w:bookmarkStart w:id="5" w:name="_Toc12973"/>
      <w:bookmarkStart w:id="6" w:name="_Toc38029160"/>
      <w:r>
        <w:rPr>
          <w:rFonts w:hint="eastAsia"/>
        </w:rPr>
        <w:t>评分标准</w:t>
      </w:r>
      <w:bookmarkEnd w:id="5"/>
      <w:bookmarkEnd w:id="6"/>
    </w:p>
    <w:p>
      <w:pPr>
        <w:pStyle w:val="4"/>
        <w:numPr>
          <w:ilvl w:val="0"/>
          <w:numId w:val="5"/>
        </w:numPr>
        <w:rPr>
          <w:rFonts w:asciiTheme="minorEastAsia" w:hAnsiTheme="minorEastAsia" w:eastAsiaTheme="minorEastAsia"/>
        </w:rPr>
      </w:pPr>
      <w:bookmarkStart w:id="7" w:name="_Toc38029161"/>
      <w:bookmarkStart w:id="8" w:name="_Toc13503"/>
      <w:r>
        <w:rPr>
          <w:rFonts w:asciiTheme="minorEastAsia" w:hAnsiTheme="minorEastAsia" w:eastAsiaTheme="minorEastAsia"/>
          <w:sz w:val="28"/>
        </w:rPr>
        <w:t>技术</w:t>
      </w:r>
      <w:r>
        <w:rPr>
          <w:rFonts w:hint="eastAsia" w:asciiTheme="minorEastAsia" w:hAnsiTheme="minorEastAsia" w:eastAsiaTheme="minorEastAsia"/>
          <w:sz w:val="28"/>
        </w:rPr>
        <w:t>（70分）</w:t>
      </w:r>
      <w:r>
        <w:rPr>
          <w:rFonts w:asciiTheme="minorEastAsia" w:hAnsiTheme="minorEastAsia" w:eastAsiaTheme="minorEastAsia"/>
          <w:sz w:val="28"/>
        </w:rPr>
        <w:t xml:space="preserve">   </w:t>
      </w:r>
      <w:r>
        <w:rPr>
          <w:rFonts w:asciiTheme="minorEastAsia" w:hAnsiTheme="minorEastAsia" w:eastAsiaTheme="minorEastAsia"/>
        </w:rPr>
        <w:t xml:space="preserve">      </w:t>
      </w:r>
      <w:bookmarkEnd w:id="7"/>
      <w:bookmarkEnd w:id="8"/>
    </w:p>
    <w:tbl>
      <w:tblPr>
        <w:tblStyle w:val="16"/>
        <w:tblW w:w="52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097"/>
        <w:gridCol w:w="6240"/>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85" w:type="pct"/>
            <w:vAlign w:val="center"/>
          </w:tcPr>
          <w:p>
            <w:pPr>
              <w:spacing w:line="360" w:lineRule="auto"/>
              <w:jc w:val="center"/>
              <w:rPr>
                <w:rFonts w:ascii="宋体" w:hAnsi="宋体"/>
                <w:b/>
                <w:szCs w:val="21"/>
              </w:rPr>
            </w:pPr>
            <w:r>
              <w:rPr>
                <w:rFonts w:hint="eastAsia" w:ascii="宋体" w:hAnsi="宋体"/>
                <w:b/>
                <w:szCs w:val="21"/>
              </w:rPr>
              <w:t>序号</w:t>
            </w:r>
          </w:p>
        </w:tc>
        <w:tc>
          <w:tcPr>
            <w:tcW w:w="612" w:type="pct"/>
          </w:tcPr>
          <w:p>
            <w:pPr>
              <w:spacing w:line="360" w:lineRule="auto"/>
              <w:jc w:val="center"/>
              <w:rPr>
                <w:rFonts w:ascii="宋体" w:hAnsi="宋体"/>
                <w:b/>
                <w:szCs w:val="21"/>
              </w:rPr>
            </w:pPr>
            <w:r>
              <w:rPr>
                <w:rFonts w:hint="eastAsia" w:ascii="宋体" w:hAnsi="宋体"/>
                <w:b/>
                <w:szCs w:val="21"/>
              </w:rPr>
              <w:t>项目</w:t>
            </w:r>
          </w:p>
        </w:tc>
        <w:tc>
          <w:tcPr>
            <w:tcW w:w="3480" w:type="pct"/>
            <w:vAlign w:val="center"/>
          </w:tcPr>
          <w:p>
            <w:pPr>
              <w:spacing w:line="360" w:lineRule="auto"/>
              <w:jc w:val="center"/>
              <w:rPr>
                <w:rFonts w:ascii="宋体" w:hAnsi="宋体"/>
                <w:b/>
                <w:szCs w:val="21"/>
              </w:rPr>
            </w:pPr>
            <w:r>
              <w:rPr>
                <w:rFonts w:hint="eastAsia" w:ascii="宋体" w:hAnsi="宋体"/>
                <w:b/>
                <w:szCs w:val="21"/>
              </w:rPr>
              <w:t>评审标准</w:t>
            </w:r>
          </w:p>
        </w:tc>
        <w:tc>
          <w:tcPr>
            <w:tcW w:w="423" w:type="pct"/>
            <w:vAlign w:val="center"/>
          </w:tcPr>
          <w:p>
            <w:pPr>
              <w:spacing w:line="360" w:lineRule="auto"/>
              <w:jc w:val="center"/>
              <w:rPr>
                <w:rFonts w:ascii="宋体" w:hAnsi="宋体"/>
                <w:b/>
                <w:szCs w:val="21"/>
              </w:rPr>
            </w:pPr>
            <w:r>
              <w:rPr>
                <w:rFonts w:hint="eastAsia" w:ascii="宋体" w:hAnsi="宋体"/>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85" w:type="pct"/>
            <w:vAlign w:val="center"/>
          </w:tcPr>
          <w:p>
            <w:pPr>
              <w:spacing w:line="360" w:lineRule="auto"/>
              <w:jc w:val="center"/>
              <w:rPr>
                <w:rFonts w:ascii="宋体" w:hAnsi="宋体"/>
                <w:szCs w:val="21"/>
              </w:rPr>
            </w:pPr>
            <w:r>
              <w:rPr>
                <w:rFonts w:ascii="宋体" w:hAnsi="宋体"/>
                <w:szCs w:val="21"/>
              </w:rPr>
              <w:t>1</w:t>
            </w:r>
          </w:p>
        </w:tc>
        <w:tc>
          <w:tcPr>
            <w:tcW w:w="612" w:type="pct"/>
            <w:vAlign w:val="center"/>
          </w:tcPr>
          <w:p>
            <w:pPr>
              <w:spacing w:line="360" w:lineRule="auto"/>
              <w:rPr>
                <w:rFonts w:ascii="宋体" w:hAnsi="宋体"/>
                <w:szCs w:val="21"/>
                <w:highlight w:val="yellow"/>
              </w:rPr>
            </w:pPr>
            <w:r>
              <w:rPr>
                <w:rFonts w:hint="eastAsia"/>
                <w:b/>
                <w:color w:val="000000"/>
                <w:szCs w:val="21"/>
              </w:rPr>
              <w:t>系统演示</w:t>
            </w:r>
          </w:p>
        </w:tc>
        <w:tc>
          <w:tcPr>
            <w:tcW w:w="3480" w:type="pct"/>
            <w:vAlign w:val="center"/>
          </w:tcPr>
          <w:p>
            <w:pPr>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spacing w:val="-8"/>
                <w:szCs w:val="21"/>
              </w:rPr>
              <w:t>供应商根据项目需求提供视频演示进行评议，演示时间控制在15分钟内</w:t>
            </w:r>
            <w:r>
              <w:rPr>
                <w:rFonts w:hint="eastAsia" w:ascii="宋体" w:hAnsi="宋体" w:cs="宋体"/>
                <w:szCs w:val="21"/>
              </w:rPr>
              <w:t>，</w:t>
            </w:r>
            <w:r>
              <w:rPr>
                <w:rFonts w:hint="eastAsia" w:ascii="宋体" w:hAnsi="宋体" w:cs="宋体"/>
                <w:color w:val="000000" w:themeColor="text1"/>
                <w:kern w:val="0"/>
                <w:szCs w:val="21"/>
                <w14:textFill>
                  <w14:solidFill>
                    <w14:schemeClr w14:val="tx1"/>
                  </w14:solidFill>
                </w14:textFill>
              </w:rPr>
              <w:t>供应商必须采用真实软件产品对功能演示录制，任何采用原型软件、效果图、测试用demo等非真实系统都将判定演示内容无效。</w:t>
            </w:r>
          </w:p>
          <w:p>
            <w:pPr>
              <w:spacing w:line="360" w:lineRule="auto"/>
              <w:rPr>
                <w:rFonts w:ascii="宋体" w:hAnsi="宋体"/>
                <w:b/>
                <w:color w:val="000000"/>
                <w:szCs w:val="21"/>
              </w:rPr>
            </w:pPr>
            <w:r>
              <w:rPr>
                <w:rFonts w:hint="eastAsia" w:ascii="宋体" w:hAnsi="宋体"/>
                <w:b/>
                <w:color w:val="000000"/>
                <w:szCs w:val="21"/>
              </w:rPr>
              <w:t>系统安全（</w:t>
            </w:r>
            <w:r>
              <w:rPr>
                <w:rFonts w:hint="eastAsia" w:ascii="宋体" w:hAnsi="宋体"/>
                <w:b/>
                <w:bCs/>
                <w:color w:val="000000"/>
                <w:szCs w:val="21"/>
              </w:rPr>
              <w:t>全部满足得4分，不全满足得0分）</w:t>
            </w:r>
          </w:p>
          <w:p>
            <w:pPr>
              <w:pStyle w:val="8"/>
              <w:widowControl/>
              <w:numPr>
                <w:ilvl w:val="0"/>
                <w:numId w:val="6"/>
              </w:numPr>
              <w:spacing w:line="360" w:lineRule="auto"/>
              <w:ind w:hangingChars="200"/>
              <w:textAlignment w:val="bottom"/>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支持对用户的菜单权限设置，支持用户的角色设置不同的菜单操作权限；支持对用户的角色设置菜单上按钮操作权限；支持系统菜单名字、菜单图标的自定义设置；</w:t>
            </w:r>
            <w:r>
              <w:rPr>
                <w:rFonts w:asciiTheme="minorEastAsia" w:hAnsiTheme="minorEastAsia" w:eastAsiaTheme="minorEastAsia"/>
                <w:color w:val="000000"/>
                <w:szCs w:val="21"/>
              </w:rPr>
              <w:t xml:space="preserve"> </w:t>
            </w:r>
          </w:p>
          <w:p>
            <w:pPr>
              <w:pStyle w:val="8"/>
              <w:widowControl/>
              <w:numPr>
                <w:ilvl w:val="0"/>
                <w:numId w:val="6"/>
              </w:numPr>
              <w:spacing w:line="360" w:lineRule="auto"/>
              <w:ind w:hangingChars="200"/>
              <w:textAlignment w:val="bottom"/>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支持查看用户的操作日志，通过日志可以查看用户操作的系统模块、操作类型、请求方式、操作人员、IP地址、操作结果状态、操作日期；支持查看操作的详细内容，包含操作的方法、操作的参数、返回的参数等内容； </w:t>
            </w:r>
          </w:p>
          <w:p>
            <w:pPr>
              <w:spacing w:line="360" w:lineRule="auto"/>
              <w:rPr>
                <w:rFonts w:ascii="宋体" w:hAnsi="宋体"/>
                <w:b/>
                <w:bCs/>
                <w:color w:val="000000"/>
                <w:szCs w:val="21"/>
              </w:rPr>
            </w:pPr>
            <w:r>
              <w:rPr>
                <w:rFonts w:hint="eastAsia" w:ascii="宋体" w:hAnsi="宋体" w:cs="宋体"/>
                <w:b/>
                <w:bCs/>
                <w:color w:val="000000"/>
                <w:szCs w:val="21"/>
              </w:rPr>
              <w:t>结算项目审计流程</w:t>
            </w:r>
            <w:r>
              <w:rPr>
                <w:rFonts w:hint="eastAsia" w:ascii="宋体" w:hAnsi="宋体"/>
                <w:b/>
                <w:color w:val="000000"/>
                <w:szCs w:val="21"/>
              </w:rPr>
              <w:t>（</w:t>
            </w:r>
            <w:r>
              <w:rPr>
                <w:rFonts w:hint="eastAsia" w:ascii="宋体" w:hAnsi="宋体"/>
                <w:b/>
                <w:bCs/>
                <w:color w:val="000000"/>
                <w:szCs w:val="21"/>
              </w:rPr>
              <w:t>全部满足得14分，不全满足得0分）</w:t>
            </w:r>
          </w:p>
          <w:p>
            <w:pPr>
              <w:pStyle w:val="2"/>
            </w:pPr>
            <w:r>
              <w:rPr>
                <w:rFonts w:hint="eastAsia"/>
              </w:rPr>
              <w:t>需要完整演示整个项目审计流程，操作连贯，数据准确</w:t>
            </w:r>
          </w:p>
          <w:p>
            <w:pPr>
              <w:pStyle w:val="2"/>
              <w:numPr>
                <w:ilvl w:val="0"/>
                <w:numId w:val="7"/>
              </w:numPr>
              <w:spacing w:line="360" w:lineRule="auto"/>
            </w:pPr>
            <w:r>
              <w:rPr>
                <w:rFonts w:hint="eastAsia"/>
              </w:rPr>
              <w:t>项目送审，支持各类word、pdf、excel、png、jpg等附件的上传，支持无附件确认功能，具有保存草稿的功能；</w:t>
            </w:r>
            <w:r>
              <w:t xml:space="preserve"> </w:t>
            </w:r>
          </w:p>
          <w:p>
            <w:pPr>
              <w:pStyle w:val="2"/>
              <w:numPr>
                <w:ilvl w:val="0"/>
                <w:numId w:val="7"/>
              </w:numPr>
              <w:spacing w:line="360" w:lineRule="auto"/>
            </w:pPr>
            <w:r>
              <w:rPr>
                <w:rFonts w:hint="eastAsia"/>
              </w:rPr>
              <w:t>项目送审确认，可以对记录进行确认操作，支持查看记录的详细信息，支持查看附件内容；</w:t>
            </w:r>
          </w:p>
          <w:p>
            <w:pPr>
              <w:pStyle w:val="2"/>
              <w:numPr>
                <w:ilvl w:val="0"/>
                <w:numId w:val="7"/>
              </w:numPr>
              <w:spacing w:line="360" w:lineRule="auto"/>
            </w:pPr>
            <w:r>
              <w:rPr>
                <w:rFonts w:hint="eastAsia"/>
              </w:rPr>
              <w:t>科室主任审核，支持通过项目状态、招标控制价区间、送审时间区间进行检索记录，支持查看记录详细信息、支持查看记录反馈信息的描述、反馈内容；支持对记录审核通过、驳回操作，驳回操作需要输入驳回原因；支持查看附件，支持单个附件下载和一键打包下载；</w:t>
            </w:r>
          </w:p>
          <w:p>
            <w:pPr>
              <w:pStyle w:val="2"/>
              <w:numPr>
                <w:ilvl w:val="0"/>
                <w:numId w:val="7"/>
              </w:numPr>
              <w:spacing w:line="360" w:lineRule="auto"/>
            </w:pPr>
            <w:r>
              <w:rPr>
                <w:rFonts w:hint="eastAsia"/>
                <w:lang w:eastAsia="zh-CN"/>
              </w:rPr>
              <w:t>内审科</w:t>
            </w:r>
            <w:r>
              <w:rPr>
                <w:rFonts w:hint="eastAsia"/>
              </w:rPr>
              <w:t>委托，支持通过项目状态、招标控制价区间、送审时间区间进行检索记录，支持查看记录详细信息、支持查看记录反馈信息的描述、反馈内容；支持同意委托、驳回委托操作，同意委托操作需要选择审计公司、期望完成时间、委托意见，驳回委托需要输入驳回原因；支持查看全过程记录，包含操作人、操作时间、操作类型；支持查看附件，支持单个附件下载和一键打包下载；</w:t>
            </w:r>
            <w:r>
              <w:t xml:space="preserve"> </w:t>
            </w:r>
          </w:p>
          <w:p>
            <w:pPr>
              <w:pStyle w:val="2"/>
              <w:numPr>
                <w:ilvl w:val="0"/>
                <w:numId w:val="7"/>
              </w:numPr>
              <w:spacing w:line="360" w:lineRule="auto"/>
            </w:pPr>
            <w:r>
              <w:rPr>
                <w:rFonts w:hint="eastAsia"/>
                <w:lang w:eastAsia="zh-CN"/>
              </w:rPr>
              <w:t>内审科</w:t>
            </w:r>
            <w:r>
              <w:rPr>
                <w:rFonts w:hint="eastAsia"/>
              </w:rPr>
              <w:t>主任审核，支持通过项目状态、招标控制价区间、送审时间区间进行检索记录，支持查看记录详细信息、支持查看记录反馈信息的描述、反馈内容；支持同意送审、驳回送审操作，驳回送审需要输入驳回原因；支持查看全过程记录，包含操作人、操作时间、操作类型；支持查看附件，支持单个附件下载和一键打包下载；</w:t>
            </w:r>
            <w:r>
              <w:t xml:space="preserve"> </w:t>
            </w:r>
          </w:p>
          <w:p>
            <w:pPr>
              <w:pStyle w:val="2"/>
              <w:numPr>
                <w:ilvl w:val="0"/>
                <w:numId w:val="7"/>
              </w:numPr>
              <w:spacing w:line="360" w:lineRule="auto"/>
            </w:pPr>
            <w:r>
              <w:rPr>
                <w:rFonts w:hint="eastAsia"/>
              </w:rPr>
              <w:t>审计公司审计核，支持通过项目状态、招标控制价区间、送审时间区间进行检索记录，支持查看记录详细信息、支持查看记录反馈信息的描述、反馈内容；支持对记录进行反馈，提交补充材料；可以上传完结报告；</w:t>
            </w:r>
          </w:p>
          <w:p>
            <w:pPr>
              <w:pStyle w:val="2"/>
              <w:numPr>
                <w:ilvl w:val="0"/>
                <w:numId w:val="7"/>
              </w:numPr>
              <w:spacing w:line="360" w:lineRule="auto"/>
            </w:pPr>
            <w:r>
              <w:rPr>
                <w:rFonts w:hint="eastAsia"/>
                <w:lang w:eastAsia="zh-CN"/>
              </w:rPr>
              <w:t>内审科</w:t>
            </w:r>
            <w:r>
              <w:rPr>
                <w:rFonts w:hint="eastAsia"/>
              </w:rPr>
              <w:t>确认，支持通过项目状态、招标控制价区间、送审时间区间进行检索记录，支持查看记录详细信息；支持反馈操作，反馈操作需要选择反馈类型（资料完整性反馈、初稿反馈、调整稿反馈、审定稿反馈），支持输入反馈说明、附件；支持上传完结报告，报告包含报告正文、审定明细表等；支持查看附件，支持单个附件下载和一键打包下载；</w:t>
            </w:r>
          </w:p>
          <w:p>
            <w:pPr>
              <w:spacing w:line="360" w:lineRule="auto"/>
              <w:rPr>
                <w:rFonts w:ascii="宋体" w:hAnsi="宋体"/>
                <w:b/>
                <w:color w:val="000000"/>
                <w:szCs w:val="21"/>
              </w:rPr>
            </w:pPr>
            <w:r>
              <w:rPr>
                <w:rFonts w:hint="eastAsia" w:ascii="宋体" w:hAnsi="宋体" w:cs="宋体"/>
                <w:b/>
                <w:bCs/>
                <w:color w:val="000000"/>
                <w:szCs w:val="21"/>
              </w:rPr>
              <w:t>数据预警</w:t>
            </w:r>
            <w:r>
              <w:rPr>
                <w:rFonts w:hint="eastAsia" w:ascii="宋体" w:hAnsi="宋体"/>
                <w:b/>
                <w:color w:val="000000"/>
                <w:szCs w:val="21"/>
              </w:rPr>
              <w:t>（</w:t>
            </w:r>
            <w:r>
              <w:rPr>
                <w:rFonts w:hint="eastAsia" w:ascii="宋体" w:hAnsi="宋体"/>
                <w:b/>
                <w:bCs/>
                <w:color w:val="000000"/>
                <w:szCs w:val="21"/>
              </w:rPr>
              <w:t>全部满足得2分，不全满足得0分）</w:t>
            </w:r>
          </w:p>
          <w:p>
            <w:pPr>
              <w:pStyle w:val="8"/>
              <w:widowControl/>
              <w:numPr>
                <w:ilvl w:val="0"/>
                <w:numId w:val="8"/>
              </w:numPr>
              <w:spacing w:line="360" w:lineRule="auto"/>
              <w:ind w:hangingChars="200"/>
              <w:textAlignment w:val="bottom"/>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系统可以自定义设置各类风险预警指标、例如待办超时预警、项目周期超时预警的规则；</w:t>
            </w:r>
          </w:p>
          <w:p>
            <w:pPr>
              <w:pStyle w:val="8"/>
              <w:widowControl/>
              <w:numPr>
                <w:ilvl w:val="0"/>
                <w:numId w:val="8"/>
              </w:numPr>
              <w:spacing w:line="360" w:lineRule="auto"/>
              <w:ind w:hangingChars="200"/>
              <w:textAlignment w:val="bottom"/>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系统可以对满足预警规则的指标自动计算并通过首次登陆弹窗的方式进行提醒，同时可以查看弹窗预警的详细信息，包括预警类型、预计的记录、预警内容等；</w:t>
            </w:r>
          </w:p>
        </w:tc>
        <w:tc>
          <w:tcPr>
            <w:tcW w:w="423" w:type="pct"/>
            <w:vAlign w:val="center"/>
          </w:tcPr>
          <w:p>
            <w:pPr>
              <w:spacing w:line="360" w:lineRule="auto"/>
              <w:jc w:val="center"/>
              <w:rPr>
                <w:rFonts w:ascii="宋体" w:hAnsi="宋体"/>
                <w:b/>
                <w:szCs w:val="21"/>
              </w:rPr>
            </w:pPr>
            <w:r>
              <w:rPr>
                <w:rFonts w:hint="eastAsia" w:ascii="宋体" w:hAnsi="宋体"/>
                <w:bCs/>
                <w:szCs w:val="21"/>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85" w:type="pct"/>
            <w:vAlign w:val="center"/>
          </w:tcPr>
          <w:p>
            <w:pPr>
              <w:spacing w:line="360" w:lineRule="auto"/>
              <w:jc w:val="center"/>
              <w:rPr>
                <w:rFonts w:ascii="宋体" w:hAnsi="宋体" w:cs="宋体"/>
                <w:color w:val="000000"/>
              </w:rPr>
            </w:pPr>
            <w:r>
              <w:rPr>
                <w:rFonts w:hint="eastAsia" w:ascii="宋体" w:hAnsi="宋体" w:cs="宋体"/>
                <w:color w:val="000000"/>
              </w:rPr>
              <w:t>2</w:t>
            </w:r>
          </w:p>
        </w:tc>
        <w:tc>
          <w:tcPr>
            <w:tcW w:w="612" w:type="pct"/>
            <w:vAlign w:val="center"/>
          </w:tcPr>
          <w:p>
            <w:pPr>
              <w:widowControl/>
              <w:spacing w:line="276" w:lineRule="auto"/>
              <w:textAlignment w:val="bottom"/>
              <w:rPr>
                <w:bCs/>
                <w:color w:val="000000"/>
                <w:szCs w:val="21"/>
              </w:rPr>
            </w:pPr>
            <w:r>
              <w:rPr>
                <w:rFonts w:hint="eastAsia"/>
                <w:bCs/>
                <w:color w:val="000000"/>
                <w:szCs w:val="21"/>
              </w:rPr>
              <w:t>技术指标</w:t>
            </w:r>
          </w:p>
        </w:tc>
        <w:tc>
          <w:tcPr>
            <w:tcW w:w="3480" w:type="pct"/>
            <w:vAlign w:val="center"/>
          </w:tcPr>
          <w:p>
            <w:pPr>
              <w:widowControl/>
              <w:textAlignment w:val="bottom"/>
              <w:rPr>
                <w:rFonts w:asciiTheme="minorEastAsia" w:hAnsiTheme="minorEastAsia" w:eastAsiaTheme="minorEastAsia"/>
                <w:color w:val="000000"/>
                <w:szCs w:val="21"/>
              </w:rPr>
            </w:pPr>
            <w:r>
              <w:rPr>
                <w:rFonts w:hint="eastAsia" w:ascii="宋体" w:hAnsi="宋体" w:cs="宋体"/>
                <w:color w:val="000000"/>
              </w:rPr>
              <w:t>根据投标文件的软件响应情况表的符合度情况，每一条不能满足采购文件要求扣0.5分，扣完为止。根据投标文件的偏离表的符合度情况，每一项“★”条款不能满足采购文件要求扣1分，扣完为止。</w:t>
            </w:r>
          </w:p>
        </w:tc>
        <w:tc>
          <w:tcPr>
            <w:tcW w:w="423" w:type="pct"/>
            <w:vAlign w:val="center"/>
          </w:tcPr>
          <w:p>
            <w:pPr>
              <w:spacing w:line="360" w:lineRule="auto"/>
              <w:jc w:val="left"/>
              <w:rPr>
                <w:rFonts w:ascii="宋体" w:hAnsi="宋体" w:cs="宋体"/>
                <w:color w:val="000000"/>
              </w:rPr>
            </w:pPr>
            <w:r>
              <w:rPr>
                <w:rFonts w:hint="eastAsia" w:ascii="宋体" w:hAnsi="宋体" w:cs="宋体"/>
                <w:color w:val="000000"/>
              </w:rPr>
              <w:t>0-1</w:t>
            </w:r>
            <w:r>
              <w:rPr>
                <w:rFonts w:ascii="宋体" w:hAnsi="宋体" w:cs="宋体"/>
                <w:color w:val="00000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85" w:type="pct"/>
            <w:vAlign w:val="center"/>
          </w:tcPr>
          <w:p>
            <w:pPr>
              <w:spacing w:line="360" w:lineRule="auto"/>
              <w:jc w:val="center"/>
              <w:rPr>
                <w:rFonts w:ascii="宋体" w:hAnsi="宋体" w:cs="宋体"/>
                <w:color w:val="000000"/>
              </w:rPr>
            </w:pPr>
            <w:r>
              <w:rPr>
                <w:rFonts w:hint="eastAsia" w:ascii="宋体" w:hAnsi="宋体" w:cs="宋体"/>
                <w:color w:val="000000"/>
              </w:rPr>
              <w:t>3</w:t>
            </w:r>
          </w:p>
        </w:tc>
        <w:tc>
          <w:tcPr>
            <w:tcW w:w="612" w:type="pct"/>
            <w:vAlign w:val="center"/>
          </w:tcPr>
          <w:p>
            <w:pPr>
              <w:spacing w:line="360" w:lineRule="auto"/>
              <w:rPr>
                <w:rFonts w:ascii="宋体" w:hAnsi="宋体" w:cs="宋体"/>
                <w:color w:val="000000"/>
              </w:rPr>
            </w:pPr>
            <w:r>
              <w:rPr>
                <w:rFonts w:hint="eastAsia" w:ascii="宋体" w:hAnsi="宋体" w:cs="宋体"/>
                <w:color w:val="000000"/>
              </w:rPr>
              <w:t>团队能力</w:t>
            </w:r>
          </w:p>
        </w:tc>
        <w:tc>
          <w:tcPr>
            <w:tcW w:w="3480" w:type="pct"/>
            <w:vAlign w:val="center"/>
          </w:tcPr>
          <w:p>
            <w:pPr>
              <w:rPr>
                <w:rFonts w:ascii="宋体" w:hAnsi="宋体" w:cs="宋体"/>
                <w:color w:val="000000"/>
              </w:rPr>
            </w:pPr>
            <w:r>
              <w:rPr>
                <w:rFonts w:hint="eastAsia" w:ascii="宋体" w:hAnsi="宋体" w:cs="宋体"/>
                <w:color w:val="000000"/>
              </w:rPr>
              <w:t>1、拟派项目负责人具备信息系统项目管理师（高级），有相关证书得3分，否则不得分。证明材料：资格证书（复印件加盖投标供应商公章）。</w:t>
            </w:r>
          </w:p>
          <w:p>
            <w:pPr>
              <w:pStyle w:val="2"/>
            </w:pPr>
            <w:r>
              <w:rPr>
                <w:rFonts w:hint="eastAsia"/>
              </w:rPr>
              <w:t>2、项目管理体制明确，组织、职责描述清晰，实施技术人员配备充足、技术力量强大，劳动力安排合理等内容进行综合评议（0</w:t>
            </w:r>
            <w:r>
              <w:t>-5</w:t>
            </w:r>
            <w:r>
              <w:rPr>
                <w:rFonts w:hint="eastAsia"/>
              </w:rPr>
              <w:t>）</w:t>
            </w:r>
          </w:p>
        </w:tc>
        <w:tc>
          <w:tcPr>
            <w:tcW w:w="423" w:type="pct"/>
            <w:vAlign w:val="center"/>
          </w:tcPr>
          <w:p>
            <w:pPr>
              <w:spacing w:line="360" w:lineRule="auto"/>
              <w:jc w:val="left"/>
              <w:rPr>
                <w:rFonts w:ascii="宋体" w:hAnsi="宋体" w:cs="宋体"/>
                <w:color w:val="000000"/>
              </w:rPr>
            </w:pPr>
            <w:r>
              <w:rPr>
                <w:rFonts w:ascii="宋体" w:hAnsi="宋体" w:cs="宋体"/>
                <w:color w:val="000000"/>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85" w:type="pct"/>
            <w:vAlign w:val="center"/>
          </w:tcPr>
          <w:p>
            <w:pPr>
              <w:spacing w:line="360" w:lineRule="auto"/>
              <w:jc w:val="center"/>
              <w:rPr>
                <w:rFonts w:ascii="宋体" w:hAnsi="宋体" w:cs="宋体"/>
                <w:color w:val="000000"/>
              </w:rPr>
            </w:pPr>
            <w:r>
              <w:rPr>
                <w:rFonts w:hint="eastAsia" w:ascii="宋体" w:hAnsi="宋体" w:cs="宋体"/>
                <w:color w:val="000000"/>
              </w:rPr>
              <w:t>4</w:t>
            </w:r>
          </w:p>
        </w:tc>
        <w:tc>
          <w:tcPr>
            <w:tcW w:w="612" w:type="pct"/>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项目背景</w:t>
            </w:r>
          </w:p>
        </w:tc>
        <w:tc>
          <w:tcPr>
            <w:tcW w:w="3480" w:type="pct"/>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投标人对整体项目建设背景的理解，提供详细描述，根据分析到位、合理性进行综合评议</w:t>
            </w:r>
          </w:p>
        </w:tc>
        <w:tc>
          <w:tcPr>
            <w:tcW w:w="423" w:type="pct"/>
            <w:vAlign w:val="center"/>
          </w:tcPr>
          <w:p>
            <w:pPr>
              <w:spacing w:line="360" w:lineRule="auto"/>
              <w:jc w:val="left"/>
              <w:rPr>
                <w:rFonts w:ascii="宋体" w:hAnsi="宋体" w:cs="宋体"/>
                <w:color w:val="000000"/>
              </w:rPr>
            </w:pPr>
            <w:r>
              <w:rPr>
                <w:rFonts w:hint="eastAsia" w:ascii="宋体" w:hAnsi="宋体" w:cs="宋体"/>
                <w:color w:val="000000"/>
              </w:rPr>
              <w:t>0</w:t>
            </w:r>
            <w:r>
              <w:rPr>
                <w:rFonts w:ascii="宋体" w:hAnsi="宋体" w:cs="宋体"/>
                <w:color w:val="00000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85" w:type="pct"/>
            <w:vAlign w:val="center"/>
          </w:tcPr>
          <w:p>
            <w:pPr>
              <w:spacing w:line="360" w:lineRule="auto"/>
              <w:jc w:val="center"/>
              <w:rPr>
                <w:rFonts w:ascii="宋体" w:hAnsi="宋体"/>
                <w:szCs w:val="21"/>
              </w:rPr>
            </w:pPr>
            <w:r>
              <w:rPr>
                <w:rFonts w:hint="eastAsia" w:ascii="宋体" w:hAnsi="宋体"/>
                <w:szCs w:val="21"/>
              </w:rPr>
              <w:t>5</w:t>
            </w:r>
          </w:p>
        </w:tc>
        <w:tc>
          <w:tcPr>
            <w:tcW w:w="612" w:type="pct"/>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实施方案</w:t>
            </w:r>
          </w:p>
        </w:tc>
        <w:tc>
          <w:tcPr>
            <w:tcW w:w="3480" w:type="pct"/>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根据投标人提供的数字化审计管理系统的实施方案综合评议，包括安装调试、系统集成、试运行、测试、系统培训、验收等内容</w:t>
            </w:r>
          </w:p>
        </w:tc>
        <w:tc>
          <w:tcPr>
            <w:tcW w:w="423" w:type="pct"/>
            <w:vAlign w:val="center"/>
          </w:tcPr>
          <w:p>
            <w:pPr>
              <w:spacing w:line="360" w:lineRule="auto"/>
              <w:rPr>
                <w:rFonts w:ascii="宋体" w:hAnsi="宋体"/>
                <w:szCs w:val="21"/>
              </w:rPr>
            </w:pPr>
            <w:r>
              <w:rPr>
                <w:rFonts w:ascii="宋体" w:hAnsi="宋体"/>
                <w:szCs w:val="21"/>
              </w:rPr>
              <w:t>0-</w:t>
            </w: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85" w:type="pct"/>
            <w:vAlign w:val="center"/>
          </w:tcPr>
          <w:p>
            <w:pPr>
              <w:spacing w:line="360" w:lineRule="auto"/>
              <w:jc w:val="center"/>
              <w:rPr>
                <w:rFonts w:ascii="宋体" w:hAnsi="宋体"/>
                <w:szCs w:val="21"/>
              </w:rPr>
            </w:pPr>
            <w:r>
              <w:rPr>
                <w:rFonts w:hint="eastAsia" w:ascii="宋体" w:hAnsi="宋体"/>
                <w:kern w:val="0"/>
                <w:szCs w:val="21"/>
              </w:rPr>
              <w:t>6</w:t>
            </w:r>
          </w:p>
        </w:tc>
        <w:tc>
          <w:tcPr>
            <w:tcW w:w="612" w:type="pct"/>
            <w:vAlign w:val="center"/>
          </w:tcPr>
          <w:p>
            <w:pPr>
              <w:widowControl/>
              <w:jc w:val="left"/>
              <w:rPr>
                <w:rFonts w:ascii="宋体" w:hAnsi="宋体" w:cs="宋体"/>
                <w:color w:val="000000"/>
                <w:kern w:val="0"/>
                <w:szCs w:val="21"/>
              </w:rPr>
            </w:pPr>
            <w:r>
              <w:rPr>
                <w:rFonts w:hint="eastAsia" w:ascii="宋体" w:hAnsi="宋体" w:cs="宋体"/>
                <w:color w:val="000000"/>
                <w:szCs w:val="21"/>
              </w:rPr>
              <w:t>质量保证方案</w:t>
            </w:r>
          </w:p>
        </w:tc>
        <w:tc>
          <w:tcPr>
            <w:tcW w:w="3480" w:type="pct"/>
            <w:vAlign w:val="center"/>
          </w:tcPr>
          <w:p>
            <w:pPr>
              <w:widowControl/>
              <w:jc w:val="left"/>
              <w:rPr>
                <w:rFonts w:ascii="宋体" w:hAnsi="宋体" w:cs="宋体"/>
                <w:color w:val="000000"/>
                <w:kern w:val="0"/>
                <w:szCs w:val="21"/>
              </w:rPr>
            </w:pPr>
            <w:r>
              <w:rPr>
                <w:rFonts w:hint="eastAsia" w:ascii="宋体" w:hAnsi="宋体" w:cs="宋体"/>
                <w:snapToGrid w:val="0"/>
                <w:color w:val="000000"/>
                <w:kern w:val="0"/>
                <w:szCs w:val="21"/>
                <w:lang w:bidi="ar"/>
              </w:rPr>
              <w:t>根据投标人质量保证方案的可行性、合理性、规范性进行</w:t>
            </w:r>
            <w:r>
              <w:rPr>
                <w:rFonts w:hint="eastAsia" w:ascii="宋体" w:hAnsi="宋体" w:cs="宋体"/>
                <w:color w:val="000000"/>
                <w:kern w:val="0"/>
                <w:szCs w:val="21"/>
              </w:rPr>
              <w:t>综合评议</w:t>
            </w:r>
            <w:r>
              <w:rPr>
                <w:rFonts w:hint="eastAsia" w:ascii="宋体" w:hAnsi="宋体" w:cs="宋体"/>
                <w:snapToGrid w:val="0"/>
                <w:color w:val="000000"/>
                <w:kern w:val="0"/>
                <w:szCs w:val="21"/>
                <w:lang w:bidi="ar"/>
              </w:rPr>
              <w:t>。</w:t>
            </w:r>
          </w:p>
        </w:tc>
        <w:tc>
          <w:tcPr>
            <w:tcW w:w="423" w:type="pct"/>
            <w:vAlign w:val="center"/>
          </w:tcPr>
          <w:p>
            <w:pPr>
              <w:spacing w:line="360" w:lineRule="auto"/>
              <w:rPr>
                <w:rFonts w:ascii="宋体" w:hAnsi="宋体"/>
                <w:szCs w:val="21"/>
              </w:rPr>
            </w:pPr>
            <w:r>
              <w:rPr>
                <w:rFonts w:hint="eastAsia" w:ascii="宋体" w:hAnsi="宋体"/>
                <w:szCs w:val="21"/>
              </w:rPr>
              <w:t>0</w:t>
            </w:r>
            <w:r>
              <w:rPr>
                <w:rFonts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485" w:type="pct"/>
            <w:vAlign w:val="center"/>
          </w:tcPr>
          <w:p>
            <w:pPr>
              <w:spacing w:line="360" w:lineRule="auto"/>
              <w:jc w:val="center"/>
              <w:rPr>
                <w:rFonts w:ascii="宋体" w:hAnsi="宋体"/>
                <w:szCs w:val="21"/>
              </w:rPr>
            </w:pPr>
            <w:r>
              <w:rPr>
                <w:rFonts w:hint="eastAsia" w:ascii="宋体" w:hAnsi="宋体"/>
                <w:szCs w:val="21"/>
              </w:rPr>
              <w:t>7</w:t>
            </w:r>
          </w:p>
        </w:tc>
        <w:tc>
          <w:tcPr>
            <w:tcW w:w="612" w:type="pct"/>
            <w:vAlign w:val="center"/>
          </w:tcPr>
          <w:p>
            <w:pPr>
              <w:rPr>
                <w:rFonts w:ascii="宋体" w:hAnsi="宋体" w:cs="宋体"/>
                <w:color w:val="000000"/>
                <w:kern w:val="0"/>
                <w:szCs w:val="21"/>
              </w:rPr>
            </w:pPr>
            <w:r>
              <w:rPr>
                <w:rFonts w:hint="eastAsia" w:ascii="宋体" w:hAnsi="宋体" w:cs="宋体"/>
                <w:color w:val="000000"/>
                <w:kern w:val="0"/>
                <w:szCs w:val="21"/>
              </w:rPr>
              <w:t>系统技术方案</w:t>
            </w:r>
          </w:p>
        </w:tc>
        <w:tc>
          <w:tcPr>
            <w:tcW w:w="3480" w:type="pct"/>
            <w:vAlign w:val="center"/>
          </w:tcPr>
          <w:p>
            <w:pPr>
              <w:rPr>
                <w:rFonts w:ascii="宋体" w:hAnsi="宋体"/>
                <w:szCs w:val="21"/>
              </w:rPr>
            </w:pPr>
            <w:r>
              <w:rPr>
                <w:rFonts w:hint="eastAsia" w:ascii="宋体" w:hAnsi="宋体" w:cs="宋体"/>
                <w:color w:val="000000"/>
                <w:kern w:val="0"/>
                <w:szCs w:val="21"/>
              </w:rPr>
              <w:t>根据采购需求，结合采购人实际情况，出具系统建设总体设计方案包括系统框架设计、功能设计等内容进行综合评议</w:t>
            </w:r>
          </w:p>
        </w:tc>
        <w:tc>
          <w:tcPr>
            <w:tcW w:w="423" w:type="pct"/>
            <w:vAlign w:val="center"/>
          </w:tcPr>
          <w:p>
            <w:pPr>
              <w:spacing w:line="360" w:lineRule="auto"/>
              <w:rPr>
                <w:rFonts w:ascii="宋体" w:hAnsi="宋体" w:cs="宋体"/>
              </w:rPr>
            </w:pPr>
            <w:r>
              <w:rPr>
                <w:rFonts w:hint="eastAsia" w:ascii="宋体" w:hAnsi="宋体" w:cs="宋体"/>
              </w:rPr>
              <w:t>0</w:t>
            </w:r>
            <w:r>
              <w:rPr>
                <w:rFonts w:ascii="宋体" w:hAnsi="宋体" w:cs="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85" w:type="pct"/>
            <w:vAlign w:val="center"/>
          </w:tcPr>
          <w:p>
            <w:pPr>
              <w:spacing w:line="360" w:lineRule="auto"/>
              <w:jc w:val="center"/>
              <w:rPr>
                <w:rFonts w:ascii="宋体" w:hAnsi="宋体"/>
                <w:kern w:val="0"/>
              </w:rPr>
            </w:pPr>
            <w:r>
              <w:rPr>
                <w:rFonts w:hint="eastAsia" w:ascii="宋体" w:hAnsi="宋体"/>
                <w:szCs w:val="21"/>
              </w:rPr>
              <w:t>8</w:t>
            </w:r>
          </w:p>
        </w:tc>
        <w:tc>
          <w:tcPr>
            <w:tcW w:w="612" w:type="pct"/>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售后服务方案</w:t>
            </w:r>
          </w:p>
        </w:tc>
        <w:tc>
          <w:tcPr>
            <w:tcW w:w="3480" w:type="pct"/>
            <w:vAlign w:val="center"/>
          </w:tcPr>
          <w:p>
            <w:pPr>
              <w:widowControl/>
              <w:jc w:val="left"/>
              <w:rPr>
                <w:rFonts w:ascii="宋体" w:hAnsi="宋体" w:cs="宋体"/>
                <w:b/>
                <w:bCs/>
                <w:szCs w:val="21"/>
              </w:rPr>
            </w:pPr>
            <w:r>
              <w:rPr>
                <w:rFonts w:hint="eastAsia" w:ascii="宋体" w:hAnsi="宋体" w:cs="宋体"/>
                <w:color w:val="000000"/>
                <w:kern w:val="0"/>
                <w:szCs w:val="21"/>
              </w:rPr>
              <w:t>根据投标人的售后服务响应时间，售后服务方案及售后服务机构情况，故障处理措施和应急处理方案进行综合评议</w:t>
            </w:r>
          </w:p>
        </w:tc>
        <w:tc>
          <w:tcPr>
            <w:tcW w:w="423" w:type="pct"/>
            <w:vAlign w:val="center"/>
          </w:tcPr>
          <w:p>
            <w:pPr>
              <w:spacing w:line="360" w:lineRule="auto"/>
              <w:rPr>
                <w:rFonts w:ascii="宋体" w:hAnsi="宋体" w:cs="宋体"/>
              </w:rPr>
            </w:pPr>
            <w:r>
              <w:rPr>
                <w:rFonts w:hint="eastAsia" w:ascii="宋体" w:hAnsi="宋体" w:cs="宋体"/>
              </w:rPr>
              <w:t>0</w:t>
            </w:r>
            <w:r>
              <w:rPr>
                <w:rFonts w:ascii="宋体" w:hAnsi="宋体" w:cs="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85" w:type="pct"/>
            <w:vAlign w:val="center"/>
          </w:tcPr>
          <w:p>
            <w:pPr>
              <w:spacing w:line="360" w:lineRule="auto"/>
              <w:jc w:val="center"/>
              <w:rPr>
                <w:rFonts w:ascii="宋体" w:hAnsi="宋体"/>
                <w:szCs w:val="21"/>
              </w:rPr>
            </w:pPr>
            <w:r>
              <w:rPr>
                <w:rFonts w:hint="eastAsia" w:ascii="宋体" w:hAnsi="宋体"/>
                <w:szCs w:val="21"/>
              </w:rPr>
              <w:t>9</w:t>
            </w:r>
          </w:p>
        </w:tc>
        <w:tc>
          <w:tcPr>
            <w:tcW w:w="612" w:type="pct"/>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培训服务方案</w:t>
            </w:r>
          </w:p>
        </w:tc>
        <w:tc>
          <w:tcPr>
            <w:tcW w:w="3480" w:type="pct"/>
            <w:vAlign w:val="center"/>
          </w:tcPr>
          <w:p>
            <w:pPr>
              <w:widowControl/>
              <w:jc w:val="left"/>
              <w:rPr>
                <w:rFonts w:ascii="宋体" w:hAnsi="宋体"/>
                <w:szCs w:val="21"/>
              </w:rPr>
            </w:pPr>
            <w:r>
              <w:rPr>
                <w:rFonts w:hint="eastAsia" w:ascii="宋体" w:hAnsi="宋体" w:cs="宋体"/>
                <w:color w:val="000000"/>
                <w:kern w:val="0"/>
                <w:szCs w:val="21"/>
              </w:rPr>
              <w:t>培根据投标人提供的人员培训计划的合理性、承诺免费培训课程情况、培训时间、师资及方式等情况的优劣程度进行综合评议</w:t>
            </w:r>
          </w:p>
        </w:tc>
        <w:tc>
          <w:tcPr>
            <w:tcW w:w="423" w:type="pct"/>
            <w:vAlign w:val="center"/>
          </w:tcPr>
          <w:p>
            <w:pPr>
              <w:spacing w:line="360" w:lineRule="auto"/>
              <w:rPr>
                <w:rFonts w:ascii="宋体" w:hAnsi="宋体" w:cs="宋体"/>
              </w:rPr>
            </w:pPr>
            <w:r>
              <w:rPr>
                <w:rFonts w:hint="eastAsia" w:ascii="宋体" w:hAnsi="宋体" w:cs="宋体"/>
              </w:rPr>
              <w:t>0</w:t>
            </w:r>
            <w:r>
              <w:rPr>
                <w:rFonts w:ascii="宋体" w:hAnsi="宋体" w:cs="宋体"/>
              </w:rPr>
              <w:t>-3</w:t>
            </w:r>
          </w:p>
        </w:tc>
      </w:tr>
    </w:tbl>
    <w:p>
      <w:pPr>
        <w:pStyle w:val="4"/>
        <w:numPr>
          <w:ilvl w:val="0"/>
          <w:numId w:val="5"/>
        </w:numPr>
        <w:rPr>
          <w:rFonts w:asciiTheme="minorEastAsia" w:hAnsiTheme="minorEastAsia" w:eastAsiaTheme="minorEastAsia"/>
          <w:sz w:val="28"/>
        </w:rPr>
      </w:pPr>
      <w:bookmarkStart w:id="9" w:name="_Toc38029162"/>
      <w:bookmarkStart w:id="10" w:name="_Toc23513"/>
      <w:r>
        <w:rPr>
          <w:rFonts w:hint="eastAsia" w:asciiTheme="minorEastAsia" w:hAnsiTheme="minorEastAsia" w:eastAsiaTheme="minorEastAsia"/>
          <w:sz w:val="28"/>
        </w:rPr>
        <w:t>商务报价</w:t>
      </w:r>
      <w:bookmarkEnd w:id="9"/>
      <w:bookmarkEnd w:id="10"/>
      <w:r>
        <w:rPr>
          <w:rFonts w:hint="eastAsia" w:asciiTheme="minorEastAsia" w:hAnsiTheme="minorEastAsia" w:eastAsiaTheme="minorEastAsia"/>
          <w:sz w:val="28"/>
        </w:rPr>
        <w:t>（30分）</w:t>
      </w:r>
    </w:p>
    <w:p>
      <w:pPr>
        <w:pStyle w:val="20"/>
        <w:ind w:firstLine="0" w:firstLineChars="0"/>
        <w:rPr>
          <w:rFonts w:hint="eastAsia"/>
        </w:rPr>
      </w:pPr>
    </w:p>
    <w:sectPr>
      <w:footerReference r:id="rId4" w:type="first"/>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8</w:t>
    </w:r>
    <w:r>
      <w:rPr>
        <w:lang w:val="zh-CN"/>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CA7280"/>
    <w:multiLevelType w:val="multilevel"/>
    <w:tmpl w:val="07CA728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43274B8"/>
    <w:multiLevelType w:val="multilevel"/>
    <w:tmpl w:val="143274B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7071199"/>
    <w:multiLevelType w:val="multilevel"/>
    <w:tmpl w:val="17071199"/>
    <w:lvl w:ilvl="0" w:tentative="0">
      <w:start w:val="1"/>
      <w:numFmt w:val="decimal"/>
      <w:pStyle w:val="5"/>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2FCA2468"/>
    <w:multiLevelType w:val="multilevel"/>
    <w:tmpl w:val="2FCA2468"/>
    <w:lvl w:ilvl="0" w:tentative="0">
      <w:start w:val="1"/>
      <w:numFmt w:val="chineseCountingThousand"/>
      <w:pStyle w:val="3"/>
      <w:suff w:val="nothing"/>
      <w:lvlText w:val="第%1章  "/>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2674FA2"/>
    <w:multiLevelType w:val="multilevel"/>
    <w:tmpl w:val="32674FA2"/>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pStyle w:val="7"/>
      <w:lvlText w:val="1.%3"/>
      <w:lvlJc w:val="left"/>
      <w:pPr>
        <w:ind w:left="1418" w:hanging="567"/>
      </w:pPr>
      <w:rPr>
        <w:rFonts w:hint="eastAsia"/>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47153E69"/>
    <w:multiLevelType w:val="multilevel"/>
    <w:tmpl w:val="47153E6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9404F4F"/>
    <w:multiLevelType w:val="multilevel"/>
    <w:tmpl w:val="49404F4F"/>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D17699B"/>
    <w:multiLevelType w:val="multilevel"/>
    <w:tmpl w:val="6D17699B"/>
    <w:lvl w:ilvl="0" w:tentative="0">
      <w:start w:val="1"/>
      <w:numFmt w:val="chineseCountingThousand"/>
      <w:pStyle w:val="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7"/>
  </w:num>
  <w:num w:numId="3">
    <w:abstractNumId w:val="2"/>
  </w:num>
  <w:num w:numId="4">
    <w:abstractNumId w:val="4"/>
  </w:num>
  <w:num w:numId="5">
    <w:abstractNumId w:val="6"/>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ZhMGJjODAwZjIxNDAzN2ViYWI0ZmYxYjc4YzgwNDUifQ=="/>
  </w:docVars>
  <w:rsids>
    <w:rsidRoot w:val="2CE010C2"/>
    <w:rsid w:val="00005785"/>
    <w:rsid w:val="00006E39"/>
    <w:rsid w:val="000307FD"/>
    <w:rsid w:val="00030B16"/>
    <w:rsid w:val="00075BA4"/>
    <w:rsid w:val="00082F6C"/>
    <w:rsid w:val="000A1CDD"/>
    <w:rsid w:val="000B74C7"/>
    <w:rsid w:val="000D772D"/>
    <w:rsid w:val="000F52D1"/>
    <w:rsid w:val="001065D8"/>
    <w:rsid w:val="00142DE2"/>
    <w:rsid w:val="00164724"/>
    <w:rsid w:val="001D3405"/>
    <w:rsid w:val="00225982"/>
    <w:rsid w:val="002407ED"/>
    <w:rsid w:val="00240C07"/>
    <w:rsid w:val="00254545"/>
    <w:rsid w:val="00267276"/>
    <w:rsid w:val="002B77DF"/>
    <w:rsid w:val="002C25B5"/>
    <w:rsid w:val="002F3083"/>
    <w:rsid w:val="00306E15"/>
    <w:rsid w:val="00376998"/>
    <w:rsid w:val="00396CE1"/>
    <w:rsid w:val="003B07CD"/>
    <w:rsid w:val="003D4297"/>
    <w:rsid w:val="003D55F1"/>
    <w:rsid w:val="003E3452"/>
    <w:rsid w:val="00417E15"/>
    <w:rsid w:val="004279FB"/>
    <w:rsid w:val="00474FFF"/>
    <w:rsid w:val="004904E7"/>
    <w:rsid w:val="00491C23"/>
    <w:rsid w:val="004944E6"/>
    <w:rsid w:val="004A52FD"/>
    <w:rsid w:val="004C3337"/>
    <w:rsid w:val="004D5199"/>
    <w:rsid w:val="004D54D8"/>
    <w:rsid w:val="004D6BE6"/>
    <w:rsid w:val="004E362A"/>
    <w:rsid w:val="004E64B8"/>
    <w:rsid w:val="004F3464"/>
    <w:rsid w:val="004F520A"/>
    <w:rsid w:val="0053191B"/>
    <w:rsid w:val="005471B3"/>
    <w:rsid w:val="00547A94"/>
    <w:rsid w:val="00550632"/>
    <w:rsid w:val="00576EC1"/>
    <w:rsid w:val="0058366A"/>
    <w:rsid w:val="00596055"/>
    <w:rsid w:val="00611DB0"/>
    <w:rsid w:val="0063160E"/>
    <w:rsid w:val="00642F87"/>
    <w:rsid w:val="00644D74"/>
    <w:rsid w:val="006549F1"/>
    <w:rsid w:val="006629E2"/>
    <w:rsid w:val="006A6B63"/>
    <w:rsid w:val="006B0B80"/>
    <w:rsid w:val="006D71EB"/>
    <w:rsid w:val="006E4531"/>
    <w:rsid w:val="00715A37"/>
    <w:rsid w:val="00760F9C"/>
    <w:rsid w:val="00770155"/>
    <w:rsid w:val="00777764"/>
    <w:rsid w:val="00782387"/>
    <w:rsid w:val="007A472B"/>
    <w:rsid w:val="007A4FAC"/>
    <w:rsid w:val="007E230A"/>
    <w:rsid w:val="007E3687"/>
    <w:rsid w:val="007F0E75"/>
    <w:rsid w:val="0082443D"/>
    <w:rsid w:val="00825189"/>
    <w:rsid w:val="00867F6F"/>
    <w:rsid w:val="00874E6E"/>
    <w:rsid w:val="00875BD3"/>
    <w:rsid w:val="00882A76"/>
    <w:rsid w:val="00885692"/>
    <w:rsid w:val="008A1BF1"/>
    <w:rsid w:val="008A211E"/>
    <w:rsid w:val="008D1728"/>
    <w:rsid w:val="00901573"/>
    <w:rsid w:val="0090588E"/>
    <w:rsid w:val="00917F90"/>
    <w:rsid w:val="00922C38"/>
    <w:rsid w:val="0093195D"/>
    <w:rsid w:val="00933915"/>
    <w:rsid w:val="009A74E8"/>
    <w:rsid w:val="009E3A6E"/>
    <w:rsid w:val="00A434B9"/>
    <w:rsid w:val="00A60767"/>
    <w:rsid w:val="00A67ECF"/>
    <w:rsid w:val="00A85965"/>
    <w:rsid w:val="00AD299D"/>
    <w:rsid w:val="00AF289C"/>
    <w:rsid w:val="00B22B79"/>
    <w:rsid w:val="00B33AC5"/>
    <w:rsid w:val="00B87BD5"/>
    <w:rsid w:val="00B95CEF"/>
    <w:rsid w:val="00B97963"/>
    <w:rsid w:val="00BC6366"/>
    <w:rsid w:val="00C04AAD"/>
    <w:rsid w:val="00C465EA"/>
    <w:rsid w:val="00C84793"/>
    <w:rsid w:val="00CB0630"/>
    <w:rsid w:val="00CB58B6"/>
    <w:rsid w:val="00CD3F60"/>
    <w:rsid w:val="00CE6E9B"/>
    <w:rsid w:val="00CF15EF"/>
    <w:rsid w:val="00D12B7F"/>
    <w:rsid w:val="00D3552C"/>
    <w:rsid w:val="00D5091A"/>
    <w:rsid w:val="00DA33E6"/>
    <w:rsid w:val="00E07C3A"/>
    <w:rsid w:val="00E8476B"/>
    <w:rsid w:val="00EA5A72"/>
    <w:rsid w:val="00F00F17"/>
    <w:rsid w:val="00F06E1E"/>
    <w:rsid w:val="00F155ED"/>
    <w:rsid w:val="00F2733A"/>
    <w:rsid w:val="00F27AFA"/>
    <w:rsid w:val="00F47B0E"/>
    <w:rsid w:val="00FD5DB9"/>
    <w:rsid w:val="00FF6F3D"/>
    <w:rsid w:val="2CE010C2"/>
    <w:rsid w:val="487F2935"/>
    <w:rsid w:val="4AB8336F"/>
    <w:rsid w:val="50813002"/>
    <w:rsid w:val="63294DF4"/>
    <w:rsid w:val="697134A0"/>
    <w:rsid w:val="71D67A76"/>
    <w:rsid w:val="72DE2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semiHidden="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numPr>
        <w:ilvl w:val="0"/>
        <w:numId w:val="1"/>
      </w:numPr>
      <w:tabs>
        <w:tab w:val="left" w:pos="432"/>
        <w:tab w:val="left" w:pos="960"/>
      </w:tabs>
      <w:spacing w:before="340" w:after="330" w:line="578" w:lineRule="auto"/>
      <w:jc w:val="center"/>
      <w:outlineLvl w:val="0"/>
    </w:pPr>
    <w:rPr>
      <w:rFonts w:ascii="等线" w:hAnsi="等线" w:eastAsia="等线"/>
      <w:b/>
      <w:kern w:val="44"/>
      <w:sz w:val="44"/>
    </w:rPr>
  </w:style>
  <w:style w:type="paragraph" w:styleId="4">
    <w:name w:val="heading 2"/>
    <w:basedOn w:val="1"/>
    <w:next w:val="1"/>
    <w:qFormat/>
    <w:uiPriority w:val="9"/>
    <w:pPr>
      <w:keepNext/>
      <w:keepLines/>
      <w:numPr>
        <w:ilvl w:val="0"/>
        <w:numId w:val="2"/>
      </w:numPr>
      <w:spacing w:before="260" w:after="260" w:line="416" w:lineRule="auto"/>
      <w:outlineLvl w:val="1"/>
    </w:pPr>
    <w:rPr>
      <w:rFonts w:ascii="宋体" w:hAnsi="宋体" w:eastAsia="等线"/>
      <w:b/>
      <w:sz w:val="32"/>
      <w:szCs w:val="32"/>
    </w:rPr>
  </w:style>
  <w:style w:type="paragraph" w:styleId="5">
    <w:name w:val="heading 3"/>
    <w:basedOn w:val="1"/>
    <w:next w:val="1"/>
    <w:qFormat/>
    <w:uiPriority w:val="0"/>
    <w:pPr>
      <w:numPr>
        <w:ilvl w:val="0"/>
        <w:numId w:val="3"/>
      </w:numPr>
      <w:outlineLvl w:val="2"/>
    </w:pPr>
    <w:rPr>
      <w:rFonts w:ascii="等线" w:hAnsi="等线"/>
      <w:bCs/>
      <w:szCs w:val="21"/>
    </w:rPr>
  </w:style>
  <w:style w:type="paragraph" w:styleId="6">
    <w:name w:val="heading 4"/>
    <w:basedOn w:val="1"/>
    <w:next w:val="1"/>
    <w:link w:val="22"/>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6"/>
    <w:basedOn w:val="8"/>
    <w:next w:val="1"/>
    <w:qFormat/>
    <w:uiPriority w:val="9"/>
    <w:pPr>
      <w:widowControl/>
      <w:numPr>
        <w:ilvl w:val="2"/>
        <w:numId w:val="4"/>
      </w:numPr>
      <w:tabs>
        <w:tab w:val="left" w:pos="420"/>
      </w:tabs>
      <w:ind w:left="851" w:hanging="425" w:firstLineChars="0"/>
      <w:jc w:val="left"/>
      <w:outlineLvl w:val="5"/>
    </w:pPr>
    <w:rPr>
      <w:rFonts w:ascii="宋体" w:hAnsi="宋体"/>
      <w:kern w:val="0"/>
      <w:szCs w:val="21"/>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3"/>
    <w:qFormat/>
    <w:uiPriority w:val="0"/>
    <w:pPr>
      <w:spacing w:after="120"/>
    </w:pPr>
  </w:style>
  <w:style w:type="paragraph" w:styleId="8">
    <w:name w:val="List Paragraph"/>
    <w:basedOn w:val="1"/>
    <w:qFormat/>
    <w:uiPriority w:val="34"/>
    <w:pPr>
      <w:ind w:firstLine="420" w:firstLineChars="200"/>
    </w:pPr>
    <w:rPr>
      <w:rFonts w:ascii="等线" w:hAnsi="等线" w:eastAsia="等线"/>
    </w:rPr>
  </w:style>
  <w:style w:type="paragraph" w:styleId="9">
    <w:name w:val="toc 3"/>
    <w:basedOn w:val="10"/>
    <w:next w:val="1"/>
    <w:unhideWhenUsed/>
    <w:qFormat/>
    <w:uiPriority w:val="39"/>
    <w:pPr>
      <w:ind w:left="200" w:leftChars="200"/>
    </w:pPr>
  </w:style>
  <w:style w:type="paragraph" w:customStyle="1" w:styleId="10">
    <w:name w:val="无间隔1"/>
    <w:qFormat/>
    <w:uiPriority w:val="0"/>
    <w:pPr>
      <w:widowControl w:val="0"/>
      <w:jc w:val="both"/>
    </w:pPr>
    <w:rPr>
      <w:rFonts w:ascii="Times New Roman" w:hAnsi="Times New Roman" w:eastAsia="宋体" w:cs="Times New Roman"/>
      <w:kern w:val="2"/>
      <w:sz w:val="24"/>
      <w:szCs w:val="22"/>
      <w:lang w:val="en-US" w:eastAsia="zh-CN" w:bidi="ar-SA"/>
    </w:rPr>
  </w:style>
  <w:style w:type="paragraph" w:styleId="11">
    <w:name w:val="Balloon Text"/>
    <w:basedOn w:val="1"/>
    <w:link w:val="21"/>
    <w:qFormat/>
    <w:uiPriority w:val="0"/>
    <w:rPr>
      <w:sz w:val="18"/>
      <w:szCs w:val="18"/>
    </w:rPr>
  </w:style>
  <w:style w:type="paragraph" w:styleId="12">
    <w:name w:val="footer"/>
    <w:basedOn w:val="1"/>
    <w:unhideWhenUsed/>
    <w:qFormat/>
    <w:uiPriority w:val="0"/>
    <w:pPr>
      <w:tabs>
        <w:tab w:val="center" w:pos="4153"/>
        <w:tab w:val="right" w:pos="8306"/>
      </w:tabs>
      <w:snapToGrid w:val="0"/>
      <w:jc w:val="left"/>
    </w:pPr>
    <w:rPr>
      <w:kern w:val="0"/>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unhideWhenUsed/>
    <w:qFormat/>
    <w:uiPriority w:val="39"/>
  </w:style>
  <w:style w:type="paragraph" w:styleId="15">
    <w:name w:val="toc 2"/>
    <w:basedOn w:val="1"/>
    <w:next w:val="1"/>
    <w:unhideWhenUsed/>
    <w:qFormat/>
    <w:uiPriority w:val="39"/>
    <w:pPr>
      <w:tabs>
        <w:tab w:val="left" w:pos="851"/>
        <w:tab w:val="right" w:leader="dot" w:pos="8296"/>
      </w:tabs>
      <w:ind w:left="420" w:leftChars="200"/>
      <w:jc w:val="left"/>
    </w:pPr>
  </w:style>
  <w:style w:type="paragraph" w:customStyle="1" w:styleId="18">
    <w:name w:val="TOC 标题1"/>
    <w:basedOn w:val="3"/>
    <w:next w:val="1"/>
    <w:unhideWhenUsed/>
    <w:qFormat/>
    <w:uiPriority w:val="39"/>
    <w:pPr>
      <w:widowControl/>
      <w:tabs>
        <w:tab w:val="clear" w:pos="432"/>
        <w:tab w:val="clear" w:pos="960"/>
      </w:tabs>
      <w:spacing w:before="240" w:after="0" w:line="259" w:lineRule="auto"/>
      <w:jc w:val="left"/>
      <w:outlineLvl w:val="9"/>
    </w:pPr>
    <w:rPr>
      <w:rFonts w:ascii="等线 Light" w:hAnsi="等线 Light" w:eastAsia="等线 Light"/>
      <w:b w:val="0"/>
      <w:color w:val="2F5496"/>
      <w:kern w:val="0"/>
      <w:sz w:val="32"/>
      <w:szCs w:val="32"/>
    </w:rPr>
  </w:style>
  <w:style w:type="character" w:customStyle="1" w:styleId="19">
    <w:name w:val="标题 3 字符"/>
    <w:qFormat/>
    <w:uiPriority w:val="0"/>
    <w:rPr>
      <w:b/>
      <w:bCs/>
      <w:sz w:val="32"/>
      <w:szCs w:val="32"/>
    </w:rPr>
  </w:style>
  <w:style w:type="paragraph" w:customStyle="1" w:styleId="20">
    <w:name w:val="文本"/>
    <w:basedOn w:val="1"/>
    <w:qFormat/>
    <w:uiPriority w:val="0"/>
    <w:pPr>
      <w:ind w:firstLine="200" w:firstLineChars="200"/>
    </w:pPr>
    <w:rPr>
      <w:rFonts w:ascii="仿宋_GB2312" w:hAnsi="Calibri" w:eastAsia="仿宋_GB2312"/>
      <w:sz w:val="28"/>
      <w:szCs w:val="22"/>
    </w:rPr>
  </w:style>
  <w:style w:type="character" w:customStyle="1" w:styleId="21">
    <w:name w:val="批注框文本 字符"/>
    <w:basedOn w:val="17"/>
    <w:link w:val="11"/>
    <w:qFormat/>
    <w:uiPriority w:val="0"/>
    <w:rPr>
      <w:rFonts w:ascii="Times New Roman" w:hAnsi="Times New Roman" w:eastAsia="宋体" w:cs="Times New Roman"/>
      <w:kern w:val="2"/>
      <w:sz w:val="18"/>
      <w:szCs w:val="18"/>
    </w:rPr>
  </w:style>
  <w:style w:type="character" w:customStyle="1" w:styleId="22">
    <w:name w:val="标题 4 字符"/>
    <w:basedOn w:val="17"/>
    <w:link w:val="6"/>
    <w:qFormat/>
    <w:uiPriority w:val="0"/>
    <w:rPr>
      <w:rFonts w:asciiTheme="majorHAnsi" w:hAnsiTheme="majorHAnsi" w:eastAsiaTheme="majorEastAsia" w:cstheme="majorBidi"/>
      <w:b/>
      <w:bCs/>
      <w:kern w:val="2"/>
      <w:sz w:val="28"/>
      <w:szCs w:val="28"/>
    </w:rPr>
  </w:style>
  <w:style w:type="character" w:customStyle="1" w:styleId="23">
    <w:name w:val="正文文本 字符"/>
    <w:basedOn w:val="17"/>
    <w:link w:val="2"/>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Users</Company>
  <Pages>8</Pages>
  <Words>785</Words>
  <Characters>4476</Characters>
  <Lines>37</Lines>
  <Paragraphs>10</Paragraphs>
  <TotalTime>12</TotalTime>
  <ScaleCrop>false</ScaleCrop>
  <LinksUpToDate>false</LinksUpToDate>
  <CharactersWithSpaces>5251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2023-11-13T01:49:00Z</dcterms:created>
  <dc:creator>颇该</dc:creator>
  <cp:lastModifiedBy>lxl</cp:lastModifiedBy>
  <dcterms:modified xsi:type="dcterms:W3CDTF">2023-12-04T03:36:21Z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5DB497EE007A4C00BC27E3BF4BDCD0D4_11</vt:lpwstr>
  </property>
</Properties>
</file>