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07" w:rsidRPr="005D0981" w:rsidRDefault="00F44407" w:rsidP="00F44407">
      <w:pPr>
        <w:ind w:left="420"/>
        <w:jc w:val="center"/>
        <w:rPr>
          <w:rFonts w:ascii="宋体" w:eastAsia="宋体" w:hAnsi="宋体"/>
          <w:color w:val="000000"/>
          <w:sz w:val="32"/>
          <w:szCs w:val="21"/>
        </w:rPr>
      </w:pPr>
      <w:r w:rsidRPr="005D0981">
        <w:rPr>
          <w:rFonts w:ascii="宋体" w:eastAsia="宋体" w:hAnsi="宋体" w:hint="eastAsia"/>
          <w:color w:val="000000"/>
          <w:sz w:val="32"/>
          <w:szCs w:val="21"/>
        </w:rPr>
        <w:t>骨髓及淋巴瘤外送检测服务采购内容及需求</w:t>
      </w:r>
    </w:p>
    <w:p w:rsidR="009373AB" w:rsidRPr="00705880" w:rsidRDefault="00705880" w:rsidP="00705880">
      <w:pPr>
        <w:ind w:firstLineChars="200" w:firstLine="480"/>
        <w:rPr>
          <w:rFonts w:ascii="宋体" w:eastAsia="宋体" w:hAnsi="宋体"/>
          <w:color w:val="000000"/>
          <w:sz w:val="24"/>
          <w:szCs w:val="24"/>
        </w:rPr>
      </w:pPr>
      <w:r>
        <w:rPr>
          <w:rFonts w:ascii="宋体" w:eastAsia="宋体" w:hAnsi="宋体" w:hint="eastAsia"/>
          <w:color w:val="000000"/>
          <w:sz w:val="24"/>
          <w:szCs w:val="24"/>
        </w:rPr>
        <w:t>一、</w:t>
      </w:r>
      <w:r w:rsidR="009373AB" w:rsidRPr="00705880">
        <w:rPr>
          <w:rFonts w:ascii="宋体" w:eastAsia="宋体" w:hAnsi="宋体"/>
          <w:color w:val="000000"/>
          <w:sz w:val="24"/>
          <w:szCs w:val="24"/>
        </w:rPr>
        <w:t xml:space="preserve">项目概况 </w:t>
      </w:r>
    </w:p>
    <w:p w:rsidR="009373AB" w:rsidRPr="00EB193B" w:rsidRDefault="009373AB" w:rsidP="009373AB">
      <w:pPr>
        <w:ind w:firstLineChars="200" w:firstLine="480"/>
        <w:rPr>
          <w:rFonts w:ascii="宋体" w:eastAsia="宋体" w:hAnsi="宋体"/>
          <w:color w:val="000000"/>
          <w:sz w:val="24"/>
          <w:szCs w:val="24"/>
        </w:rPr>
      </w:pPr>
      <w:r w:rsidRPr="00EB193B">
        <w:rPr>
          <w:rFonts w:ascii="宋体" w:eastAsia="宋体" w:hAnsi="宋体"/>
          <w:color w:val="000000"/>
          <w:sz w:val="24"/>
          <w:szCs w:val="24"/>
        </w:rPr>
        <w:t>本次采购内容为</w:t>
      </w:r>
      <w:r w:rsidR="00BE717D">
        <w:rPr>
          <w:rFonts w:ascii="宋体" w:eastAsia="宋体" w:hAnsi="宋体" w:hint="eastAsia"/>
          <w:color w:val="000000"/>
          <w:sz w:val="24"/>
          <w:szCs w:val="24"/>
        </w:rPr>
        <w:t>骨髓及淋巴瘤</w:t>
      </w:r>
      <w:r w:rsidRPr="00EB193B">
        <w:rPr>
          <w:rFonts w:ascii="宋体" w:eastAsia="宋体" w:hAnsi="宋体"/>
          <w:color w:val="000000"/>
          <w:sz w:val="24"/>
          <w:szCs w:val="24"/>
        </w:rPr>
        <w:t xml:space="preserve">外送检测服务，包括但不限于提供运输服务，配套车辆设备，配备服务人员，外 送标本检测服务等全部工作。 </w:t>
      </w:r>
    </w:p>
    <w:p w:rsidR="007619E3" w:rsidRPr="00EB193B" w:rsidRDefault="009373AB" w:rsidP="009373AB">
      <w:pPr>
        <w:ind w:firstLineChars="200" w:firstLine="480"/>
        <w:rPr>
          <w:rFonts w:ascii="宋体" w:eastAsia="宋体" w:hAnsi="宋体"/>
          <w:color w:val="000000"/>
          <w:sz w:val="24"/>
          <w:szCs w:val="24"/>
        </w:rPr>
      </w:pPr>
      <w:r w:rsidRPr="00EB193B">
        <w:rPr>
          <w:rFonts w:ascii="宋体" w:eastAsia="宋体" w:hAnsi="宋体"/>
          <w:color w:val="000000"/>
          <w:sz w:val="24"/>
          <w:szCs w:val="24"/>
        </w:rPr>
        <w:t>二、检测项目：详见附件 1。</w:t>
      </w:r>
    </w:p>
    <w:p w:rsidR="007619E3" w:rsidRPr="00EB193B" w:rsidRDefault="009373AB" w:rsidP="009373AB">
      <w:pPr>
        <w:ind w:firstLineChars="200" w:firstLine="480"/>
        <w:rPr>
          <w:rFonts w:ascii="宋体" w:eastAsia="宋体" w:hAnsi="宋体"/>
          <w:sz w:val="24"/>
          <w:szCs w:val="24"/>
        </w:rPr>
      </w:pPr>
      <w:r w:rsidRPr="00EB193B">
        <w:rPr>
          <w:rFonts w:ascii="宋体" w:eastAsia="宋体" w:hAnsi="宋体"/>
          <w:sz w:val="24"/>
          <w:szCs w:val="24"/>
        </w:rPr>
        <w:t xml:space="preserve">三、服务要求 </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1.1</w:t>
      </w:r>
      <w:r w:rsidRPr="00EB193B">
        <w:rPr>
          <w:rFonts w:ascii="宋体" w:eastAsia="宋体" w:hAnsi="宋体"/>
          <w:color w:val="000000"/>
          <w:sz w:val="24"/>
          <w:szCs w:val="24"/>
        </w:rPr>
        <w:t>送检周期要求：工作日每天均能接收标本；报告周期：满足临床工作要求；部分报告按</w:t>
      </w:r>
      <w:r w:rsidR="00CE0C08">
        <w:rPr>
          <w:rFonts w:ascii="宋体" w:eastAsia="宋体" w:hAnsi="宋体" w:hint="eastAsia"/>
          <w:color w:val="000000"/>
          <w:sz w:val="24"/>
          <w:szCs w:val="24"/>
        </w:rPr>
        <w:t>医院</w:t>
      </w:r>
      <w:r w:rsidRPr="00EB193B">
        <w:rPr>
          <w:rFonts w:ascii="宋体" w:eastAsia="宋体" w:hAnsi="宋体"/>
          <w:color w:val="000000"/>
          <w:sz w:val="24"/>
          <w:szCs w:val="24"/>
        </w:rPr>
        <w:t>要求当天或隔日出结果。</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1.2报告周期：流式残留项目：5个工作日；流式免疫分型项目：4个工作日；FISH项目：5个工作日；基因突变一代测序检测项目：5个工作日；血液肿瘤相关二代测序项目：10-12个工作日。</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1.3报告及时反馈，提供检测后必要的跟踪服务，协助临床进行疑难会诊。</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1.</w:t>
      </w:r>
      <w:r w:rsidRPr="00EB193B">
        <w:rPr>
          <w:rFonts w:ascii="宋体" w:eastAsia="宋体" w:hAnsi="宋体" w:hint="eastAsia"/>
          <w:color w:val="000000"/>
          <w:sz w:val="24"/>
          <w:szCs w:val="24"/>
        </w:rPr>
        <w:t>4</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根据</w:t>
      </w:r>
      <w:r w:rsidR="00CE0C08">
        <w:rPr>
          <w:rFonts w:ascii="宋体" w:eastAsia="宋体" w:hAnsi="宋体" w:hint="eastAsia"/>
          <w:color w:val="000000"/>
          <w:sz w:val="24"/>
          <w:szCs w:val="24"/>
        </w:rPr>
        <w:t>院方</w:t>
      </w:r>
      <w:r w:rsidRPr="00EB193B">
        <w:rPr>
          <w:rFonts w:ascii="宋体" w:eastAsia="宋体" w:hAnsi="宋体"/>
          <w:color w:val="000000"/>
          <w:sz w:val="24"/>
          <w:szCs w:val="24"/>
        </w:rPr>
        <w:t>提供的标本完成实验，并出具检测报告。</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1.</w:t>
      </w:r>
      <w:r w:rsidRPr="00EB193B">
        <w:rPr>
          <w:rFonts w:ascii="宋体" w:eastAsia="宋体" w:hAnsi="宋体" w:hint="eastAsia"/>
          <w:color w:val="000000"/>
          <w:sz w:val="24"/>
          <w:szCs w:val="24"/>
        </w:rPr>
        <w:t>5</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向</w:t>
      </w:r>
      <w:r w:rsidR="00CE0C08">
        <w:rPr>
          <w:rFonts w:ascii="宋体" w:eastAsia="宋体" w:hAnsi="宋体" w:hint="eastAsia"/>
          <w:color w:val="000000"/>
          <w:sz w:val="24"/>
          <w:szCs w:val="24"/>
        </w:rPr>
        <w:t>院方</w:t>
      </w:r>
      <w:r w:rsidRPr="00EB193B">
        <w:rPr>
          <w:rFonts w:ascii="宋体" w:eastAsia="宋体" w:hAnsi="宋体"/>
          <w:color w:val="000000"/>
          <w:sz w:val="24"/>
          <w:szCs w:val="24"/>
        </w:rPr>
        <w:t>提供检测项目汇编，汇编内容包括项目名称、检测方法、标本要求、报告时间、临床意义。</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1.</w:t>
      </w:r>
      <w:r w:rsidR="00CE0C08">
        <w:rPr>
          <w:rFonts w:ascii="宋体" w:eastAsia="宋体" w:hAnsi="宋体"/>
          <w:color w:val="000000"/>
          <w:sz w:val="24"/>
          <w:szCs w:val="24"/>
        </w:rPr>
        <w:t>6</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向</w:t>
      </w:r>
      <w:r w:rsidR="00CE0C08">
        <w:rPr>
          <w:rFonts w:ascii="宋体" w:eastAsia="宋体" w:hAnsi="宋体" w:hint="eastAsia"/>
          <w:color w:val="000000"/>
          <w:sz w:val="24"/>
          <w:szCs w:val="24"/>
        </w:rPr>
        <w:t>院方</w:t>
      </w:r>
      <w:r w:rsidRPr="00EB193B">
        <w:rPr>
          <w:rFonts w:ascii="宋体" w:eastAsia="宋体" w:hAnsi="宋体"/>
          <w:color w:val="000000"/>
          <w:sz w:val="24"/>
          <w:szCs w:val="24"/>
        </w:rPr>
        <w:t>提供检测后必要的跟踪服务，协助</w:t>
      </w:r>
      <w:r w:rsidR="00CE0C08">
        <w:rPr>
          <w:rFonts w:ascii="宋体" w:eastAsia="宋体" w:hAnsi="宋体" w:hint="eastAsia"/>
          <w:color w:val="000000"/>
          <w:sz w:val="24"/>
          <w:szCs w:val="24"/>
        </w:rPr>
        <w:t>院方</w:t>
      </w:r>
      <w:r w:rsidRPr="00EB193B">
        <w:rPr>
          <w:rFonts w:ascii="宋体" w:eastAsia="宋体" w:hAnsi="宋体"/>
          <w:color w:val="000000"/>
          <w:sz w:val="24"/>
          <w:szCs w:val="24"/>
        </w:rPr>
        <w:t>进行疑难会诊。</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2、样本检测</w:t>
      </w:r>
      <w:r w:rsidRPr="00EB193B">
        <w:rPr>
          <w:rFonts w:ascii="宋体" w:eastAsia="宋体" w:hAnsi="宋体" w:hint="eastAsia"/>
          <w:color w:val="000000"/>
          <w:sz w:val="24"/>
          <w:szCs w:val="24"/>
        </w:rPr>
        <w:t>要求</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 xml:space="preserve">2.1 </w:t>
      </w:r>
      <w:r w:rsidR="00CE0C08">
        <w:rPr>
          <w:rFonts w:ascii="宋体" w:eastAsia="宋体" w:hAnsi="宋体" w:hint="eastAsia"/>
          <w:color w:val="000000"/>
          <w:sz w:val="24"/>
          <w:szCs w:val="24"/>
        </w:rPr>
        <w:t>院方</w:t>
      </w:r>
      <w:r w:rsidRPr="00EB193B">
        <w:rPr>
          <w:rFonts w:ascii="宋体" w:eastAsia="宋体" w:hAnsi="宋体"/>
          <w:color w:val="000000"/>
          <w:sz w:val="24"/>
          <w:szCs w:val="24"/>
        </w:rPr>
        <w:t>对采集的样本进行前处理和存储，并注明样本的检测信息，如：患者基本信息，样本类型、项目名称、采集时间等。</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 xml:space="preserve">2.2 </w:t>
      </w:r>
      <w:r w:rsidR="00CE0C08">
        <w:rPr>
          <w:rFonts w:ascii="宋体" w:eastAsia="宋体" w:hAnsi="宋体" w:hint="eastAsia"/>
          <w:color w:val="000000"/>
          <w:sz w:val="24"/>
          <w:szCs w:val="24"/>
        </w:rPr>
        <w:t>院方</w:t>
      </w:r>
      <w:r w:rsidRPr="00EB193B">
        <w:rPr>
          <w:rFonts w:ascii="宋体" w:eastAsia="宋体" w:hAnsi="宋体"/>
          <w:color w:val="000000"/>
          <w:sz w:val="24"/>
          <w:szCs w:val="24"/>
        </w:rPr>
        <w:t>将样本统一收集存放在指定地点，安排人员与</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进行样本的交接、签收工作。</w:t>
      </w:r>
      <w:r w:rsidR="00CE0C08">
        <w:rPr>
          <w:rFonts w:ascii="宋体" w:eastAsia="宋体" w:hAnsi="宋体" w:hint="eastAsia"/>
          <w:color w:val="000000"/>
          <w:sz w:val="24"/>
          <w:szCs w:val="24"/>
        </w:rPr>
        <w:t>院方</w:t>
      </w:r>
      <w:r w:rsidRPr="00EB193B">
        <w:rPr>
          <w:rFonts w:ascii="宋体" w:eastAsia="宋体" w:hAnsi="宋体"/>
          <w:color w:val="000000"/>
          <w:sz w:val="24"/>
          <w:szCs w:val="24"/>
        </w:rPr>
        <w:t>收集样本所需的耗材由</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提供。</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2.</w:t>
      </w:r>
      <w:r w:rsidRPr="00EB193B">
        <w:rPr>
          <w:rFonts w:ascii="宋体" w:eastAsia="宋体" w:hAnsi="宋体" w:hint="eastAsia"/>
          <w:color w:val="000000"/>
          <w:sz w:val="24"/>
          <w:szCs w:val="24"/>
        </w:rPr>
        <w:t>3</w:t>
      </w:r>
      <w:r w:rsidRPr="00EB193B">
        <w:rPr>
          <w:rFonts w:ascii="宋体" w:eastAsia="宋体" w:hAnsi="宋体"/>
          <w:color w:val="000000"/>
          <w:sz w:val="24"/>
          <w:szCs w:val="24"/>
        </w:rPr>
        <w:t xml:space="preserve"> 样本的保存：</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应按国家和行业标准对样本进行保存。</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2.</w:t>
      </w:r>
      <w:r w:rsidRPr="00EB193B">
        <w:rPr>
          <w:rFonts w:ascii="宋体" w:eastAsia="宋体" w:hAnsi="宋体" w:hint="eastAsia"/>
          <w:color w:val="000000"/>
          <w:sz w:val="24"/>
          <w:szCs w:val="24"/>
        </w:rPr>
        <w:t>4</w:t>
      </w:r>
      <w:r w:rsidRPr="00EB193B">
        <w:rPr>
          <w:rFonts w:ascii="宋体" w:eastAsia="宋体" w:hAnsi="宋体"/>
          <w:color w:val="000000"/>
          <w:sz w:val="24"/>
          <w:szCs w:val="24"/>
        </w:rPr>
        <w:t>如</w:t>
      </w:r>
      <w:r w:rsidR="00CE0C08">
        <w:rPr>
          <w:rFonts w:ascii="宋体" w:eastAsia="宋体" w:hAnsi="宋体" w:hint="eastAsia"/>
          <w:color w:val="000000"/>
          <w:sz w:val="24"/>
          <w:szCs w:val="24"/>
        </w:rPr>
        <w:t>院方</w:t>
      </w:r>
      <w:r w:rsidRPr="00EB193B">
        <w:rPr>
          <w:rFonts w:ascii="宋体" w:eastAsia="宋体" w:hAnsi="宋体"/>
          <w:color w:val="000000"/>
          <w:sz w:val="24"/>
          <w:szCs w:val="24"/>
        </w:rPr>
        <w:t>对检测结果有异议，并在样本保存有效期内提出，</w:t>
      </w:r>
      <w:r w:rsidR="00CE0C08">
        <w:rPr>
          <w:rFonts w:ascii="宋体" w:eastAsia="宋体" w:hAnsi="宋体" w:hint="eastAsia"/>
          <w:color w:val="000000"/>
          <w:sz w:val="24"/>
          <w:szCs w:val="24"/>
        </w:rPr>
        <w:t>供应商</w:t>
      </w:r>
      <w:r w:rsidRPr="00EB193B">
        <w:rPr>
          <w:rFonts w:ascii="宋体" w:eastAsia="宋体" w:hAnsi="宋体"/>
          <w:color w:val="000000"/>
          <w:sz w:val="24"/>
          <w:szCs w:val="24"/>
        </w:rPr>
        <w:t>应无条件免费重新检测。</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3、运输冷链系统要求</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3.1所有样本的运送必须符合样本温度的管理要求，采用相应的冷链运送技术，特殊标本运输过程中需干冰冻存。</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3.2所有样本运送必须采用符合相关标准的冷链物流车或转送车辆及冷链物流箱，冷链物流车或转送车辆及冷链物流箱配备数量满足标本转送要求。</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3.3提供可实时监控物流各个环节的温度的系统和终端设备，能够对物流的全程进行温度监控、报警及记录，能够对整个过程进行溯源管理，并能够提交相</w:t>
      </w:r>
      <w:r w:rsidRPr="00EB193B">
        <w:rPr>
          <w:rFonts w:ascii="宋体" w:eastAsia="宋体" w:hAnsi="宋体"/>
          <w:color w:val="000000"/>
          <w:sz w:val="24"/>
          <w:szCs w:val="24"/>
        </w:rPr>
        <w:lastRenderedPageBreak/>
        <w:t>关记录的纸质文档，以留档备查。一年3</w:t>
      </w:r>
      <w:r w:rsidR="00CE0C08">
        <w:rPr>
          <w:rFonts w:ascii="宋体" w:eastAsia="宋体" w:hAnsi="宋体"/>
          <w:color w:val="000000"/>
          <w:sz w:val="24"/>
          <w:szCs w:val="24"/>
        </w:rPr>
        <w:t>次以上无法进行运送温度溯源，</w:t>
      </w:r>
      <w:r w:rsidR="00CE0C08">
        <w:rPr>
          <w:rFonts w:ascii="宋体" w:eastAsia="宋体" w:hAnsi="宋体" w:hint="eastAsia"/>
          <w:color w:val="000000"/>
          <w:sz w:val="24"/>
          <w:szCs w:val="24"/>
        </w:rPr>
        <w:t>院方</w:t>
      </w:r>
      <w:r w:rsidRPr="00EB193B">
        <w:rPr>
          <w:rFonts w:ascii="宋体" w:eastAsia="宋体" w:hAnsi="宋体"/>
          <w:color w:val="000000"/>
          <w:sz w:val="24"/>
          <w:szCs w:val="24"/>
        </w:rPr>
        <w:t>有权终止合同，并追究相关损失。</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color w:val="000000"/>
          <w:sz w:val="24"/>
          <w:szCs w:val="24"/>
        </w:rPr>
        <w:t>3.4</w:t>
      </w:r>
      <w:r w:rsidR="000D3396">
        <w:rPr>
          <w:rFonts w:ascii="宋体" w:eastAsia="宋体" w:hAnsi="宋体" w:hint="eastAsia"/>
          <w:color w:val="000000"/>
          <w:sz w:val="24"/>
          <w:szCs w:val="24"/>
        </w:rPr>
        <w:t>供应商</w:t>
      </w:r>
      <w:r w:rsidRPr="00EB193B">
        <w:rPr>
          <w:rFonts w:ascii="宋体" w:eastAsia="宋体" w:hAnsi="宋体"/>
          <w:color w:val="000000"/>
          <w:sz w:val="24"/>
          <w:szCs w:val="24"/>
        </w:rPr>
        <w:t>负责全程冷链运送现有的标本。（根据不同标本及项目要求，使用室温或冷链运送标本）</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4、</w:t>
      </w:r>
      <w:r w:rsidRPr="00EB193B">
        <w:rPr>
          <w:rFonts w:ascii="宋体" w:eastAsia="宋体" w:hAnsi="宋体"/>
          <w:color w:val="000000"/>
          <w:sz w:val="24"/>
          <w:szCs w:val="24"/>
        </w:rPr>
        <w:t>报告时间延迟半天扣检测费的50%，延迟一天检测</w:t>
      </w:r>
      <w:r w:rsidR="00C31607">
        <w:rPr>
          <w:rFonts w:ascii="宋体" w:eastAsia="宋体" w:hAnsi="宋体"/>
          <w:color w:val="000000"/>
          <w:sz w:val="24"/>
          <w:szCs w:val="24"/>
        </w:rPr>
        <w:t>费减免，如造成投诉纠纷需承担相应责任。五次以上延迟报告的，</w:t>
      </w:r>
      <w:r w:rsidR="00C31607">
        <w:rPr>
          <w:rFonts w:ascii="宋体" w:eastAsia="宋体" w:hAnsi="宋体" w:hint="eastAsia"/>
          <w:color w:val="000000"/>
          <w:sz w:val="24"/>
          <w:szCs w:val="24"/>
        </w:rPr>
        <w:t>院方</w:t>
      </w:r>
      <w:r w:rsidR="00C31607">
        <w:rPr>
          <w:rFonts w:ascii="宋体" w:eastAsia="宋体" w:hAnsi="宋体"/>
          <w:color w:val="000000"/>
          <w:sz w:val="24"/>
          <w:szCs w:val="24"/>
        </w:rPr>
        <w:t>有权</w:t>
      </w:r>
      <w:r w:rsidR="00CE4BE8">
        <w:rPr>
          <w:rFonts w:ascii="宋体" w:eastAsia="宋体" w:hAnsi="宋体" w:hint="eastAsia"/>
          <w:color w:val="000000"/>
          <w:sz w:val="24"/>
          <w:szCs w:val="24"/>
        </w:rPr>
        <w:t>提前</w:t>
      </w:r>
      <w:r w:rsidRPr="00EB193B">
        <w:rPr>
          <w:rFonts w:ascii="宋体" w:eastAsia="宋体" w:hAnsi="宋体"/>
          <w:color w:val="000000"/>
          <w:sz w:val="24"/>
          <w:szCs w:val="24"/>
        </w:rPr>
        <w:t>解除合同。</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5、</w:t>
      </w:r>
      <w:r w:rsidRPr="00EB193B">
        <w:rPr>
          <w:rFonts w:ascii="宋体" w:eastAsia="宋体" w:hAnsi="宋体"/>
          <w:color w:val="000000"/>
          <w:sz w:val="24"/>
          <w:szCs w:val="24"/>
        </w:rPr>
        <w:t>检测结果的准确性：对结果明显有差异的，供应商应无条件免费复查。</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6</w:t>
      </w:r>
      <w:r w:rsidR="00E86A94">
        <w:rPr>
          <w:rFonts w:ascii="宋体" w:eastAsia="宋体" w:hAnsi="宋体" w:hint="eastAsia"/>
          <w:color w:val="000000"/>
          <w:sz w:val="24"/>
          <w:szCs w:val="24"/>
        </w:rPr>
        <w:t>、供应商</w:t>
      </w:r>
      <w:r w:rsidRPr="00EB193B">
        <w:rPr>
          <w:rFonts w:ascii="宋体" w:eastAsia="宋体" w:hAnsi="宋体"/>
          <w:color w:val="000000"/>
          <w:sz w:val="24"/>
          <w:szCs w:val="24"/>
        </w:rPr>
        <w:t>对检验结果负责，因检验结果问题引起的医疗纠纷，对患方的所有赔（补）偿费用完全由</w:t>
      </w:r>
      <w:r w:rsidR="00E86A94">
        <w:rPr>
          <w:rFonts w:ascii="宋体" w:eastAsia="宋体" w:hAnsi="宋体" w:hint="eastAsia"/>
          <w:color w:val="000000"/>
          <w:sz w:val="24"/>
          <w:szCs w:val="24"/>
        </w:rPr>
        <w:t>供应商</w:t>
      </w:r>
      <w:r w:rsidRPr="00EB193B">
        <w:rPr>
          <w:rFonts w:ascii="宋体" w:eastAsia="宋体" w:hAnsi="宋体"/>
          <w:color w:val="000000"/>
          <w:sz w:val="24"/>
          <w:szCs w:val="24"/>
        </w:rPr>
        <w:t>支付，同时</w:t>
      </w:r>
      <w:r w:rsidR="00E86A94">
        <w:rPr>
          <w:rFonts w:ascii="宋体" w:eastAsia="宋体" w:hAnsi="宋体" w:hint="eastAsia"/>
          <w:color w:val="000000"/>
          <w:sz w:val="24"/>
          <w:szCs w:val="24"/>
        </w:rPr>
        <w:t>供应商</w:t>
      </w:r>
      <w:r w:rsidRPr="00EB193B">
        <w:rPr>
          <w:rFonts w:ascii="宋体" w:eastAsia="宋体" w:hAnsi="宋体"/>
          <w:color w:val="000000"/>
          <w:sz w:val="24"/>
          <w:szCs w:val="24"/>
        </w:rPr>
        <w:t>应对</w:t>
      </w:r>
      <w:r w:rsidR="00E86A94">
        <w:rPr>
          <w:rFonts w:ascii="宋体" w:eastAsia="宋体" w:hAnsi="宋体" w:hint="eastAsia"/>
          <w:color w:val="000000"/>
          <w:sz w:val="24"/>
          <w:szCs w:val="24"/>
        </w:rPr>
        <w:t>院方</w:t>
      </w:r>
      <w:r w:rsidRPr="00EB193B">
        <w:rPr>
          <w:rFonts w:ascii="宋体" w:eastAsia="宋体" w:hAnsi="宋体"/>
          <w:color w:val="000000"/>
          <w:sz w:val="24"/>
          <w:szCs w:val="24"/>
        </w:rPr>
        <w:t>进行相应赔偿。</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7</w:t>
      </w:r>
      <w:r w:rsidR="00E86A94">
        <w:rPr>
          <w:rFonts w:ascii="宋体" w:eastAsia="宋体" w:hAnsi="宋体" w:hint="eastAsia"/>
          <w:color w:val="000000"/>
          <w:sz w:val="24"/>
          <w:szCs w:val="24"/>
        </w:rPr>
        <w:t>、供应商</w:t>
      </w:r>
      <w:r w:rsidRPr="00EB193B">
        <w:rPr>
          <w:rFonts w:ascii="宋体" w:eastAsia="宋体" w:hAnsi="宋体"/>
          <w:color w:val="000000"/>
          <w:sz w:val="24"/>
          <w:szCs w:val="24"/>
        </w:rPr>
        <w:t>要做好与</w:t>
      </w:r>
      <w:r w:rsidR="00E86A94">
        <w:rPr>
          <w:rFonts w:ascii="宋体" w:eastAsia="宋体" w:hAnsi="宋体" w:hint="eastAsia"/>
          <w:color w:val="000000"/>
          <w:sz w:val="24"/>
          <w:szCs w:val="24"/>
        </w:rPr>
        <w:t>院方</w:t>
      </w:r>
      <w:r w:rsidRPr="00EB193B">
        <w:rPr>
          <w:rFonts w:ascii="宋体" w:eastAsia="宋体" w:hAnsi="宋体"/>
          <w:color w:val="000000"/>
          <w:sz w:val="24"/>
          <w:szCs w:val="24"/>
        </w:rPr>
        <w:t>相关科室的信息双向对接，同时负责提供相应软硬件服务，按相关科室意见加以改进，并需在合同规定期限内完成安装、调试。</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8、</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应根据</w:t>
      </w:r>
      <w:r w:rsidR="000D2AED">
        <w:rPr>
          <w:rFonts w:ascii="宋体" w:eastAsia="宋体" w:hAnsi="宋体" w:hint="eastAsia"/>
          <w:color w:val="000000"/>
          <w:sz w:val="24"/>
          <w:szCs w:val="24"/>
        </w:rPr>
        <w:t>院方</w:t>
      </w:r>
      <w:r w:rsidRPr="00EB193B">
        <w:rPr>
          <w:rFonts w:ascii="宋体" w:eastAsia="宋体" w:hAnsi="宋体"/>
          <w:color w:val="000000"/>
          <w:sz w:val="24"/>
          <w:szCs w:val="24"/>
        </w:rPr>
        <w:t>的要求，为</w:t>
      </w:r>
      <w:r w:rsidR="000D2AED">
        <w:rPr>
          <w:rFonts w:ascii="宋体" w:eastAsia="宋体" w:hAnsi="宋体" w:hint="eastAsia"/>
          <w:color w:val="000000"/>
          <w:sz w:val="24"/>
          <w:szCs w:val="24"/>
        </w:rPr>
        <w:t>院方</w:t>
      </w:r>
      <w:r w:rsidRPr="00EB193B">
        <w:rPr>
          <w:rFonts w:ascii="宋体" w:eastAsia="宋体" w:hAnsi="宋体"/>
          <w:color w:val="000000"/>
          <w:sz w:val="24"/>
          <w:szCs w:val="24"/>
        </w:rPr>
        <w:t>提供分析前样本的质量控制等相关内容的培训服务，按照</w:t>
      </w:r>
      <w:r w:rsidR="000D2AED">
        <w:rPr>
          <w:rFonts w:ascii="宋体" w:eastAsia="宋体" w:hAnsi="宋体" w:hint="eastAsia"/>
          <w:color w:val="000000"/>
          <w:sz w:val="24"/>
          <w:szCs w:val="24"/>
        </w:rPr>
        <w:t>院方</w:t>
      </w:r>
      <w:r w:rsidRPr="00EB193B">
        <w:rPr>
          <w:rFonts w:ascii="宋体" w:eastAsia="宋体" w:hAnsi="宋体"/>
          <w:color w:val="000000"/>
          <w:sz w:val="24"/>
          <w:szCs w:val="24"/>
        </w:rPr>
        <w:t>的要求维护所有必需的质量控制项目，每季度提交质量控制数据记录。</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9、</w:t>
      </w:r>
      <w:r w:rsidR="00266948">
        <w:rPr>
          <w:rFonts w:ascii="宋体" w:eastAsia="宋体" w:hAnsi="宋体" w:hint="eastAsia"/>
          <w:color w:val="000000"/>
          <w:sz w:val="24"/>
          <w:szCs w:val="24"/>
        </w:rPr>
        <w:t>服务</w:t>
      </w:r>
      <w:bookmarkStart w:id="0" w:name="_GoBack"/>
      <w:bookmarkEnd w:id="0"/>
      <w:r w:rsidRPr="00EB193B">
        <w:rPr>
          <w:rFonts w:ascii="宋体" w:eastAsia="宋体" w:hAnsi="宋体"/>
          <w:color w:val="000000"/>
          <w:sz w:val="24"/>
          <w:szCs w:val="24"/>
        </w:rPr>
        <w:t>期内，</w:t>
      </w:r>
      <w:r w:rsidR="000D2AED">
        <w:rPr>
          <w:rFonts w:ascii="宋体" w:eastAsia="宋体" w:hAnsi="宋体" w:hint="eastAsia"/>
          <w:color w:val="000000"/>
          <w:sz w:val="24"/>
          <w:szCs w:val="24"/>
        </w:rPr>
        <w:t>院方</w:t>
      </w:r>
      <w:r w:rsidRPr="00EB193B">
        <w:rPr>
          <w:rFonts w:ascii="宋体" w:eastAsia="宋体" w:hAnsi="宋体"/>
          <w:color w:val="000000"/>
          <w:sz w:val="24"/>
          <w:szCs w:val="24"/>
        </w:rPr>
        <w:t>根据临床工作的发展，对有能力自行开展检测的项目，</w:t>
      </w:r>
      <w:r w:rsidR="009E4C64">
        <w:rPr>
          <w:rFonts w:ascii="宋体" w:eastAsia="宋体" w:hAnsi="宋体" w:hint="eastAsia"/>
          <w:color w:val="000000"/>
          <w:sz w:val="24"/>
          <w:szCs w:val="24"/>
        </w:rPr>
        <w:t>院方</w:t>
      </w:r>
      <w:r w:rsidRPr="00EB193B">
        <w:rPr>
          <w:rFonts w:ascii="宋体" w:eastAsia="宋体" w:hAnsi="宋体"/>
          <w:color w:val="000000"/>
          <w:sz w:val="24"/>
          <w:szCs w:val="24"/>
        </w:rPr>
        <w:t>可自行检测，不再委托</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进行检测。</w:t>
      </w:r>
      <w:r w:rsidRPr="00EB193B">
        <w:rPr>
          <w:rFonts w:ascii="宋体" w:eastAsia="宋体" w:hAnsi="宋体" w:hint="eastAsia"/>
          <w:color w:val="000000"/>
          <w:sz w:val="24"/>
          <w:szCs w:val="24"/>
        </w:rPr>
        <w:t>或者根据临床工作的新需求开展新项目，</w:t>
      </w:r>
      <w:r w:rsidR="000D2AED">
        <w:rPr>
          <w:rFonts w:ascii="宋体" w:eastAsia="宋体" w:hAnsi="宋体" w:hint="eastAsia"/>
          <w:color w:val="000000"/>
          <w:sz w:val="24"/>
          <w:szCs w:val="24"/>
        </w:rPr>
        <w:t>供应商</w:t>
      </w:r>
      <w:r w:rsidRPr="00EB193B">
        <w:rPr>
          <w:rFonts w:ascii="宋体" w:eastAsia="宋体" w:hAnsi="宋体" w:hint="eastAsia"/>
          <w:color w:val="000000"/>
          <w:sz w:val="24"/>
          <w:szCs w:val="24"/>
        </w:rPr>
        <w:t>有能力开展的，</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应同意</w:t>
      </w:r>
      <w:r w:rsidRPr="00EB193B">
        <w:rPr>
          <w:rFonts w:ascii="宋体" w:eastAsia="宋体" w:hAnsi="宋体" w:hint="eastAsia"/>
          <w:color w:val="000000"/>
          <w:sz w:val="24"/>
          <w:szCs w:val="24"/>
        </w:rPr>
        <w:t>开展。不论委托</w:t>
      </w:r>
      <w:r w:rsidR="000D2AED">
        <w:rPr>
          <w:rFonts w:ascii="宋体" w:eastAsia="宋体" w:hAnsi="宋体" w:hint="eastAsia"/>
          <w:color w:val="000000"/>
          <w:sz w:val="24"/>
          <w:szCs w:val="24"/>
        </w:rPr>
        <w:t>供应商</w:t>
      </w:r>
      <w:r w:rsidRPr="00EB193B">
        <w:rPr>
          <w:rFonts w:ascii="宋体" w:eastAsia="宋体" w:hAnsi="宋体" w:hint="eastAsia"/>
          <w:color w:val="000000"/>
          <w:sz w:val="24"/>
          <w:szCs w:val="24"/>
        </w:rPr>
        <w:t>开展的项目是否调整，</w:t>
      </w:r>
      <w:r w:rsidR="000D2AED">
        <w:rPr>
          <w:rFonts w:ascii="宋体" w:eastAsia="宋体" w:hAnsi="宋体" w:hint="eastAsia"/>
          <w:color w:val="000000"/>
          <w:sz w:val="24"/>
          <w:szCs w:val="24"/>
        </w:rPr>
        <w:t>供应商</w:t>
      </w:r>
      <w:r w:rsidRPr="00EB193B">
        <w:rPr>
          <w:rFonts w:ascii="宋体" w:eastAsia="宋体" w:hAnsi="宋体" w:hint="eastAsia"/>
          <w:color w:val="000000"/>
          <w:sz w:val="24"/>
          <w:szCs w:val="24"/>
        </w:rPr>
        <w:t>都应</w:t>
      </w:r>
      <w:r w:rsidRPr="00EB193B">
        <w:rPr>
          <w:rFonts w:ascii="宋体" w:eastAsia="宋体" w:hAnsi="宋体"/>
          <w:color w:val="000000"/>
          <w:sz w:val="24"/>
          <w:szCs w:val="24"/>
        </w:rPr>
        <w:t>按已签订合同的折扣执行。</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10、</w:t>
      </w:r>
      <w:r w:rsidR="009E4C64">
        <w:rPr>
          <w:rFonts w:ascii="宋体" w:eastAsia="宋体" w:hAnsi="宋体" w:hint="eastAsia"/>
          <w:color w:val="000000"/>
          <w:sz w:val="24"/>
          <w:szCs w:val="24"/>
        </w:rPr>
        <w:t>院方</w:t>
      </w:r>
      <w:r w:rsidRPr="00EB193B">
        <w:rPr>
          <w:rFonts w:ascii="宋体" w:eastAsia="宋体" w:hAnsi="宋体"/>
          <w:color w:val="000000"/>
          <w:sz w:val="24"/>
          <w:szCs w:val="24"/>
        </w:rPr>
        <w:t>将不定期组织专家至</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现场检查、督导并查看试剂、设备等采购相关台账，如发现</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存在提供虚假信息或未经院方同意私自更改使用试剂的品牌和检验项目的方法学等现象，</w:t>
      </w:r>
      <w:r w:rsidR="009E4C64">
        <w:rPr>
          <w:rFonts w:ascii="宋体" w:eastAsia="宋体" w:hAnsi="宋体" w:hint="eastAsia"/>
          <w:color w:val="000000"/>
          <w:sz w:val="24"/>
          <w:szCs w:val="24"/>
        </w:rPr>
        <w:t>院方</w:t>
      </w:r>
      <w:r w:rsidRPr="00EB193B">
        <w:rPr>
          <w:rFonts w:ascii="宋体" w:eastAsia="宋体" w:hAnsi="宋体"/>
          <w:color w:val="000000"/>
          <w:sz w:val="24"/>
          <w:szCs w:val="24"/>
        </w:rPr>
        <w:t>有权立即终止合同，</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需按已做项目的收费金额赔偿院方，并承担所有相关违约责任。</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11、</w:t>
      </w:r>
      <w:r w:rsidR="009E4C64">
        <w:rPr>
          <w:rFonts w:ascii="宋体" w:eastAsia="宋体" w:hAnsi="宋体" w:hint="eastAsia"/>
          <w:color w:val="000000"/>
          <w:sz w:val="24"/>
          <w:szCs w:val="24"/>
        </w:rPr>
        <w:t>院方</w:t>
      </w:r>
      <w:r w:rsidRPr="00EB193B">
        <w:rPr>
          <w:rFonts w:ascii="宋体" w:eastAsia="宋体" w:hAnsi="宋体"/>
          <w:color w:val="000000"/>
          <w:sz w:val="24"/>
          <w:szCs w:val="24"/>
        </w:rPr>
        <w:t>有权利在合同期内对</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从合同、实验室资质、实验室安全、员工档案、标本全程管理、仪器设备管理、试剂耗材管理、质量保证、结果报告和售后服务10个方面进行评估，并提出整改意见。</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12</w:t>
      </w:r>
      <w:r w:rsidRPr="00EB193B">
        <w:rPr>
          <w:rFonts w:ascii="宋体" w:eastAsia="宋体" w:hAnsi="宋体"/>
          <w:color w:val="000000"/>
          <w:sz w:val="24"/>
          <w:szCs w:val="24"/>
        </w:rPr>
        <w:t>、样本交接及运送过程必须符合样本的安全管理要求。</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13</w:t>
      </w:r>
      <w:r w:rsidRPr="00EB193B">
        <w:rPr>
          <w:rFonts w:ascii="宋体" w:eastAsia="宋体" w:hAnsi="宋体"/>
          <w:color w:val="000000"/>
          <w:sz w:val="24"/>
          <w:szCs w:val="24"/>
        </w:rPr>
        <w:t>、运输车辆拥有运输标本专业设备，可以应对突发生物安全事件的现场处置</w:t>
      </w:r>
      <w:r w:rsidRPr="00EB193B">
        <w:rPr>
          <w:rFonts w:ascii="宋体" w:eastAsia="宋体" w:hAnsi="宋体" w:hint="eastAsia"/>
          <w:color w:val="000000"/>
          <w:sz w:val="24"/>
          <w:szCs w:val="24"/>
        </w:rPr>
        <w:t>，具备应急预案</w:t>
      </w:r>
      <w:r w:rsidRPr="00EB193B">
        <w:rPr>
          <w:rFonts w:ascii="宋体" w:eastAsia="宋体" w:hAnsi="宋体"/>
          <w:color w:val="000000"/>
          <w:sz w:val="24"/>
          <w:szCs w:val="24"/>
        </w:rPr>
        <w:t>。</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14</w:t>
      </w:r>
      <w:r w:rsidRPr="00EB193B">
        <w:rPr>
          <w:rFonts w:ascii="宋体" w:eastAsia="宋体" w:hAnsi="宋体"/>
          <w:color w:val="000000"/>
          <w:sz w:val="24"/>
          <w:szCs w:val="24"/>
        </w:rPr>
        <w:t>、</w:t>
      </w:r>
      <w:r w:rsidR="000D2AED">
        <w:rPr>
          <w:rFonts w:ascii="宋体" w:eastAsia="宋体" w:hAnsi="宋体" w:hint="eastAsia"/>
          <w:color w:val="000000"/>
          <w:sz w:val="24"/>
          <w:szCs w:val="24"/>
        </w:rPr>
        <w:t>供应商</w:t>
      </w:r>
      <w:r w:rsidRPr="00EB193B">
        <w:rPr>
          <w:rFonts w:ascii="宋体" w:eastAsia="宋体" w:hAnsi="宋体"/>
          <w:color w:val="000000"/>
          <w:sz w:val="24"/>
          <w:szCs w:val="24"/>
        </w:rPr>
        <w:t>在本项目服务期内，检测报告与医院网络系统对接，提供实施方案，相关软硬件及网络接口费用由</w:t>
      </w:r>
      <w:r w:rsidRPr="00EB193B">
        <w:rPr>
          <w:rFonts w:ascii="宋体" w:eastAsia="宋体" w:hAnsi="宋体" w:hint="eastAsia"/>
          <w:color w:val="000000"/>
          <w:sz w:val="24"/>
          <w:szCs w:val="24"/>
        </w:rPr>
        <w:t>乙方</w:t>
      </w:r>
      <w:r w:rsidRPr="00EB193B">
        <w:rPr>
          <w:rFonts w:ascii="宋体" w:eastAsia="宋体" w:hAnsi="宋体"/>
          <w:color w:val="000000"/>
          <w:sz w:val="24"/>
          <w:szCs w:val="24"/>
        </w:rPr>
        <w:t>承担。</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15、</w:t>
      </w:r>
      <w:r w:rsidR="000D2AED">
        <w:rPr>
          <w:rFonts w:ascii="宋体" w:eastAsia="宋体" w:hAnsi="宋体" w:hint="eastAsia"/>
          <w:color w:val="000000"/>
          <w:sz w:val="24"/>
          <w:szCs w:val="24"/>
        </w:rPr>
        <w:t>供应商</w:t>
      </w:r>
      <w:r w:rsidRPr="00EB193B">
        <w:rPr>
          <w:rFonts w:ascii="宋体" w:eastAsia="宋体" w:hAnsi="宋体" w:hint="eastAsia"/>
          <w:color w:val="000000"/>
          <w:sz w:val="24"/>
          <w:szCs w:val="24"/>
        </w:rPr>
        <w:t>的实验室质量管理完善，通过ISO15189认证，提供检测质量保证。</w:t>
      </w:r>
    </w:p>
    <w:p w:rsidR="007619E3" w:rsidRPr="00EB193B" w:rsidRDefault="007619E3" w:rsidP="007619E3">
      <w:pPr>
        <w:spacing w:line="360" w:lineRule="auto"/>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16、实验室具备满足本项目开展的各类仪器设备和试剂耗材。</w:t>
      </w:r>
    </w:p>
    <w:p w:rsidR="00740E04" w:rsidRPr="00EB193B" w:rsidRDefault="00D7019D" w:rsidP="007619E3">
      <w:pPr>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四、商务要求</w:t>
      </w:r>
    </w:p>
    <w:p w:rsidR="00D7019D" w:rsidRPr="00EB193B" w:rsidRDefault="00D7019D" w:rsidP="007619E3">
      <w:pPr>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1、投标价：</w:t>
      </w:r>
      <w:r w:rsidRPr="00EB193B">
        <w:rPr>
          <w:rFonts w:ascii="宋体" w:eastAsia="宋体" w:hAnsi="宋体"/>
          <w:color w:val="000000"/>
          <w:sz w:val="24"/>
          <w:szCs w:val="24"/>
        </w:rPr>
        <w:t>本次招标的检测项目占浙江省医疗服务价格收费标准的百分比。所有检测项目的折扣均须一致。</w:t>
      </w:r>
    </w:p>
    <w:p w:rsidR="00D7019D" w:rsidRPr="00EB193B" w:rsidRDefault="00D7019D" w:rsidP="007619E3">
      <w:pPr>
        <w:ind w:firstLineChars="200" w:firstLine="480"/>
        <w:rPr>
          <w:rFonts w:ascii="宋体" w:eastAsia="宋体" w:hAnsi="宋体"/>
          <w:color w:val="000000"/>
          <w:sz w:val="24"/>
          <w:szCs w:val="24"/>
        </w:rPr>
      </w:pPr>
      <w:r w:rsidRPr="00EB193B">
        <w:rPr>
          <w:rFonts w:ascii="宋体" w:eastAsia="宋体" w:hAnsi="宋体"/>
          <w:color w:val="000000"/>
          <w:sz w:val="24"/>
          <w:szCs w:val="24"/>
        </w:rPr>
        <w:t xml:space="preserve">标本外送检测服务费的收取具体为：标本外送检测服务费=外送检验项目医院收入×投标价。 </w:t>
      </w:r>
    </w:p>
    <w:p w:rsidR="00D7019D" w:rsidRPr="00EB193B" w:rsidRDefault="00D7019D" w:rsidP="007619E3">
      <w:pPr>
        <w:ind w:firstLineChars="200" w:firstLine="480"/>
        <w:rPr>
          <w:rFonts w:ascii="宋体" w:eastAsia="宋体" w:hAnsi="宋体"/>
          <w:color w:val="000000"/>
          <w:sz w:val="24"/>
          <w:szCs w:val="24"/>
        </w:rPr>
      </w:pPr>
      <w:r w:rsidRPr="00EB193B">
        <w:rPr>
          <w:rFonts w:ascii="宋体" w:eastAsia="宋体" w:hAnsi="宋体"/>
          <w:color w:val="000000"/>
          <w:sz w:val="24"/>
          <w:szCs w:val="24"/>
        </w:rPr>
        <w:t xml:space="preserve">核算的唯一标准是浙江省医疗服务行业物价收费标准。 </w:t>
      </w:r>
    </w:p>
    <w:p w:rsidR="00D7019D" w:rsidRPr="00EB193B" w:rsidRDefault="00D7019D" w:rsidP="007619E3">
      <w:pPr>
        <w:ind w:firstLineChars="200" w:firstLine="480"/>
        <w:rPr>
          <w:rFonts w:ascii="宋体" w:eastAsia="宋体" w:hAnsi="宋体"/>
          <w:color w:val="000000"/>
          <w:sz w:val="24"/>
          <w:szCs w:val="24"/>
        </w:rPr>
      </w:pPr>
      <w:r w:rsidRPr="00EB193B">
        <w:rPr>
          <w:rFonts w:ascii="宋体" w:eastAsia="宋体" w:hAnsi="宋体"/>
          <w:color w:val="000000"/>
          <w:sz w:val="24"/>
          <w:szCs w:val="24"/>
        </w:rPr>
        <w:t>除政策调整因素外，合同期内投标价不能调整。 检测服务费包括但不限于样本采集、运输服务，配套车辆设备，配备服务人员，售后服务，质量 监控信息，外送标本检测成本等完成本项目所产生的一切费用，医院除标本外送检测服务费，不再另</w:t>
      </w:r>
      <w:r w:rsidRPr="00EB193B">
        <w:rPr>
          <w:rFonts w:ascii="宋体" w:eastAsia="宋体" w:hAnsi="宋体" w:hint="eastAsia"/>
          <w:color w:val="000000"/>
          <w:sz w:val="24"/>
          <w:szCs w:val="24"/>
        </w:rPr>
        <w:t>外支付任何其他费用。</w:t>
      </w:r>
    </w:p>
    <w:p w:rsidR="00D7019D" w:rsidRDefault="00D7019D" w:rsidP="007619E3">
      <w:pPr>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2、服务期：3年</w:t>
      </w: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7C07EC" w:rsidRDefault="007C07EC" w:rsidP="007619E3">
      <w:pPr>
        <w:ind w:firstLineChars="200" w:firstLine="480"/>
        <w:rPr>
          <w:rFonts w:ascii="宋体" w:eastAsia="宋体" w:hAnsi="宋体"/>
          <w:color w:val="000000"/>
          <w:sz w:val="24"/>
          <w:szCs w:val="24"/>
        </w:rPr>
      </w:pPr>
    </w:p>
    <w:p w:rsidR="00D7019D" w:rsidRDefault="00D7019D" w:rsidP="007619E3">
      <w:pPr>
        <w:ind w:firstLineChars="200" w:firstLine="480"/>
        <w:rPr>
          <w:rFonts w:ascii="宋体" w:eastAsia="宋体" w:hAnsi="宋体"/>
          <w:color w:val="000000"/>
          <w:sz w:val="24"/>
          <w:szCs w:val="24"/>
        </w:rPr>
      </w:pPr>
      <w:r w:rsidRPr="00EB193B">
        <w:rPr>
          <w:rFonts w:ascii="宋体" w:eastAsia="宋体" w:hAnsi="宋体" w:hint="eastAsia"/>
          <w:color w:val="000000"/>
          <w:sz w:val="24"/>
          <w:szCs w:val="24"/>
        </w:rPr>
        <w:t>附件：外送检测项目清单</w:t>
      </w:r>
    </w:p>
    <w:tbl>
      <w:tblPr>
        <w:tblW w:w="10773" w:type="dxa"/>
        <w:tblInd w:w="-1026" w:type="dxa"/>
        <w:tblLayout w:type="fixed"/>
        <w:tblLook w:val="04A0" w:firstRow="1" w:lastRow="0" w:firstColumn="1" w:lastColumn="0" w:noHBand="0" w:noVBand="1"/>
      </w:tblPr>
      <w:tblGrid>
        <w:gridCol w:w="850"/>
        <w:gridCol w:w="2836"/>
        <w:gridCol w:w="3685"/>
        <w:gridCol w:w="1560"/>
        <w:gridCol w:w="1842"/>
      </w:tblGrid>
      <w:tr w:rsidR="007C07EC" w:rsidRPr="00D00159" w:rsidTr="003D28BC">
        <w:trPr>
          <w:trHeight w:val="62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仿宋" w:eastAsia="仿宋" w:hAnsi="仿宋" w:cs="仿宋"/>
                <w:b/>
                <w:bCs/>
                <w:sz w:val="24"/>
              </w:rPr>
            </w:pPr>
            <w:r w:rsidRPr="00D00159">
              <w:rPr>
                <w:rFonts w:ascii="仿宋" w:eastAsia="仿宋" w:hAnsi="仿宋" w:cs="仿宋" w:hint="eastAsia"/>
                <w:b/>
                <w:bCs/>
                <w:kern w:val="0"/>
                <w:sz w:val="24"/>
              </w:rPr>
              <w:t>编号</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仿宋" w:eastAsia="仿宋" w:hAnsi="仿宋" w:cs="仿宋"/>
                <w:b/>
                <w:bCs/>
                <w:sz w:val="24"/>
              </w:rPr>
            </w:pPr>
            <w:r w:rsidRPr="00D00159">
              <w:rPr>
                <w:rFonts w:ascii="仿宋" w:eastAsia="仿宋" w:hAnsi="仿宋" w:cs="仿宋" w:hint="eastAsia"/>
                <w:b/>
                <w:bCs/>
                <w:kern w:val="0"/>
                <w:sz w:val="24"/>
              </w:rPr>
              <w:t>项目内容</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仿宋" w:eastAsia="仿宋" w:hAnsi="仿宋" w:cs="仿宋"/>
                <w:b/>
                <w:bCs/>
                <w:sz w:val="24"/>
              </w:rPr>
            </w:pPr>
            <w:r w:rsidRPr="00D00159">
              <w:rPr>
                <w:rFonts w:ascii="仿宋" w:eastAsia="仿宋" w:hAnsi="仿宋" w:cs="仿宋" w:hint="eastAsia"/>
                <w:b/>
                <w:bCs/>
                <w:kern w:val="0"/>
                <w:sz w:val="24"/>
              </w:rPr>
              <w:t>物价编码内容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仿宋" w:eastAsia="仿宋" w:hAnsi="仿宋" w:cs="仿宋"/>
                <w:b/>
                <w:bCs/>
                <w:sz w:val="24"/>
              </w:rPr>
            </w:pPr>
            <w:r w:rsidRPr="00D00159">
              <w:rPr>
                <w:rFonts w:ascii="仿宋" w:eastAsia="仿宋" w:hAnsi="仿宋" w:cs="仿宋" w:hint="eastAsia"/>
                <w:b/>
                <w:bCs/>
                <w:kern w:val="0"/>
                <w:sz w:val="24"/>
              </w:rPr>
              <w:t>医院收费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仿宋" w:eastAsia="仿宋" w:hAnsi="仿宋" w:cs="仿宋"/>
                <w:b/>
                <w:bCs/>
                <w:sz w:val="24"/>
              </w:rPr>
            </w:pPr>
            <w:r w:rsidRPr="00D00159">
              <w:rPr>
                <w:rFonts w:ascii="仿宋" w:eastAsia="仿宋" w:hAnsi="仿宋" w:cs="仿宋" w:hint="eastAsia"/>
                <w:b/>
                <w:bCs/>
                <w:kern w:val="0"/>
                <w:sz w:val="24"/>
              </w:rPr>
              <w:t>标本类型</w:t>
            </w:r>
          </w:p>
        </w:tc>
      </w:tr>
      <w:tr w:rsidR="007C07EC" w:rsidRPr="00D00159" w:rsidTr="003D28BC">
        <w:trPr>
          <w:trHeight w:val="31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骨髓活检</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骨髓组织活检检查与诊断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281</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骨髓组织</w:t>
            </w:r>
          </w:p>
        </w:tc>
      </w:tr>
      <w:tr w:rsidR="007C07EC" w:rsidRPr="00D00159" w:rsidTr="003D28BC">
        <w:trPr>
          <w:trHeight w:val="3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等线" w:eastAsia="等线" w:hAnsi="等线" w:cs="等线"/>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特殊染色及酶组织化学染色诊断</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等线" w:eastAsia="等线" w:hAnsi="等线" w:cs="等线"/>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r>
      <w:tr w:rsidR="007C07EC" w:rsidRPr="00D00159" w:rsidTr="003D28BC">
        <w:trPr>
          <w:trHeight w:val="34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等线" w:eastAsia="等线" w:hAnsi="等线" w:cs="等线"/>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计算机图文报告</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等线" w:eastAsia="等线" w:hAnsi="等线" w:cs="等线"/>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r>
      <w:tr w:rsidR="007C07EC" w:rsidRPr="00D00159" w:rsidTr="003D28BC">
        <w:trPr>
          <w:trHeight w:val="31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淋巴结活检</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局部切取组织活检检查与诊断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301</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淋巴结组织</w:t>
            </w:r>
          </w:p>
        </w:tc>
      </w:tr>
      <w:tr w:rsidR="007C07EC" w:rsidRPr="00D00159" w:rsidTr="003D28BC">
        <w:trPr>
          <w:trHeight w:val="40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特殊染色及酶组织化学染色诊断</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等线" w:eastAsia="等线" w:hAnsi="等线" w:cs="等线"/>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r>
      <w:tr w:rsidR="007C07EC" w:rsidRPr="00D00159" w:rsidTr="003D28BC">
        <w:trPr>
          <w:trHeight w:val="3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计算机图文报告</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等线" w:eastAsia="等线" w:hAnsi="等线" w:cs="等线"/>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kern w:val="0"/>
                <w:sz w:val="20"/>
                <w:szCs w:val="20"/>
              </w:rPr>
            </w:pP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病理免疫组化</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病理癌基因蛋白检测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182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sz w:val="20"/>
                <w:szCs w:val="20"/>
              </w:rPr>
            </w:pPr>
            <w:r w:rsidRPr="00D00159">
              <w:rPr>
                <w:rFonts w:ascii="等线" w:eastAsia="等线" w:hAnsi="等线" w:cs="等线" w:hint="eastAsia"/>
                <w:kern w:val="0"/>
                <w:sz w:val="20"/>
                <w:szCs w:val="20"/>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小巨核酶标(CD41 染色)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病理单克隆抗体检测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147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w:t>
            </w:r>
          </w:p>
        </w:tc>
      </w:tr>
      <w:tr w:rsidR="007C07EC" w:rsidRPr="00D00159" w:rsidTr="003D28BC">
        <w:trPr>
          <w:trHeight w:val="31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等线" w:eastAsia="等线" w:hAnsi="等线" w:cs="等线"/>
                <w:kern w:val="0"/>
                <w:sz w:val="20"/>
                <w:szCs w:val="20"/>
              </w:rPr>
            </w:pPr>
            <w:r w:rsidRPr="00D00159">
              <w:rPr>
                <w:rFonts w:ascii="等线" w:eastAsia="等线" w:hAnsi="等线" w:cs="等线"/>
                <w:kern w:val="0"/>
                <w:sz w:val="20"/>
                <w:szCs w:val="20"/>
              </w:rPr>
              <w:t>染色体核型分析(R 带+G带染色)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培养细胞染色体检查（显带分析）</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528</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kern w:val="0"/>
                <w:sz w:val="20"/>
                <w:szCs w:val="20"/>
              </w:rPr>
            </w:pPr>
            <w:r w:rsidRPr="00D00159">
              <w:rPr>
                <w:rFonts w:ascii="等线" w:eastAsia="等线" w:hAnsi="等线" w:cs="等线" w:hint="eastAsia"/>
                <w:kern w:val="0"/>
                <w:sz w:val="20"/>
                <w:szCs w:val="20"/>
              </w:rPr>
              <w:t>骨髓/外周血</w:t>
            </w:r>
          </w:p>
        </w:tc>
      </w:tr>
      <w:tr w:rsidR="007C07EC" w:rsidRPr="00D00159" w:rsidTr="003D28BC">
        <w:trPr>
          <w:trHeight w:val="3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 xml:space="preserve">染色体检查（不分带）　</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等线" w:eastAsia="等线" w:hAnsi="等线" w:cs="等线"/>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等线" w:eastAsia="等线" w:hAnsi="等线" w:cs="等线"/>
                <w:sz w:val="20"/>
                <w:szCs w:val="20"/>
              </w:rPr>
            </w:pP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流式免疫分型</w:t>
            </w:r>
            <w:r w:rsidRPr="00D00159">
              <w:rPr>
                <w:rStyle w:val="font61"/>
              </w:rPr>
              <w:t>-</w:t>
            </w:r>
            <w:r w:rsidRPr="00D00159">
              <w:rPr>
                <w:rStyle w:val="font51"/>
                <w:rFonts w:hint="default"/>
              </w:rPr>
              <w:t>急性白血病</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淋巴瘤免疫分型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1850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新鲜组织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MDS/MPN</w:t>
            </w:r>
            <w:r w:rsidRPr="00D00159">
              <w:rPr>
                <w:rStyle w:val="font51"/>
                <w:rFonts w:hint="default"/>
              </w:rPr>
              <w:t>流式分型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1850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流式免疫分型</w:t>
            </w:r>
            <w:r w:rsidRPr="00D00159">
              <w:rPr>
                <w:rStyle w:val="font61"/>
              </w:rPr>
              <w:t>-</w:t>
            </w:r>
            <w:r w:rsidRPr="00D00159">
              <w:rPr>
                <w:rStyle w:val="font51"/>
                <w:rFonts w:hint="default"/>
              </w:rPr>
              <w:t>多发性骨髓瘤</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血液系统肿瘤类型待定</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2300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PNH</w:t>
            </w:r>
            <w:r w:rsidRPr="00D00159">
              <w:rPr>
                <w:rStyle w:val="font51"/>
                <w:rFonts w:hint="default"/>
              </w:rPr>
              <w:t>克隆检测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微小残留病流式检测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调节性</w:t>
            </w:r>
            <w:r w:rsidRPr="00D00159">
              <w:rPr>
                <w:rStyle w:val="font61"/>
              </w:rPr>
              <w:t>T</w:t>
            </w:r>
            <w:r w:rsidRPr="00D00159">
              <w:rPr>
                <w:rStyle w:val="font51"/>
                <w:rFonts w:hint="default"/>
              </w:rPr>
              <w:t>细胞检测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大颗粒淋巴细胞检测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CD34+</w:t>
            </w:r>
            <w:r w:rsidRPr="00D00159">
              <w:rPr>
                <w:rStyle w:val="font51"/>
                <w:rFonts w:hint="default"/>
              </w:rPr>
              <w:t>细胞百分含量检测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脑脊液流式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脑脊液</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EMA</w:t>
            </w:r>
            <w:r w:rsidRPr="00D00159">
              <w:rPr>
                <w:rStyle w:val="font51"/>
                <w:rFonts w:hint="default"/>
              </w:rPr>
              <w:t>流式检测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NK</w:t>
            </w:r>
            <w:r w:rsidRPr="00D00159">
              <w:rPr>
                <w:rStyle w:val="font51"/>
                <w:rFonts w:hint="default"/>
              </w:rPr>
              <w:t>细胞毒性颗粒检测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各类血细胞簇分化抗原(CD)检测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650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86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套餐</w:t>
            </w:r>
            <w:r w:rsidRPr="00D00159">
              <w:rPr>
                <w:rStyle w:val="font61"/>
                <w:rFonts w:eastAsia="等线"/>
              </w:rPr>
              <w:t>-</w:t>
            </w:r>
            <w:r w:rsidRPr="00D00159">
              <w:rPr>
                <w:rStyle w:val="font51"/>
                <w:rFonts w:hint="default"/>
              </w:rPr>
              <w:t>多发性骨髓瘤：</w:t>
            </w:r>
            <w:r w:rsidRPr="00D00159">
              <w:rPr>
                <w:rStyle w:val="font61"/>
                <w:rFonts w:eastAsia="等线"/>
              </w:rPr>
              <w:t>RB-1</w:t>
            </w:r>
            <w:r w:rsidRPr="00D00159">
              <w:rPr>
                <w:rStyle w:val="font51"/>
                <w:rFonts w:hint="default"/>
              </w:rPr>
              <w:t>、T</w:t>
            </w:r>
            <w:r w:rsidRPr="00D00159">
              <w:rPr>
                <w:rStyle w:val="font61"/>
                <w:rFonts w:eastAsia="等线"/>
              </w:rPr>
              <w:t>P53</w:t>
            </w:r>
            <w:r w:rsidRPr="00D00159">
              <w:rPr>
                <w:rStyle w:val="font51"/>
                <w:rFonts w:hint="default"/>
              </w:rPr>
              <w:t>、</w:t>
            </w:r>
            <w:r w:rsidRPr="00D00159">
              <w:rPr>
                <w:rStyle w:val="font61"/>
                <w:rFonts w:eastAsia="等线"/>
              </w:rPr>
              <w:t>CKS1B/CDKN2C</w:t>
            </w:r>
            <w:r w:rsidRPr="00D00159">
              <w:rPr>
                <w:rStyle w:val="font51"/>
                <w:rFonts w:hint="default"/>
              </w:rPr>
              <w:t>、</w:t>
            </w:r>
            <w:r w:rsidRPr="00D00159">
              <w:rPr>
                <w:rStyle w:val="font61"/>
                <w:rFonts w:eastAsia="等线"/>
              </w:rPr>
              <w:t>IGH</w:t>
            </w:r>
            <w:r w:rsidRPr="00D00159">
              <w:rPr>
                <w:rStyle w:val="font51"/>
                <w:rFonts w:hint="default"/>
              </w:rPr>
              <w:t>、</w:t>
            </w:r>
            <w:r w:rsidRPr="00D00159">
              <w:rPr>
                <w:rStyle w:val="font61"/>
                <w:rFonts w:eastAsia="等线"/>
              </w:rPr>
              <w:t>CD138</w:t>
            </w:r>
            <w:r w:rsidRPr="00D00159">
              <w:rPr>
                <w:rStyle w:val="font51"/>
                <w:rFonts w:hint="default"/>
              </w:rPr>
              <w:t>分选</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4800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86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套餐- CLL</w:t>
            </w:r>
            <w:r w:rsidRPr="00D00159">
              <w:rPr>
                <w:rStyle w:val="font61"/>
                <w:rFonts w:eastAsia="等线"/>
              </w:rPr>
              <w:t>: CEP12</w:t>
            </w:r>
            <w:r w:rsidRPr="00D00159">
              <w:rPr>
                <w:rStyle w:val="font51"/>
                <w:rFonts w:hint="default"/>
              </w:rPr>
              <w:t>、</w:t>
            </w:r>
            <w:r w:rsidRPr="00D00159">
              <w:rPr>
                <w:rStyle w:val="font61"/>
                <w:rFonts w:eastAsia="等线"/>
              </w:rPr>
              <w:t>CEP11/ATM</w:t>
            </w:r>
            <w:r w:rsidRPr="00D00159">
              <w:rPr>
                <w:rStyle w:val="font51"/>
                <w:rFonts w:hint="default"/>
              </w:rPr>
              <w:t>、</w:t>
            </w:r>
            <w:r w:rsidRPr="00D00159">
              <w:rPr>
                <w:rStyle w:val="font61"/>
                <w:rFonts w:eastAsia="等线"/>
              </w:rPr>
              <w:t>D13S319/LAMP1</w:t>
            </w:r>
            <w:r w:rsidRPr="00D00159">
              <w:rPr>
                <w:rStyle w:val="font51"/>
                <w:rFonts w:hint="default"/>
              </w:rPr>
              <w:t>、T</w:t>
            </w:r>
            <w:r w:rsidRPr="00D00159">
              <w:rPr>
                <w:rStyle w:val="font61"/>
                <w:rFonts w:eastAsia="等线"/>
              </w:rPr>
              <w:t>P53/CEP17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4800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56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套餐</w:t>
            </w:r>
            <w:r w:rsidRPr="00D00159">
              <w:rPr>
                <w:rStyle w:val="font61"/>
                <w:rFonts w:eastAsia="等线"/>
              </w:rPr>
              <w:t>:PDGFRα</w:t>
            </w:r>
            <w:r w:rsidRPr="00D00159">
              <w:rPr>
                <w:rStyle w:val="font51"/>
                <w:rFonts w:hint="default"/>
              </w:rPr>
              <w:t>、</w:t>
            </w:r>
            <w:r w:rsidRPr="00D00159">
              <w:rPr>
                <w:rStyle w:val="font61"/>
                <w:rFonts w:eastAsia="等线"/>
              </w:rPr>
              <w:t>PDGFRβ</w:t>
            </w:r>
            <w:r w:rsidRPr="00D00159">
              <w:rPr>
                <w:rStyle w:val="font51"/>
                <w:rFonts w:hint="default"/>
              </w:rPr>
              <w:t>、</w:t>
            </w:r>
            <w:r w:rsidRPr="00D00159">
              <w:rPr>
                <w:rStyle w:val="font61"/>
                <w:rFonts w:eastAsia="等线"/>
              </w:rPr>
              <w:t>FGFR1/D8Z2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:1p36/1q23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:11q23.3/11q24.3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IGH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w:t>
            </w:r>
            <w:r w:rsidRPr="00D00159">
              <w:rPr>
                <w:rFonts w:ascii="Times New Roman" w:eastAsia="等线" w:hAnsi="Times New Roman"/>
                <w:kern w:val="0"/>
                <w:szCs w:val="21"/>
              </w:rPr>
              <w:t>单项</w:t>
            </w:r>
            <w:r w:rsidRPr="00D00159">
              <w:rPr>
                <w:rFonts w:ascii="Times New Roman" w:eastAsia="等线" w:hAnsi="Times New Roman"/>
                <w:kern w:val="0"/>
                <w:szCs w:val="21"/>
              </w:rPr>
              <w:t>: IGH/CCND1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CCND2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w:t>
            </w:r>
            <w:r w:rsidRPr="00D00159">
              <w:rPr>
                <w:rFonts w:ascii="Times New Roman" w:eastAsia="等线" w:hAnsi="Times New Roman"/>
                <w:kern w:val="0"/>
                <w:szCs w:val="21"/>
              </w:rPr>
              <w:t>单项</w:t>
            </w:r>
            <w:r w:rsidRPr="00D00159">
              <w:rPr>
                <w:rFonts w:ascii="Times New Roman" w:eastAsia="等线" w:hAnsi="Times New Roman"/>
                <w:kern w:val="0"/>
                <w:szCs w:val="21"/>
              </w:rPr>
              <w:t>: IGH/CCND3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IGH-MYC</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w:t>
            </w:r>
            <w:r w:rsidRPr="00D00159">
              <w:rPr>
                <w:rFonts w:ascii="Times New Roman" w:eastAsia="等线" w:hAnsi="Times New Roman"/>
                <w:kern w:val="0"/>
                <w:szCs w:val="21"/>
              </w:rPr>
              <w:t>单项</w:t>
            </w:r>
            <w:r w:rsidRPr="00D00159">
              <w:rPr>
                <w:rFonts w:ascii="Times New Roman" w:eastAsia="等线" w:hAnsi="Times New Roman"/>
                <w:kern w:val="0"/>
                <w:szCs w:val="21"/>
              </w:rPr>
              <w:t>: MYC</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BCL6</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IGH-BCL6</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BCL2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IGH-BCL2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P53/CEP17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IGK</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IGL</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 D13S25/13qter</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CEPX/Y</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39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MAF/IGH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FGFR3/IGH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IGH/MAFB</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BCR/ABL1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BCR/ABL/ASS1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MLL</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MLL/AF6</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MLL/AF9</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MLL/ENL</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PML/RARa</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49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RARa</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AML1/ETO</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EVI1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CBFβ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CBFβ/MYH11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TEL/AML1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TCF3/PBX1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CRLF2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51"/>
                <w:rFonts w:hint="default"/>
              </w:rPr>
              <w:t>单项：</w:t>
            </w:r>
            <w:r w:rsidRPr="00D00159">
              <w:rPr>
                <w:rStyle w:val="font61"/>
                <w:rFonts w:eastAsia="等线"/>
              </w:rPr>
              <w:t>CDKN2A/CEP9</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API2/MALT t(11;18)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59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MALT1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MYB/D6Z1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MEF2D</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TRA/TRD</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TCRB</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ABL1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ABL2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JAK2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CEP8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EGR1/D5S721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69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D7S486/CEP7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D20S108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ALK</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MUM1/IRF4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MYCN/CEP2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FISH: MLL/CEP11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FISH </w:t>
            </w:r>
            <w:r w:rsidRPr="00D00159">
              <w:rPr>
                <w:rStyle w:val="font121"/>
              </w:rPr>
              <w:t>单项</w:t>
            </w:r>
            <w:r w:rsidRPr="00D00159">
              <w:rPr>
                <w:rStyle w:val="font61"/>
                <w:rFonts w:eastAsia="等线"/>
              </w:rPr>
              <w:t>: TERT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EPOR</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CSF1R</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DEK-NUP214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79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NUP98</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ITK-SYK</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FISH</w:t>
            </w:r>
            <w:r w:rsidRPr="00D00159">
              <w:rPr>
                <w:rStyle w:val="font121"/>
              </w:rPr>
              <w:t>单项</w:t>
            </w:r>
            <w:r w:rsidRPr="00D00159">
              <w:rPr>
                <w:rStyle w:val="font61"/>
                <w:rFonts w:eastAsia="等线"/>
              </w:rPr>
              <w:t>: TCF3-HLF</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IGHV</w:t>
            </w:r>
            <w:r w:rsidRPr="00D00159">
              <w:rPr>
                <w:rStyle w:val="font51"/>
                <w:rFonts w:hint="default"/>
              </w:rPr>
              <w:t>染色体基因重排高突变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荧光染色体原位杂交检查(FISH)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IgH VH-JH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IgH DH-JH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IgK</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IgL</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TCRβ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TCRγ</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89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基因重排：</w:t>
            </w:r>
            <w:r w:rsidRPr="00D00159">
              <w:rPr>
                <w:rStyle w:val="font61"/>
              </w:rPr>
              <w:t>TCRD</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r w:rsidRPr="00D00159">
              <w:rPr>
                <w:rStyle w:val="font61"/>
              </w:rPr>
              <w:t>/</w:t>
            </w:r>
            <w:r w:rsidRPr="00D00159">
              <w:rPr>
                <w:rStyle w:val="font51"/>
                <w:rFonts w:hint="default"/>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Jak2/V617F</w:t>
            </w:r>
            <w:r w:rsidRPr="00D00159">
              <w:rPr>
                <w:rStyle w:val="font51"/>
                <w:rFonts w:hint="default"/>
              </w:rPr>
              <w:t>突变</w:t>
            </w:r>
            <w:r w:rsidRPr="00D00159">
              <w:rPr>
                <w:rStyle w:val="font61"/>
                <w:rFonts w:eastAsia="等线"/>
              </w:rPr>
              <w:t>(</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Jak2/V617F</w:t>
            </w:r>
            <w:r w:rsidRPr="00D00159">
              <w:rPr>
                <w:rStyle w:val="font51"/>
                <w:rFonts w:hint="default"/>
              </w:rPr>
              <w:t>突变</w:t>
            </w:r>
            <w:r w:rsidRPr="00D00159">
              <w:rPr>
                <w:rStyle w:val="font61"/>
                <w:rFonts w:eastAsia="等线"/>
              </w:rPr>
              <w:t>(</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FLT3/TKD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FLT3/ITD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FLT3-ITD</w:t>
            </w:r>
            <w:r w:rsidRPr="00D00159">
              <w:rPr>
                <w:rStyle w:val="font121"/>
              </w:rPr>
              <w:t>突变率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TET2-Exon3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ASXL1-Exon12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Jak2-Exon12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ABL</w:t>
            </w:r>
            <w:r w:rsidRPr="00D00159">
              <w:rPr>
                <w:rStyle w:val="font51"/>
                <w:rFonts w:hint="default"/>
              </w:rPr>
              <w:t>激酶突变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99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C-kit Exon17</w:t>
            </w:r>
            <w:r w:rsidRPr="00D00159">
              <w:rPr>
                <w:rStyle w:val="font51"/>
                <w:rFonts w:hint="default"/>
              </w:rPr>
              <w:t>突变（含</w:t>
            </w:r>
            <w:r w:rsidRPr="00D00159">
              <w:rPr>
                <w:rStyle w:val="font61"/>
                <w:rFonts w:eastAsia="等线"/>
              </w:rPr>
              <w:t>C-kit D816V</w:t>
            </w:r>
            <w:r w:rsidRPr="00D00159">
              <w:rPr>
                <w:rStyle w:val="font51"/>
                <w:rFonts w:hint="default"/>
              </w:rPr>
              <w:t>位点）</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C-kit Exon8</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NPM1</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CEBPα BZIP</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CEBPα TAD</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DNMT3A (Mtase)</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DNMT3A(TNF)</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MYD88</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PTEN-Exon7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CALR-Exon9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109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Times New Roman" w:eastAsia="等线" w:hAnsi="Times New Roman"/>
                <w:szCs w:val="21"/>
              </w:rPr>
            </w:pPr>
            <w:r w:rsidRPr="00D00159">
              <w:rPr>
                <w:rStyle w:val="font61"/>
                <w:rFonts w:eastAsia="等线"/>
              </w:rPr>
              <w:t>MPL-EXON10</w:t>
            </w:r>
            <w:r w:rsidRPr="00D00159">
              <w:rPr>
                <w:rStyle w:val="font51"/>
                <w:rFonts w:hint="default"/>
              </w:rPr>
              <w:t>突变（含</w:t>
            </w:r>
            <w:r w:rsidRPr="00D00159">
              <w:rPr>
                <w:rStyle w:val="font61"/>
                <w:rFonts w:eastAsia="等线"/>
              </w:rPr>
              <w:t>MPLW515L/K</w:t>
            </w:r>
            <w:r w:rsidRPr="00D00159">
              <w:rPr>
                <w:rStyle w:val="font51"/>
                <w:rFonts w:hint="default"/>
              </w:rPr>
              <w:t>位点）</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BRAF V600E</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SF3B1 K700E</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SF3B1</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SRSF2-Exon1</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U2AF1</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IDH1</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IDH2</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CSF3R-Exon14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CSF3R-Exon17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119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SETBP1-SKI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WT1-Exon7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WT1-Exon9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Notchl-Exon26</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Notchl~Exon27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Notchl-Exon34 </w:t>
            </w:r>
            <w:r w:rsidRPr="00D00159">
              <w:rPr>
                <w:rStyle w:val="font51"/>
                <w:rFonts w:hint="default"/>
              </w:rPr>
              <w:t>突变</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NRAS-Exon2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NRAS-Exon3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KRAS-Exon2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KRAS-Exon3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129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BCR-ABLp210</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r w:rsidRPr="00D00159">
              <w:rPr>
                <w:rFonts w:ascii="宋体" w:hAnsi="宋体" w:cs="宋体" w:hint="eastAsia"/>
                <w:kern w:val="0"/>
                <w:szCs w:val="21"/>
              </w:rPr>
              <w:t>/</w:t>
            </w:r>
            <w:r w:rsidRPr="00D00159">
              <w:rPr>
                <w:rFonts w:ascii="宋体" w:hAnsi="宋体" w:cs="宋体" w:hint="eastAsia"/>
                <w:kern w:val="0"/>
                <w:szCs w:val="21"/>
              </w:rPr>
              <w:t>组织</w:t>
            </w:r>
          </w:p>
        </w:tc>
      </w:tr>
      <w:tr w:rsidR="007C07EC" w:rsidRPr="00D00159" w:rsidTr="003D28BC">
        <w:trPr>
          <w:trHeight w:val="6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BCR-ABLP210</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BCR-ABLp230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6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BCR-ABLp230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BCR-ABLpl90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6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BCR-ABLpl90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BCR-ABL</w:t>
            </w:r>
            <w:r w:rsidRPr="00D00159">
              <w:rPr>
                <w:rStyle w:val="font51"/>
                <w:rFonts w:hint="default"/>
              </w:rPr>
              <w:t>非典型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PML-RARα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PML-RARα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CBF b -MYH11 </w:t>
            </w:r>
            <w:r w:rsidRPr="00D00159">
              <w:rPr>
                <w:rStyle w:val="font51"/>
                <w:rFonts w:hint="default"/>
              </w:rPr>
              <w:t>（定性</w:t>
            </w:r>
            <w:r w:rsidRPr="00D00159">
              <w:rPr>
                <w:rStyle w:val="font61"/>
                <w:rFonts w:eastAsia="等线"/>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139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CBF b -MYH11 </w:t>
            </w:r>
            <w:r w:rsidRPr="00D00159">
              <w:rPr>
                <w:rStyle w:val="font51"/>
                <w:rFonts w:hint="default"/>
              </w:rPr>
              <w:t>（定量</w:t>
            </w:r>
            <w:r w:rsidRPr="00D00159">
              <w:rPr>
                <w:rStyle w:val="font61"/>
                <w:rFonts w:eastAsia="等线"/>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AML/ETO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AML/ETO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MLL- AF4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MLL- AF4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TEL/AML1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TEL/AML1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SIL/AML1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SIL/AML1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FIP1L1/PDGFα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149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TEL-PDGF β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 xml:space="preserve">E2A-PBX1 </w:t>
            </w:r>
            <w:r w:rsidRPr="00D00159">
              <w:rPr>
                <w:rStyle w:val="font51"/>
                <w:rFonts w:hint="default"/>
              </w:rPr>
              <w:t>（定性）</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白血病基因</w:t>
            </w:r>
            <w:r w:rsidRPr="00D00159">
              <w:rPr>
                <w:rStyle w:val="font61"/>
              </w:rPr>
              <w:t>WT1 (</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EVI1</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8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MDR1</w:t>
            </w:r>
            <w:r w:rsidRPr="00D00159">
              <w:rPr>
                <w:rStyle w:val="font51"/>
                <w:rFonts w:hint="default"/>
              </w:rPr>
              <w:t>定量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基因表达水平对肿瘤药物敏感性的判断</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43</w:t>
            </w:r>
            <w:r w:rsidRPr="00D00159">
              <w:rPr>
                <w:rStyle w:val="font51"/>
                <w:rFonts w:hint="default"/>
              </w:rPr>
              <w:t>种融合基因筛查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髓系</w:t>
            </w:r>
            <w:r w:rsidRPr="00D00159">
              <w:rPr>
                <w:rStyle w:val="font61"/>
              </w:rPr>
              <w:t>16</w:t>
            </w:r>
            <w:r w:rsidRPr="00D00159">
              <w:rPr>
                <w:rStyle w:val="font51"/>
                <w:rFonts w:hint="default"/>
              </w:rPr>
              <w:t>种融合基因筛查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1768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淋系</w:t>
            </w:r>
            <w:r w:rsidRPr="00D00159">
              <w:rPr>
                <w:rStyle w:val="font61"/>
              </w:rPr>
              <w:t>9</w:t>
            </w:r>
            <w:r w:rsidRPr="00D00159">
              <w:rPr>
                <w:rStyle w:val="font51"/>
                <w:rFonts w:hint="default"/>
              </w:rPr>
              <w:t>种融合基因筛查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游离轻链血清或游离轻链尿</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免疫固定电泳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sz w:val="20"/>
                <w:szCs w:val="20"/>
              </w:rPr>
            </w:pPr>
            <w:r w:rsidRPr="00D00159">
              <w:rPr>
                <w:rFonts w:ascii="等线" w:eastAsia="等线" w:hAnsi="等线" w:cs="等线" w:hint="eastAsia"/>
                <w:kern w:val="0"/>
                <w:sz w:val="20"/>
                <w:szCs w:val="20"/>
              </w:rPr>
              <w:t>484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血清</w:t>
            </w:r>
            <w:r w:rsidRPr="00D00159">
              <w:rPr>
                <w:rStyle w:val="font61"/>
              </w:rPr>
              <w:t>/</w:t>
            </w:r>
            <w:r w:rsidRPr="00D00159">
              <w:rPr>
                <w:rStyle w:val="font51"/>
                <w:rFonts w:hint="default"/>
              </w:rPr>
              <w:t>尿</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免疫固定电泳</w:t>
            </w:r>
            <w:r w:rsidRPr="00D00159">
              <w:rPr>
                <w:rStyle w:val="font61"/>
              </w:rPr>
              <w:t>IgD</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免疫固定电泳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sz w:val="20"/>
                <w:szCs w:val="20"/>
              </w:rPr>
            </w:pPr>
            <w:r w:rsidRPr="00D00159">
              <w:rPr>
                <w:rFonts w:ascii="等线" w:eastAsia="等线" w:hAnsi="等线" w:cs="等线" w:hint="eastAsia"/>
                <w:kern w:val="0"/>
                <w:sz w:val="20"/>
                <w:szCs w:val="20"/>
              </w:rPr>
              <w:t>242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血清</w:t>
            </w:r>
            <w:r w:rsidRPr="00D00159">
              <w:rPr>
                <w:rStyle w:val="font61"/>
              </w:rPr>
              <w:t>/</w:t>
            </w:r>
            <w:r w:rsidRPr="00D00159">
              <w:rPr>
                <w:rStyle w:val="font51"/>
                <w:rFonts w:hint="default"/>
              </w:rPr>
              <w:t>尿</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159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免疫固定电泳</w:t>
            </w:r>
            <w:r w:rsidRPr="00D00159">
              <w:rPr>
                <w:rStyle w:val="font61"/>
              </w:rPr>
              <w:t>IgE</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免疫固定电泳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等线" w:eastAsia="等线" w:hAnsi="等线" w:cs="等线"/>
                <w:sz w:val="20"/>
                <w:szCs w:val="20"/>
              </w:rPr>
            </w:pPr>
            <w:r w:rsidRPr="00D00159">
              <w:rPr>
                <w:rFonts w:ascii="等线" w:eastAsia="等线" w:hAnsi="等线" w:cs="等线" w:hint="eastAsia"/>
                <w:kern w:val="0"/>
                <w:sz w:val="20"/>
                <w:szCs w:val="20"/>
              </w:rPr>
              <w:t>242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血清</w:t>
            </w:r>
            <w:r w:rsidRPr="00D00159">
              <w:rPr>
                <w:rStyle w:val="font61"/>
              </w:rPr>
              <w:t>/</w:t>
            </w:r>
            <w:r w:rsidRPr="00D00159">
              <w:rPr>
                <w:rStyle w:val="font51"/>
                <w:rFonts w:hint="default"/>
              </w:rPr>
              <w:t>尿</w:t>
            </w:r>
          </w:p>
        </w:tc>
      </w:tr>
      <w:tr w:rsidR="007C07EC" w:rsidRPr="00D00159" w:rsidTr="003D28BC">
        <w:trPr>
          <w:trHeight w:val="3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160</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HLA-A</w:t>
            </w:r>
            <w:r w:rsidRPr="00D00159">
              <w:rPr>
                <w:rStyle w:val="font51"/>
                <w:rFonts w:hint="default"/>
              </w:rPr>
              <w:t>、</w:t>
            </w:r>
            <w:r w:rsidRPr="00D00159">
              <w:rPr>
                <w:rStyle w:val="font61"/>
                <w:rFonts w:eastAsia="等线"/>
              </w:rPr>
              <w:t>B</w:t>
            </w:r>
            <w:r w:rsidRPr="00D00159">
              <w:rPr>
                <w:rStyle w:val="font51"/>
                <w:rFonts w:hint="default"/>
              </w:rPr>
              <w:t>、</w:t>
            </w:r>
            <w:r w:rsidRPr="00D00159">
              <w:rPr>
                <w:rStyle w:val="font61"/>
                <w:rFonts w:eastAsia="等线"/>
              </w:rPr>
              <w:t>C</w:t>
            </w:r>
            <w:r w:rsidRPr="00D00159">
              <w:rPr>
                <w:rStyle w:val="font51"/>
                <w:rFonts w:hint="default"/>
              </w:rPr>
              <w:t>、</w:t>
            </w:r>
            <w:r w:rsidRPr="00D00159">
              <w:rPr>
                <w:rStyle w:val="font61"/>
                <w:rFonts w:eastAsia="等线"/>
              </w:rPr>
              <w:t>DR</w:t>
            </w:r>
            <w:r w:rsidRPr="00D00159">
              <w:rPr>
                <w:rStyle w:val="font51"/>
                <w:rFonts w:hint="default"/>
              </w:rPr>
              <w:t>、</w:t>
            </w:r>
            <w:r w:rsidRPr="00D00159">
              <w:rPr>
                <w:rStyle w:val="font61"/>
                <w:rFonts w:eastAsia="等线"/>
              </w:rPr>
              <w:t>DQ</w:t>
            </w:r>
            <w:r w:rsidRPr="00D00159">
              <w:rPr>
                <w:rStyle w:val="font51"/>
                <w:rFonts w:hint="default"/>
              </w:rPr>
              <w:t>、</w:t>
            </w:r>
            <w:r w:rsidRPr="00D00159">
              <w:rPr>
                <w:rStyle w:val="font61"/>
                <w:rFonts w:eastAsia="等线"/>
              </w:rPr>
              <w:t>DP</w:t>
            </w:r>
            <w:r w:rsidRPr="00D00159">
              <w:rPr>
                <w:rStyle w:val="font51"/>
                <w:rFonts w:hint="default"/>
              </w:rPr>
              <w:t>座位高分辨基因分型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C07EC" w:rsidRPr="00D00159" w:rsidRDefault="007C07EC" w:rsidP="003D28BC">
            <w:pPr>
              <w:widowControl/>
              <w:jc w:val="left"/>
              <w:textAlignment w:val="top"/>
              <w:rPr>
                <w:rFonts w:ascii="宋体" w:hAnsi="宋体" w:cs="宋体"/>
                <w:sz w:val="20"/>
                <w:szCs w:val="20"/>
              </w:rPr>
            </w:pPr>
            <w:r w:rsidRPr="00D00159">
              <w:rPr>
                <w:rFonts w:ascii="宋体" w:hAnsi="宋体" w:cs="宋体" w:hint="eastAsia"/>
                <w:kern w:val="0"/>
                <w:sz w:val="20"/>
                <w:szCs w:val="20"/>
              </w:rPr>
              <w:t>HLA-I</w:t>
            </w:r>
            <w:r w:rsidRPr="00D00159">
              <w:rPr>
                <w:rFonts w:ascii="宋体" w:hAnsi="宋体" w:cs="宋体" w:hint="eastAsia"/>
                <w:kern w:val="0"/>
                <w:sz w:val="20"/>
                <w:szCs w:val="20"/>
              </w:rPr>
              <w:t>高分辩基因分型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2510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Times New Roman" w:eastAsia="等线" w:hAnsi="Times New Roman"/>
                <w:szCs w:val="21"/>
              </w:rPr>
            </w:pPr>
            <w:r w:rsidRPr="00D00159">
              <w:rPr>
                <w:rFonts w:ascii="Times New Roman" w:eastAsia="等线" w:hAnsi="Times New Roman"/>
                <w:kern w:val="0"/>
                <w:szCs w:val="21"/>
              </w:rPr>
              <w:t>外周血</w:t>
            </w:r>
          </w:p>
        </w:tc>
      </w:tr>
      <w:tr w:rsidR="007C07EC" w:rsidRPr="00D00159" w:rsidTr="003D28BC">
        <w:trPr>
          <w:trHeight w:val="3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C07EC" w:rsidRPr="00D00159" w:rsidRDefault="007C07EC" w:rsidP="003D28BC">
            <w:pPr>
              <w:widowControl/>
              <w:jc w:val="left"/>
              <w:textAlignment w:val="top"/>
              <w:rPr>
                <w:rFonts w:ascii="宋体" w:hAnsi="宋体" w:cs="宋体"/>
                <w:sz w:val="20"/>
                <w:szCs w:val="20"/>
              </w:rPr>
            </w:pPr>
            <w:r w:rsidRPr="00D00159">
              <w:rPr>
                <w:rFonts w:ascii="宋体" w:hAnsi="宋体" w:cs="宋体" w:hint="eastAsia"/>
                <w:kern w:val="0"/>
                <w:sz w:val="20"/>
                <w:szCs w:val="20"/>
              </w:rPr>
              <w:t>HLA-II</w:t>
            </w:r>
            <w:r w:rsidRPr="00D00159">
              <w:rPr>
                <w:rFonts w:ascii="宋体" w:hAnsi="宋体" w:cs="宋体" w:hint="eastAsia"/>
                <w:kern w:val="0"/>
                <w:sz w:val="20"/>
                <w:szCs w:val="20"/>
              </w:rPr>
              <w:t>高分辩基因分型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Times New Roman" w:eastAsia="等线" w:hAnsi="Times New Roman"/>
                <w:szCs w:val="21"/>
              </w:rPr>
            </w:pPr>
          </w:p>
        </w:tc>
      </w:tr>
      <w:tr w:rsidR="007C07EC" w:rsidRPr="00D00159" w:rsidTr="003D28BC">
        <w:trPr>
          <w:trHeight w:val="150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血液病基因突变筛查全套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5643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14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血液病基因突变筛查全面版</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7182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血</w:t>
            </w:r>
            <w:r w:rsidRPr="00D00159">
              <w:rPr>
                <w:rStyle w:val="font61"/>
              </w:rPr>
              <w:t>/</w:t>
            </w:r>
            <w:r w:rsidRPr="00D00159">
              <w:rPr>
                <w:rStyle w:val="font51"/>
                <w:rFonts w:hint="default"/>
              </w:rPr>
              <w:t>毛囊或者口腔黏膜细胞</w:t>
            </w:r>
          </w:p>
        </w:tc>
      </w:tr>
      <w:tr w:rsidR="007C07EC" w:rsidRPr="00D00159" w:rsidTr="003D28BC">
        <w:trPr>
          <w:trHeight w:val="38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163</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血液系统肿瘤基因突变初筛</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3604</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4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人类K-RAS基因突变检测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3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人类B-RAF基因V600E突变检测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120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AML</w:t>
            </w:r>
            <w:r w:rsidRPr="00D00159">
              <w:rPr>
                <w:rStyle w:val="font51"/>
                <w:rFonts w:hint="default"/>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4617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60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165</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61"/>
              </w:rPr>
              <w:t xml:space="preserve">ALL </w:t>
            </w:r>
            <w:r w:rsidRPr="00D00159">
              <w:rPr>
                <w:rStyle w:val="font51"/>
                <w:rFonts w:hint="default"/>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人类</w:t>
            </w:r>
            <w:r w:rsidRPr="00D00159">
              <w:rPr>
                <w:rFonts w:ascii="宋体" w:hAnsi="宋体" w:cs="宋体" w:hint="eastAsia"/>
                <w:kern w:val="0"/>
                <w:sz w:val="20"/>
                <w:szCs w:val="20"/>
              </w:rPr>
              <w:t>K-RAS</w:t>
            </w:r>
            <w:r w:rsidRPr="00D00159">
              <w:rPr>
                <w:rFonts w:ascii="宋体" w:hAnsi="宋体" w:cs="宋体" w:hint="eastAsia"/>
                <w:kern w:val="0"/>
                <w:sz w:val="20"/>
                <w:szCs w:val="20"/>
              </w:rPr>
              <w:t>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4778</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64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12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MPN</w:t>
            </w:r>
            <w:r w:rsidRPr="00D00159">
              <w:rPr>
                <w:rStyle w:val="font51"/>
                <w:rFonts w:hint="default"/>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4617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40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167</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MM</w:t>
            </w:r>
            <w:r w:rsidRPr="00D00159">
              <w:rPr>
                <w:rStyle w:val="font51"/>
                <w:rFonts w:hint="default"/>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人类</w:t>
            </w:r>
            <w:r w:rsidRPr="00D00159">
              <w:rPr>
                <w:rFonts w:ascii="宋体" w:hAnsi="宋体" w:cs="宋体" w:hint="eastAsia"/>
                <w:kern w:val="0"/>
                <w:sz w:val="20"/>
                <w:szCs w:val="20"/>
              </w:rPr>
              <w:t>K-RAS</w:t>
            </w:r>
            <w:r w:rsidRPr="00D00159">
              <w:rPr>
                <w:rFonts w:ascii="宋体" w:hAnsi="宋体" w:cs="宋体" w:hint="eastAsia"/>
                <w:kern w:val="0"/>
                <w:sz w:val="20"/>
                <w:szCs w:val="20"/>
              </w:rPr>
              <w:t>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5139</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人类</w:t>
            </w:r>
            <w:r w:rsidRPr="00D00159">
              <w:rPr>
                <w:rFonts w:ascii="宋体" w:hAnsi="宋体" w:cs="宋体" w:hint="eastAsia"/>
                <w:kern w:val="0"/>
                <w:sz w:val="20"/>
                <w:szCs w:val="20"/>
              </w:rPr>
              <w:t>PIK3CA</w:t>
            </w:r>
            <w:r w:rsidRPr="00D00159">
              <w:rPr>
                <w:rFonts w:ascii="宋体" w:hAnsi="宋体" w:cs="宋体" w:hint="eastAsia"/>
                <w:kern w:val="0"/>
                <w:sz w:val="20"/>
                <w:szCs w:val="20"/>
              </w:rPr>
              <w:t>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4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3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168</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淋巴瘤</w:t>
            </w:r>
            <w:r w:rsidRPr="00D00159">
              <w:rPr>
                <w:rFonts w:ascii="宋体" w:hAnsi="宋体" w:cs="宋体" w:hint="eastAsia"/>
                <w:kern w:val="0"/>
                <w:szCs w:val="21"/>
              </w:rPr>
              <w:t>/CLL</w:t>
            </w:r>
            <w:r w:rsidRPr="00D00159">
              <w:rPr>
                <w:rFonts w:ascii="宋体" w:hAnsi="宋体" w:cs="宋体" w:hint="eastAsia"/>
                <w:kern w:val="0"/>
                <w:szCs w:val="21"/>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人类</w:t>
            </w:r>
            <w:r w:rsidRPr="00D00159">
              <w:rPr>
                <w:rFonts w:ascii="宋体" w:hAnsi="宋体" w:cs="宋体" w:hint="eastAsia"/>
                <w:szCs w:val="21"/>
              </w:rPr>
              <w:t>K-RAS</w:t>
            </w:r>
            <w:r w:rsidRPr="00D00159">
              <w:rPr>
                <w:rFonts w:ascii="宋体" w:hAnsi="宋体" w:cs="宋体" w:hint="eastAsia"/>
                <w:szCs w:val="21"/>
              </w:rPr>
              <w:t>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4991</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骨髓</w:t>
            </w:r>
            <w:r w:rsidRPr="00D00159">
              <w:rPr>
                <w:rFonts w:ascii="宋体" w:hAnsi="宋体" w:cs="宋体" w:hint="eastAsia"/>
                <w:szCs w:val="21"/>
              </w:rPr>
              <w:t>/</w:t>
            </w:r>
            <w:r w:rsidRPr="00D00159">
              <w:rPr>
                <w:rFonts w:ascii="宋体" w:hAnsi="宋体" w:cs="宋体" w:hint="eastAsia"/>
                <w:szCs w:val="21"/>
              </w:rPr>
              <w:t>外周血</w:t>
            </w:r>
            <w:r w:rsidRPr="00D00159">
              <w:rPr>
                <w:rFonts w:ascii="宋体" w:hAnsi="宋体" w:cs="宋体" w:hint="eastAsia"/>
                <w:szCs w:val="21"/>
              </w:rPr>
              <w:t>/</w:t>
            </w:r>
            <w:r w:rsidRPr="00D00159">
              <w:rPr>
                <w:rFonts w:ascii="宋体" w:hAnsi="宋体" w:cs="宋体" w:hint="eastAsia"/>
                <w:szCs w:val="21"/>
              </w:rPr>
              <w:t>组织</w:t>
            </w:r>
          </w:p>
        </w:tc>
      </w:tr>
      <w:tr w:rsidR="007C07EC" w:rsidRPr="00D00159" w:rsidTr="003D28BC">
        <w:trPr>
          <w:trHeight w:val="3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人类</w:t>
            </w:r>
            <w:r w:rsidRPr="00D00159">
              <w:rPr>
                <w:rFonts w:ascii="宋体" w:hAnsi="宋体" w:cs="宋体" w:hint="eastAsia"/>
                <w:szCs w:val="21"/>
              </w:rPr>
              <w:t>PIK3CA</w:t>
            </w:r>
            <w:r w:rsidRPr="00D00159">
              <w:rPr>
                <w:rFonts w:ascii="宋体" w:hAnsi="宋体" w:cs="宋体" w:hint="eastAsia"/>
                <w:szCs w:val="21"/>
              </w:rPr>
              <w:t>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312"/>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人类</w:t>
            </w:r>
            <w:r w:rsidRPr="00D00159">
              <w:rPr>
                <w:rFonts w:ascii="宋体" w:hAnsi="宋体" w:cs="宋体" w:hint="eastAsia"/>
                <w:szCs w:val="21"/>
              </w:rPr>
              <w:t>B-RAF</w:t>
            </w:r>
            <w:r w:rsidRPr="00D00159">
              <w:rPr>
                <w:rFonts w:ascii="宋体" w:hAnsi="宋体" w:cs="宋体" w:hint="eastAsia"/>
                <w:szCs w:val="21"/>
              </w:rPr>
              <w:t>基因</w:t>
            </w:r>
            <w:r w:rsidRPr="00D00159">
              <w:rPr>
                <w:rFonts w:ascii="宋体" w:hAnsi="宋体" w:cs="宋体" w:hint="eastAsia"/>
                <w:szCs w:val="21"/>
              </w:rPr>
              <w:t>V600E</w:t>
            </w:r>
            <w:r w:rsidRPr="00D00159">
              <w:rPr>
                <w:rFonts w:ascii="宋体" w:hAnsi="宋体" w:cs="宋体" w:hint="eastAsia"/>
                <w:szCs w:val="21"/>
              </w:rPr>
              <w:t>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50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31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169</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T</w:t>
            </w:r>
            <w:r w:rsidRPr="00D00159">
              <w:rPr>
                <w:rFonts w:ascii="Times New Roman" w:eastAsia="等线" w:hAnsi="Times New Roman"/>
                <w:kern w:val="0"/>
                <w:szCs w:val="21"/>
              </w:rPr>
              <w:t>系淋巴瘤相关基因突变筛查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人类</w:t>
            </w:r>
            <w:r w:rsidRPr="00D00159">
              <w:rPr>
                <w:rFonts w:ascii="宋体" w:hAnsi="宋体" w:cs="宋体" w:hint="eastAsia"/>
                <w:szCs w:val="21"/>
              </w:rPr>
              <w:t>K-RAS</w:t>
            </w:r>
            <w:r w:rsidRPr="00D00159">
              <w:rPr>
                <w:rFonts w:ascii="宋体" w:hAnsi="宋体" w:cs="宋体" w:hint="eastAsia"/>
                <w:szCs w:val="21"/>
              </w:rPr>
              <w:t>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3604</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骨髓</w:t>
            </w:r>
            <w:r w:rsidRPr="00D00159">
              <w:rPr>
                <w:rFonts w:ascii="宋体" w:hAnsi="宋体" w:cs="宋体" w:hint="eastAsia"/>
                <w:szCs w:val="21"/>
              </w:rPr>
              <w:t>/</w:t>
            </w:r>
            <w:r w:rsidRPr="00D00159">
              <w:rPr>
                <w:rFonts w:ascii="宋体" w:hAnsi="宋体" w:cs="宋体" w:hint="eastAsia"/>
                <w:szCs w:val="21"/>
              </w:rPr>
              <w:t>外周血</w:t>
            </w:r>
            <w:r w:rsidRPr="00D00159">
              <w:rPr>
                <w:rFonts w:ascii="宋体" w:hAnsi="宋体" w:cs="宋体" w:hint="eastAsia"/>
                <w:szCs w:val="21"/>
              </w:rPr>
              <w:t>/</w:t>
            </w:r>
            <w:r w:rsidRPr="00D00159">
              <w:rPr>
                <w:rFonts w:ascii="宋体" w:hAnsi="宋体" w:cs="宋体" w:hint="eastAsia"/>
                <w:szCs w:val="21"/>
              </w:rPr>
              <w:t>组织</w:t>
            </w:r>
          </w:p>
        </w:tc>
      </w:tr>
      <w:tr w:rsidR="007C07EC" w:rsidRPr="00D00159" w:rsidTr="003D28BC">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化学药物用药指导的基因检测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170</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B</w:t>
            </w:r>
            <w:r w:rsidRPr="00D00159">
              <w:rPr>
                <w:rFonts w:ascii="Times New Roman" w:eastAsia="等线" w:hAnsi="Times New Roman"/>
                <w:kern w:val="0"/>
                <w:szCs w:val="21"/>
              </w:rPr>
              <w:t>系淋巴瘤相关基因突变筛查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人类</w:t>
            </w:r>
            <w:r w:rsidRPr="00D00159">
              <w:rPr>
                <w:rFonts w:ascii="宋体" w:hAnsi="宋体" w:cs="宋体" w:hint="eastAsia"/>
                <w:szCs w:val="21"/>
              </w:rPr>
              <w:t>K-RAS</w:t>
            </w:r>
            <w:r w:rsidRPr="00D00159">
              <w:rPr>
                <w:rFonts w:ascii="宋体" w:hAnsi="宋体" w:cs="宋体" w:hint="eastAsia"/>
                <w:szCs w:val="21"/>
              </w:rPr>
              <w:t>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4117</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r w:rsidRPr="00D00159">
              <w:rPr>
                <w:rFonts w:ascii="宋体" w:hAnsi="宋体" w:cs="宋体" w:hint="eastAsia"/>
                <w:szCs w:val="21"/>
              </w:rPr>
              <w:t>骨髓</w:t>
            </w:r>
            <w:r w:rsidRPr="00D00159">
              <w:rPr>
                <w:rFonts w:ascii="宋体" w:hAnsi="宋体" w:cs="宋体" w:hint="eastAsia"/>
                <w:szCs w:val="21"/>
              </w:rPr>
              <w:t>/</w:t>
            </w:r>
            <w:r w:rsidRPr="00D00159">
              <w:rPr>
                <w:rFonts w:ascii="宋体" w:hAnsi="宋体" w:cs="宋体" w:hint="eastAsia"/>
                <w:szCs w:val="21"/>
              </w:rPr>
              <w:t>外周血</w:t>
            </w:r>
            <w:r w:rsidRPr="00D00159">
              <w:rPr>
                <w:rFonts w:ascii="宋体" w:hAnsi="宋体" w:cs="宋体" w:hint="eastAsia"/>
                <w:szCs w:val="21"/>
              </w:rPr>
              <w:t>/</w:t>
            </w:r>
            <w:r w:rsidRPr="00D00159">
              <w:rPr>
                <w:rFonts w:ascii="宋体" w:hAnsi="宋体" w:cs="宋体" w:hint="eastAsia"/>
                <w:szCs w:val="21"/>
              </w:rPr>
              <w:t>组织</w:t>
            </w:r>
          </w:p>
        </w:tc>
      </w:tr>
      <w:tr w:rsidR="007C07EC" w:rsidRPr="00D00159" w:rsidTr="003D28BC">
        <w:trPr>
          <w:trHeight w:val="40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人类B-RAF基因V600E突变检测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4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5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171</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61"/>
              </w:rPr>
              <w:t xml:space="preserve">MDS </w:t>
            </w:r>
            <w:r w:rsidRPr="00D00159">
              <w:rPr>
                <w:rStyle w:val="font51"/>
                <w:rFonts w:hint="default"/>
              </w:rPr>
              <w:t>相关基因突变筛查全套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人类K-RAS基因突变检测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4778</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7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54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172</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AML</w:t>
            </w:r>
            <w:r w:rsidRPr="00D00159">
              <w:rPr>
                <w:rStyle w:val="font51"/>
                <w:rFonts w:hint="default"/>
              </w:rPr>
              <w:t>诊断预后相关基因突变筛查（</w:t>
            </w:r>
            <w:r w:rsidRPr="00D00159">
              <w:rPr>
                <w:rStyle w:val="font61"/>
                <w:rFonts w:eastAsia="等线"/>
              </w:rPr>
              <w:t>14</w:t>
            </w:r>
            <w:r w:rsidRPr="00D00159">
              <w:rPr>
                <w:rStyle w:val="font51"/>
                <w:rFonts w:hint="default"/>
              </w:rPr>
              <w:t>个基因的热点区域或</w:t>
            </w:r>
            <w:r w:rsidRPr="00D00159">
              <w:rPr>
                <w:rStyle w:val="font61"/>
                <w:rFonts w:eastAsia="等线"/>
              </w:rPr>
              <w:t>CDS</w:t>
            </w:r>
            <w:r w:rsidRPr="00D00159">
              <w:rPr>
                <w:rStyle w:val="font51"/>
                <w:rFonts w:hint="defau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人类K-RAS基因突变检测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2726</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8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 w:val="20"/>
                <w:szCs w:val="20"/>
              </w:rPr>
            </w:pPr>
            <w:r w:rsidRPr="00D00159">
              <w:rPr>
                <w:rFonts w:ascii="宋体" w:hAnsi="宋体" w:cs="宋体" w:hint="eastAsia"/>
                <w:kern w:val="0"/>
                <w:sz w:val="20"/>
                <w:szCs w:val="20"/>
              </w:rPr>
              <w:t>173</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Style w:val="font61"/>
              </w:rPr>
              <w:t>MPN</w:t>
            </w:r>
            <w:r w:rsidRPr="00D00159">
              <w:rPr>
                <w:rStyle w:val="font51"/>
                <w:rFonts w:hint="default"/>
              </w:rPr>
              <w:t>诊断相关基因突变筛查（</w:t>
            </w:r>
            <w:r w:rsidRPr="00D00159">
              <w:rPr>
                <w:rStyle w:val="font61"/>
              </w:rPr>
              <w:t>4</w:t>
            </w:r>
            <w:r w:rsidRPr="00D00159">
              <w:rPr>
                <w:rStyle w:val="font51"/>
                <w:rFonts w:hint="default"/>
              </w:rPr>
              <w:t>个基因的热点突变区域）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25070300100*2</w:t>
            </w:r>
            <w:r w:rsidRPr="00D00159">
              <w:rPr>
                <w:rFonts w:ascii="宋体" w:hAnsi="宋体" w:cs="宋体" w:hint="eastAsia"/>
                <w:kern w:val="0"/>
                <w:sz w:val="20"/>
                <w:szCs w:val="20"/>
              </w:rPr>
              <w:t>化学药物用药指导的基因检测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1644</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4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 w:val="20"/>
                <w:szCs w:val="20"/>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25070300100*3</w:t>
            </w:r>
            <w:r w:rsidRPr="00D00159">
              <w:rPr>
                <w:rFonts w:ascii="宋体" w:hAnsi="宋体" w:cs="宋体" w:hint="eastAsia"/>
                <w:kern w:val="0"/>
                <w:sz w:val="20"/>
                <w:szCs w:val="20"/>
              </w:rPr>
              <w:t>化学药物用药指导的基因检测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4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 w:val="20"/>
                <w:szCs w:val="20"/>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25070300100*1</w:t>
            </w:r>
            <w:r w:rsidRPr="00D00159">
              <w:rPr>
                <w:rFonts w:ascii="宋体" w:hAnsi="宋体" w:cs="宋体" w:hint="eastAsia"/>
                <w:kern w:val="0"/>
                <w:sz w:val="20"/>
                <w:szCs w:val="20"/>
              </w:rPr>
              <w:t>化学药物用药指导的基因检测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31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174</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MDS/MPN</w:t>
            </w:r>
            <w:r w:rsidRPr="00D00159">
              <w:rPr>
                <w:rStyle w:val="font51"/>
                <w:rFonts w:hint="default"/>
              </w:rPr>
              <w:t>诊断预后相关基因突变筛查（</w:t>
            </w:r>
            <w:r w:rsidRPr="00D00159">
              <w:rPr>
                <w:rStyle w:val="font61"/>
                <w:rFonts w:eastAsia="等线"/>
              </w:rPr>
              <w:t>8</w:t>
            </w:r>
            <w:r w:rsidRPr="00D00159">
              <w:rPr>
                <w:rStyle w:val="font51"/>
                <w:rFonts w:hint="default"/>
              </w:rPr>
              <w:t>个基因的热点区域）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人类K-RAS基因突变检测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2213</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68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5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175</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MDS</w:t>
            </w:r>
            <w:r w:rsidRPr="00D00159">
              <w:rPr>
                <w:rStyle w:val="font51"/>
                <w:rFonts w:hint="default"/>
              </w:rPr>
              <w:t>诊断预后相关基因突变筛查（</w:t>
            </w:r>
            <w:r w:rsidRPr="00D00159">
              <w:rPr>
                <w:rStyle w:val="font61"/>
                <w:rFonts w:eastAsia="等线"/>
              </w:rPr>
              <w:t>12</w:t>
            </w:r>
            <w:r w:rsidRPr="00D00159">
              <w:rPr>
                <w:rStyle w:val="font51"/>
                <w:rFonts w:hint="default"/>
              </w:rPr>
              <w:t>个基因的热点区域或</w:t>
            </w:r>
            <w:r w:rsidRPr="00D00159">
              <w:rPr>
                <w:rStyle w:val="font61"/>
                <w:rFonts w:eastAsia="等线"/>
              </w:rPr>
              <w:t>CDS</w:t>
            </w:r>
            <w:r w:rsidRPr="00D00159">
              <w:rPr>
                <w:rStyle w:val="font51"/>
                <w:rFonts w:hint="defau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人类K-RAS基因突变检测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2726</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52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left"/>
              <w:rPr>
                <w:rFonts w:ascii="宋体" w:hAnsi="宋体" w:cs="宋体"/>
                <w:szCs w:val="21"/>
              </w:rPr>
            </w:pPr>
          </w:p>
        </w:tc>
      </w:tr>
      <w:tr w:rsidR="007C07EC" w:rsidRPr="00D00159" w:rsidTr="003D28BC">
        <w:trPr>
          <w:trHeight w:val="148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176</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血液肿瘤融合基因筛查全套</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人类EML4-ALK融合基因检测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5010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120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r>
      <w:tr w:rsidR="007C07EC" w:rsidRPr="00D00159" w:rsidTr="003D28BC">
        <w:trPr>
          <w:trHeight w:val="12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177</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Fonts w:ascii="Times New Roman" w:eastAsia="等线" w:hAnsi="Times New Roman"/>
                <w:kern w:val="0"/>
                <w:szCs w:val="21"/>
              </w:rPr>
              <w:t>血液肿瘤融合基因转录组测序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人类EML4-ALK融合基因检测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5010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骨髓</w:t>
            </w:r>
            <w:r w:rsidRPr="00D00159">
              <w:rPr>
                <w:rFonts w:ascii="宋体" w:hAnsi="宋体" w:cs="宋体" w:hint="eastAsia"/>
                <w:kern w:val="0"/>
                <w:szCs w:val="21"/>
              </w:rPr>
              <w:t>/</w:t>
            </w:r>
            <w:r w:rsidRPr="00D00159">
              <w:rPr>
                <w:rFonts w:ascii="宋体" w:hAnsi="宋体" w:cs="宋体" w:hint="eastAsia"/>
                <w:kern w:val="0"/>
                <w:szCs w:val="21"/>
              </w:rPr>
              <w:t>外周血</w:t>
            </w:r>
          </w:p>
        </w:tc>
      </w:tr>
      <w:tr w:rsidR="007C07EC" w:rsidRPr="00D00159" w:rsidTr="003D28BC">
        <w:trPr>
          <w:trHeight w:val="1440"/>
        </w:trPr>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Times New Roman" w:eastAsia="等线" w:hAnsi="Times New Roman"/>
                <w:szCs w:val="21"/>
              </w:rPr>
            </w:pPr>
          </w:p>
        </w:tc>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Times New Roman" w:eastAsia="等线" w:hAnsi="Times New Roman"/>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白血病融合基因分型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jc w:val="center"/>
              <w:rPr>
                <w:rFonts w:ascii="宋体" w:hAnsi="宋体" w:cs="宋体"/>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rPr>
                <w:rFonts w:ascii="宋体" w:hAnsi="宋体" w:cs="宋体"/>
                <w:szCs w:val="21"/>
              </w:rPr>
            </w:pPr>
          </w:p>
        </w:tc>
      </w:tr>
      <w:tr w:rsidR="007C07EC" w:rsidRPr="00D00159" w:rsidTr="003D28BC">
        <w:trPr>
          <w:trHeight w:val="12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TP53</w:t>
            </w:r>
            <w:r w:rsidRPr="00D00159">
              <w:rPr>
                <w:rStyle w:val="font51"/>
                <w:rFonts w:hint="default"/>
              </w:rPr>
              <w:t>基因全部外显子突变检测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1463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179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RUNX1</w:t>
            </w:r>
            <w:r w:rsidRPr="00D00159">
              <w:rPr>
                <w:rStyle w:val="font51"/>
                <w:rFonts w:hint="default"/>
              </w:rPr>
              <w:t>基因全部外显子突变检测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1463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ASXL1-Exon12</w:t>
            </w:r>
            <w:r w:rsidRPr="00D00159">
              <w:rPr>
                <w:rStyle w:val="font51"/>
                <w:rFonts w:hint="default"/>
              </w:rPr>
              <w:t>基因突变检测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1463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TET2-Exon3-11</w:t>
            </w:r>
            <w:r w:rsidRPr="00D00159">
              <w:rPr>
                <w:rStyle w:val="font51"/>
                <w:rFonts w:hint="default"/>
              </w:rPr>
              <w:t>基因突变检测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 w:val="20"/>
                <w:szCs w:val="20"/>
              </w:rPr>
            </w:pPr>
            <w:r w:rsidRPr="00D00159">
              <w:rPr>
                <w:rFonts w:ascii="宋体" w:hAnsi="宋体" w:cs="宋体" w:hint="eastAsia"/>
                <w:kern w:val="0"/>
                <w:sz w:val="20"/>
                <w:szCs w:val="20"/>
              </w:rPr>
              <w:t>化学药物用药指导的基因检测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1463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Style w:val="font51"/>
                <w:rFonts w:hint="default"/>
              </w:rPr>
              <w:t>骨髓</w:t>
            </w:r>
            <w:r w:rsidRPr="00D00159">
              <w:rPr>
                <w:rStyle w:val="font61"/>
              </w:rPr>
              <w:t>/</w:t>
            </w:r>
            <w:r w:rsidRPr="00D00159">
              <w:rPr>
                <w:rStyle w:val="font51"/>
                <w:rFonts w:hint="default"/>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182</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嗜血细胞综合症（基因</w:t>
            </w:r>
            <w:r w:rsidRPr="00D00159">
              <w:rPr>
                <w:rStyle w:val="font61"/>
              </w:rPr>
              <w:t>15</w:t>
            </w:r>
            <w:r w:rsidRPr="00D00159">
              <w:rPr>
                <w:rStyle w:val="font51"/>
                <w:rFonts w:hint="default"/>
              </w:rPr>
              <w:t>项）</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183</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IBMP</w:t>
            </w:r>
            <w:r w:rsidRPr="00D00159">
              <w:rPr>
                <w:rStyle w:val="font51"/>
                <w:rFonts w:hint="default"/>
              </w:rPr>
              <w:t>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184</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范可尼贫血基因突变筛查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185</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遗传性铁粒幼细胞贫血基因突变筛查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1539</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186</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Times New Roman" w:eastAsia="等线" w:hAnsi="Times New Roman"/>
                <w:szCs w:val="21"/>
              </w:rPr>
            </w:pPr>
            <w:r w:rsidRPr="00D00159">
              <w:rPr>
                <w:rStyle w:val="font61"/>
                <w:rFonts w:eastAsia="等线"/>
              </w:rPr>
              <w:t>WAS</w:t>
            </w:r>
            <w:r w:rsidRPr="00D00159">
              <w:rPr>
                <w:rStyle w:val="font51"/>
                <w:rFonts w:hint="default"/>
              </w:rPr>
              <w:t>综合征基因突变筛查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1539</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187</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遗传性出凝血疾病基因突变筛查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312"/>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188</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Fonts w:ascii="宋体" w:hAnsi="宋体" w:cs="宋体" w:hint="eastAsia"/>
                <w:kern w:val="0"/>
                <w:szCs w:val="21"/>
              </w:rPr>
              <w:t>全谱遗传病基因突变筛查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8721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189</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先天性纯红细胞再生障碍性贫血（</w:t>
            </w:r>
            <w:r w:rsidRPr="00D00159">
              <w:rPr>
                <w:rStyle w:val="font61"/>
              </w:rPr>
              <w:t>DBA</w:t>
            </w:r>
            <w:r w:rsidRPr="00D00159">
              <w:rPr>
                <w:rStyle w:val="font51"/>
                <w:rFonts w:hint="default"/>
              </w:rPr>
              <w:t>）基因突变筛查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5130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190</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先天性角化不良（</w:t>
            </w:r>
            <w:r w:rsidRPr="00D00159">
              <w:rPr>
                <w:rStyle w:val="font61"/>
              </w:rPr>
              <w:t>DC</w:t>
            </w:r>
            <w:r w:rsidRPr="00D00159">
              <w:rPr>
                <w:rStyle w:val="font51"/>
                <w:rFonts w:hint="default"/>
              </w:rPr>
              <w:t>）基因突变筛查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4617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r w:rsidR="007C07EC" w:rsidRPr="00D00159" w:rsidTr="003D28BC">
        <w:trPr>
          <w:trHeight w:val="57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Times New Roman" w:eastAsia="等线" w:hAnsi="Times New Roman"/>
                <w:szCs w:val="21"/>
              </w:rPr>
            </w:pPr>
            <w:r w:rsidRPr="00D00159">
              <w:rPr>
                <w:rFonts w:ascii="Times New Roman" w:eastAsia="等线" w:hAnsi="Times New Roman"/>
                <w:kern w:val="0"/>
                <w:szCs w:val="21"/>
              </w:rPr>
              <w:t>191</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textAlignment w:val="center"/>
              <w:rPr>
                <w:rFonts w:ascii="宋体" w:hAnsi="宋体" w:cs="宋体"/>
                <w:szCs w:val="21"/>
              </w:rPr>
            </w:pPr>
            <w:r w:rsidRPr="00D00159">
              <w:rPr>
                <w:rStyle w:val="font51"/>
                <w:rFonts w:hint="default"/>
              </w:rPr>
              <w:t>重症先天性中性粒细胞减少症（</w:t>
            </w:r>
            <w:r w:rsidRPr="00D00159">
              <w:rPr>
                <w:rStyle w:val="font61"/>
              </w:rPr>
              <w:t>SCN</w:t>
            </w:r>
            <w:r w:rsidRPr="00D00159">
              <w:rPr>
                <w:rStyle w:val="font51"/>
                <w:rFonts w:hint="default"/>
              </w:rPr>
              <w:t>）基因突变筛查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等线" w:eastAsia="等线" w:hAnsi="等线" w:cs="等线"/>
                <w:sz w:val="20"/>
                <w:szCs w:val="20"/>
              </w:rPr>
            </w:pPr>
            <w:r w:rsidRPr="00D00159">
              <w:rPr>
                <w:rFonts w:ascii="等线" w:eastAsia="等线" w:hAnsi="等线" w:cs="等线" w:hint="eastAsia"/>
                <w:kern w:val="0"/>
                <w:sz w:val="20"/>
                <w:szCs w:val="20"/>
              </w:rPr>
              <w:t>单基因遗传病基因突变检测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center"/>
              <w:textAlignment w:val="center"/>
              <w:rPr>
                <w:rFonts w:ascii="宋体" w:hAnsi="宋体" w:cs="宋体"/>
                <w:szCs w:val="21"/>
              </w:rPr>
            </w:pPr>
            <w:r w:rsidRPr="00D00159">
              <w:rPr>
                <w:rFonts w:ascii="宋体" w:hAnsi="宋体" w:cs="宋体" w:hint="eastAsia"/>
                <w:kern w:val="0"/>
                <w:szCs w:val="21"/>
              </w:rPr>
              <w:t>4617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7EC" w:rsidRPr="00D00159" w:rsidRDefault="007C07EC" w:rsidP="003D28BC">
            <w:pPr>
              <w:widowControl/>
              <w:jc w:val="left"/>
              <w:textAlignment w:val="center"/>
              <w:rPr>
                <w:rFonts w:ascii="宋体" w:hAnsi="宋体" w:cs="宋体"/>
                <w:szCs w:val="21"/>
              </w:rPr>
            </w:pPr>
            <w:r w:rsidRPr="00D00159">
              <w:rPr>
                <w:rFonts w:ascii="宋体" w:hAnsi="宋体" w:cs="宋体" w:hint="eastAsia"/>
                <w:kern w:val="0"/>
                <w:szCs w:val="21"/>
              </w:rPr>
              <w:t>外周血</w:t>
            </w:r>
          </w:p>
        </w:tc>
      </w:tr>
    </w:tbl>
    <w:p w:rsidR="007C07EC" w:rsidRPr="00EB193B" w:rsidRDefault="007C07EC" w:rsidP="007619E3">
      <w:pPr>
        <w:ind w:firstLineChars="200" w:firstLine="480"/>
        <w:rPr>
          <w:rFonts w:ascii="宋体" w:eastAsia="宋体" w:hAnsi="宋体"/>
          <w:color w:val="000000"/>
          <w:sz w:val="24"/>
          <w:szCs w:val="24"/>
        </w:rPr>
      </w:pPr>
    </w:p>
    <w:sectPr w:rsidR="007C07EC" w:rsidRPr="00EB1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0F5" w:rsidRDefault="002670F5" w:rsidP="00266948">
      <w:r>
        <w:separator/>
      </w:r>
    </w:p>
  </w:endnote>
  <w:endnote w:type="continuationSeparator" w:id="0">
    <w:p w:rsidR="002670F5" w:rsidRDefault="002670F5" w:rsidP="002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0F5" w:rsidRDefault="002670F5" w:rsidP="00266948">
      <w:r>
        <w:separator/>
      </w:r>
    </w:p>
  </w:footnote>
  <w:footnote w:type="continuationSeparator" w:id="0">
    <w:p w:rsidR="002670F5" w:rsidRDefault="002670F5" w:rsidP="00266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5FCC"/>
    <w:multiLevelType w:val="hybridMultilevel"/>
    <w:tmpl w:val="E9A853E0"/>
    <w:lvl w:ilvl="0" w:tplc="B158057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C9C6843"/>
    <w:multiLevelType w:val="singleLevel"/>
    <w:tmpl w:val="5C9C6843"/>
    <w:lvl w:ilvl="0">
      <w:start w:val="3"/>
      <w:numFmt w:val="chineseCounting"/>
      <w:suff w:val="nothing"/>
      <w:lvlText w:val="%1、"/>
      <w:lvlJc w:val="left"/>
    </w:lvl>
  </w:abstractNum>
  <w:abstractNum w:abstractNumId="2" w15:restartNumberingAfterBreak="0">
    <w:nsid w:val="5C9C68AB"/>
    <w:multiLevelType w:val="singleLevel"/>
    <w:tmpl w:val="5C9C68AB"/>
    <w:lvl w:ilvl="0">
      <w:start w:val="3"/>
      <w:numFmt w:val="chineseCounting"/>
      <w:suff w:val="nothing"/>
      <w:lvlText w:val="%1、"/>
      <w:lvlJc w:val="left"/>
    </w:lvl>
  </w:abstractNum>
  <w:abstractNum w:abstractNumId="3" w15:restartNumberingAfterBreak="0">
    <w:nsid w:val="60736A69"/>
    <w:multiLevelType w:val="hybridMultilevel"/>
    <w:tmpl w:val="6930CBEC"/>
    <w:lvl w:ilvl="0" w:tplc="F66E64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CD1463"/>
    <w:multiLevelType w:val="hybridMultilevel"/>
    <w:tmpl w:val="5C7EC914"/>
    <w:lvl w:ilvl="0" w:tplc="D292C52A">
      <w:start w:val="1"/>
      <w:numFmt w:val="japaneseCounting"/>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6D051FFD"/>
    <w:multiLevelType w:val="hybridMultilevel"/>
    <w:tmpl w:val="75CEBBE6"/>
    <w:lvl w:ilvl="0" w:tplc="E8C434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E4"/>
    <w:rsid w:val="000D2AED"/>
    <w:rsid w:val="000D3396"/>
    <w:rsid w:val="00266948"/>
    <w:rsid w:val="002670F5"/>
    <w:rsid w:val="005D0981"/>
    <w:rsid w:val="00705880"/>
    <w:rsid w:val="00740E04"/>
    <w:rsid w:val="007619E3"/>
    <w:rsid w:val="007C07EC"/>
    <w:rsid w:val="009373AB"/>
    <w:rsid w:val="009E4C64"/>
    <w:rsid w:val="00A05EE4"/>
    <w:rsid w:val="00BE717D"/>
    <w:rsid w:val="00C31607"/>
    <w:rsid w:val="00CE0C08"/>
    <w:rsid w:val="00CE4BE8"/>
    <w:rsid w:val="00D7019D"/>
    <w:rsid w:val="00E86A94"/>
    <w:rsid w:val="00EB193B"/>
    <w:rsid w:val="00F4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C04F3"/>
  <w15:chartTrackingRefBased/>
  <w15:docId w15:val="{74803FA3-39AF-4485-8446-852B5A92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7C07EC"/>
    <w:pPr>
      <w:keepNext/>
      <w:keepLines/>
      <w:spacing w:line="576"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3AB"/>
    <w:pPr>
      <w:ind w:firstLineChars="200" w:firstLine="420"/>
    </w:pPr>
  </w:style>
  <w:style w:type="character" w:customStyle="1" w:styleId="10">
    <w:name w:val="标题 1 字符"/>
    <w:basedOn w:val="a0"/>
    <w:uiPriority w:val="9"/>
    <w:rsid w:val="007C07EC"/>
    <w:rPr>
      <w:b/>
      <w:bCs/>
      <w:kern w:val="44"/>
      <w:sz w:val="44"/>
      <w:szCs w:val="44"/>
    </w:rPr>
  </w:style>
  <w:style w:type="paragraph" w:styleId="a4">
    <w:name w:val="Balloon Text"/>
    <w:basedOn w:val="a"/>
    <w:link w:val="12"/>
    <w:uiPriority w:val="99"/>
    <w:unhideWhenUsed/>
    <w:rsid w:val="007C07EC"/>
    <w:rPr>
      <w:rFonts w:ascii="Calibri" w:eastAsia="宋体" w:hAnsi="Calibri" w:cs="Times New Roman"/>
      <w:sz w:val="18"/>
      <w:szCs w:val="18"/>
    </w:rPr>
  </w:style>
  <w:style w:type="character" w:customStyle="1" w:styleId="a5">
    <w:name w:val="批注框文本 字符"/>
    <w:basedOn w:val="a0"/>
    <w:uiPriority w:val="99"/>
    <w:semiHidden/>
    <w:rsid w:val="007C07EC"/>
    <w:rPr>
      <w:sz w:val="18"/>
      <w:szCs w:val="18"/>
    </w:rPr>
  </w:style>
  <w:style w:type="character" w:customStyle="1" w:styleId="12">
    <w:name w:val="批注框文本 字符1"/>
    <w:link w:val="a4"/>
    <w:uiPriority w:val="99"/>
    <w:rsid w:val="007C07EC"/>
    <w:rPr>
      <w:rFonts w:ascii="Calibri" w:eastAsia="宋体" w:hAnsi="Calibri" w:cs="Times New Roman"/>
      <w:sz w:val="18"/>
      <w:szCs w:val="18"/>
    </w:rPr>
  </w:style>
  <w:style w:type="paragraph" w:styleId="a6">
    <w:name w:val="footer"/>
    <w:basedOn w:val="a"/>
    <w:link w:val="13"/>
    <w:unhideWhenUsed/>
    <w:qFormat/>
    <w:rsid w:val="007C07EC"/>
    <w:pPr>
      <w:tabs>
        <w:tab w:val="center" w:pos="4153"/>
        <w:tab w:val="right" w:pos="8306"/>
      </w:tabs>
      <w:snapToGrid w:val="0"/>
      <w:jc w:val="left"/>
    </w:pPr>
    <w:rPr>
      <w:rFonts w:ascii="Calibri" w:eastAsia="宋体" w:hAnsi="Calibri" w:cs="Times New Roman"/>
      <w:sz w:val="18"/>
    </w:rPr>
  </w:style>
  <w:style w:type="character" w:customStyle="1" w:styleId="a7">
    <w:name w:val="页脚 字符"/>
    <w:basedOn w:val="a0"/>
    <w:uiPriority w:val="99"/>
    <w:semiHidden/>
    <w:rsid w:val="007C07EC"/>
    <w:rPr>
      <w:sz w:val="18"/>
      <w:szCs w:val="18"/>
    </w:rPr>
  </w:style>
  <w:style w:type="paragraph" w:styleId="a8">
    <w:name w:val="header"/>
    <w:basedOn w:val="a"/>
    <w:link w:val="14"/>
    <w:unhideWhenUsed/>
    <w:qFormat/>
    <w:rsid w:val="007C07E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rPr>
  </w:style>
  <w:style w:type="character" w:customStyle="1" w:styleId="a9">
    <w:name w:val="页眉 字符"/>
    <w:basedOn w:val="a0"/>
    <w:uiPriority w:val="99"/>
    <w:semiHidden/>
    <w:rsid w:val="007C07EC"/>
    <w:rPr>
      <w:sz w:val="18"/>
      <w:szCs w:val="18"/>
    </w:rPr>
  </w:style>
  <w:style w:type="paragraph" w:customStyle="1" w:styleId="15">
    <w:name w:val="列出段落1"/>
    <w:basedOn w:val="a"/>
    <w:uiPriority w:val="34"/>
    <w:qFormat/>
    <w:rsid w:val="007C07EC"/>
    <w:pPr>
      <w:ind w:firstLineChars="200" w:firstLine="420"/>
    </w:pPr>
    <w:rPr>
      <w:rFonts w:ascii="Calibri" w:eastAsia="宋体" w:hAnsi="Calibri" w:cs="Times New Roman"/>
    </w:rPr>
  </w:style>
  <w:style w:type="character" w:customStyle="1" w:styleId="11">
    <w:name w:val="标题 1 字符1"/>
    <w:link w:val="1"/>
    <w:rsid w:val="007C07EC"/>
    <w:rPr>
      <w:rFonts w:ascii="Calibri" w:eastAsia="宋体" w:hAnsi="Calibri" w:cs="Times New Roman"/>
      <w:b/>
      <w:kern w:val="44"/>
      <w:sz w:val="44"/>
      <w:szCs w:val="24"/>
    </w:rPr>
  </w:style>
  <w:style w:type="character" w:customStyle="1" w:styleId="font51">
    <w:name w:val="font51"/>
    <w:qFormat/>
    <w:rsid w:val="007C07EC"/>
    <w:rPr>
      <w:rFonts w:ascii="宋体" w:eastAsia="宋体" w:hAnsi="宋体" w:cs="宋体" w:hint="eastAsia"/>
      <w:color w:val="000000"/>
      <w:sz w:val="21"/>
      <w:szCs w:val="21"/>
      <w:u w:val="none"/>
    </w:rPr>
  </w:style>
  <w:style w:type="character" w:customStyle="1" w:styleId="font61">
    <w:name w:val="font61"/>
    <w:rsid w:val="007C07EC"/>
    <w:rPr>
      <w:rFonts w:ascii="Times New Roman" w:hAnsi="Times New Roman" w:cs="Times New Roman" w:hint="default"/>
      <w:color w:val="000000"/>
      <w:sz w:val="21"/>
      <w:szCs w:val="21"/>
      <w:u w:val="none"/>
    </w:rPr>
  </w:style>
  <w:style w:type="character" w:customStyle="1" w:styleId="font121">
    <w:name w:val="font121"/>
    <w:qFormat/>
    <w:rsid w:val="007C07EC"/>
    <w:rPr>
      <w:rFonts w:ascii="方正书宋_GBK" w:eastAsia="方正书宋_GBK" w:hAnsi="方正书宋_GBK" w:cs="方正书宋_GBK"/>
      <w:color w:val="000000"/>
      <w:sz w:val="21"/>
      <w:szCs w:val="21"/>
      <w:u w:val="none"/>
    </w:rPr>
  </w:style>
  <w:style w:type="character" w:customStyle="1" w:styleId="14">
    <w:name w:val="页眉 字符1"/>
    <w:link w:val="a8"/>
    <w:rsid w:val="007C07EC"/>
    <w:rPr>
      <w:rFonts w:ascii="Calibri" w:eastAsia="宋体" w:hAnsi="Calibri" w:cs="Times New Roman"/>
      <w:sz w:val="18"/>
    </w:rPr>
  </w:style>
  <w:style w:type="character" w:customStyle="1" w:styleId="13">
    <w:name w:val="页脚 字符1"/>
    <w:link w:val="a6"/>
    <w:rsid w:val="007C07EC"/>
    <w:rPr>
      <w:rFonts w:ascii="Calibri" w:eastAsia="宋体" w:hAnsi="Calibr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2023-08-10T08:03:00Z</dcterms:created>
  <dcterms:modified xsi:type="dcterms:W3CDTF">2023-08-11T01:04:00Z</dcterms:modified>
</cp:coreProperties>
</file>