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407" w:rsidRPr="005D0981" w:rsidRDefault="00B03987" w:rsidP="00F44407">
      <w:pPr>
        <w:ind w:left="420"/>
        <w:jc w:val="center"/>
        <w:rPr>
          <w:rFonts w:ascii="宋体" w:eastAsia="宋体" w:hAnsi="宋体"/>
          <w:color w:val="000000"/>
          <w:sz w:val="32"/>
          <w:szCs w:val="21"/>
        </w:rPr>
      </w:pPr>
      <w:r>
        <w:rPr>
          <w:rFonts w:ascii="宋体" w:eastAsia="宋体" w:hAnsi="宋体" w:hint="eastAsia"/>
          <w:color w:val="000000"/>
          <w:sz w:val="32"/>
          <w:szCs w:val="21"/>
        </w:rPr>
        <w:t>医学检验外送</w:t>
      </w:r>
      <w:r w:rsidR="00F44407" w:rsidRPr="005D0981">
        <w:rPr>
          <w:rFonts w:ascii="宋体" w:eastAsia="宋体" w:hAnsi="宋体" w:hint="eastAsia"/>
          <w:color w:val="000000"/>
          <w:sz w:val="32"/>
          <w:szCs w:val="21"/>
        </w:rPr>
        <w:t>服务采购内容及需求</w:t>
      </w:r>
    </w:p>
    <w:p w:rsidR="009373AB" w:rsidRPr="00705880" w:rsidRDefault="00705880" w:rsidP="00705880">
      <w:pPr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一、</w:t>
      </w:r>
      <w:r w:rsidR="009373AB" w:rsidRPr="00705880">
        <w:rPr>
          <w:rFonts w:ascii="宋体" w:eastAsia="宋体" w:hAnsi="宋体"/>
          <w:color w:val="000000"/>
          <w:sz w:val="24"/>
          <w:szCs w:val="24"/>
        </w:rPr>
        <w:t xml:space="preserve">项目概况 </w:t>
      </w:r>
    </w:p>
    <w:p w:rsidR="009373AB" w:rsidRPr="00EB193B" w:rsidRDefault="009373AB" w:rsidP="009373AB">
      <w:pPr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EB193B">
        <w:rPr>
          <w:rFonts w:ascii="宋体" w:eastAsia="宋体" w:hAnsi="宋体"/>
          <w:color w:val="000000"/>
          <w:sz w:val="24"/>
          <w:szCs w:val="24"/>
        </w:rPr>
        <w:t>本次采购内容为</w:t>
      </w:r>
      <w:r w:rsidR="00750917" w:rsidRPr="00750917">
        <w:rPr>
          <w:rFonts w:ascii="宋体" w:eastAsia="宋体" w:hAnsi="宋体" w:hint="eastAsia"/>
          <w:color w:val="000000"/>
          <w:sz w:val="24"/>
          <w:szCs w:val="24"/>
        </w:rPr>
        <w:t>医学检验外送服务</w:t>
      </w:r>
      <w:r w:rsidRPr="00EB193B">
        <w:rPr>
          <w:rFonts w:ascii="宋体" w:eastAsia="宋体" w:hAnsi="宋体"/>
          <w:color w:val="000000"/>
          <w:sz w:val="24"/>
          <w:szCs w:val="24"/>
        </w:rPr>
        <w:t>，</w:t>
      </w:r>
      <w:r w:rsidR="00D33420" w:rsidRPr="00D33420">
        <w:rPr>
          <w:rFonts w:ascii="宋体" w:eastAsia="宋体" w:hAnsi="宋体"/>
          <w:color w:val="000000"/>
          <w:sz w:val="24"/>
          <w:szCs w:val="24"/>
        </w:rPr>
        <w:t>包括</w:t>
      </w:r>
      <w:r w:rsidR="00D33420" w:rsidRPr="00D33420">
        <w:rPr>
          <w:rFonts w:ascii="宋体" w:eastAsia="宋体" w:hAnsi="宋体" w:hint="eastAsia"/>
          <w:color w:val="000000"/>
          <w:sz w:val="24"/>
          <w:szCs w:val="24"/>
        </w:rPr>
        <w:t>但不限于样本采集、运输服务，配套车辆设备，配备服务人员，售后服务，质量监控信息，外送标本检测成本等</w:t>
      </w:r>
      <w:r w:rsidRPr="00EB193B">
        <w:rPr>
          <w:rFonts w:ascii="宋体" w:eastAsia="宋体" w:hAnsi="宋体"/>
          <w:color w:val="000000"/>
          <w:sz w:val="24"/>
          <w:szCs w:val="24"/>
        </w:rPr>
        <w:t xml:space="preserve">全部工作。 </w:t>
      </w:r>
    </w:p>
    <w:p w:rsidR="007619E3" w:rsidRPr="00EB193B" w:rsidRDefault="009373AB" w:rsidP="009373AB">
      <w:pPr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EB193B">
        <w:rPr>
          <w:rFonts w:ascii="宋体" w:eastAsia="宋体" w:hAnsi="宋体"/>
          <w:color w:val="000000"/>
          <w:sz w:val="24"/>
          <w:szCs w:val="24"/>
        </w:rPr>
        <w:t>二、检测项目：详见附件 1。</w:t>
      </w:r>
    </w:p>
    <w:p w:rsidR="007619E3" w:rsidRPr="00EB193B" w:rsidRDefault="009373AB" w:rsidP="009373A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EB193B">
        <w:rPr>
          <w:rFonts w:ascii="宋体" w:eastAsia="宋体" w:hAnsi="宋体"/>
          <w:sz w:val="24"/>
          <w:szCs w:val="24"/>
        </w:rPr>
        <w:t xml:space="preserve">三、服务要求 </w:t>
      </w:r>
    </w:p>
    <w:p w:rsidR="00465EE5" w:rsidRPr="00465EE5" w:rsidRDefault="00465EE5" w:rsidP="00465EE5">
      <w:pPr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465EE5">
        <w:rPr>
          <w:rFonts w:ascii="宋体" w:eastAsia="宋体" w:hAnsi="宋体" w:hint="eastAsia"/>
          <w:color w:val="000000"/>
          <w:sz w:val="24"/>
          <w:szCs w:val="24"/>
        </w:rPr>
        <w:t>1.1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供应商按院方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要求的时间出具检验报告，特殊标本可适当延长报告时间；报告单可在网上查询。</w:t>
      </w:r>
    </w:p>
    <w:p w:rsidR="00465EE5" w:rsidRPr="00465EE5" w:rsidRDefault="00465EE5" w:rsidP="00465EE5">
      <w:pPr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465EE5">
        <w:rPr>
          <w:rFonts w:ascii="宋体" w:eastAsia="宋体" w:hAnsi="宋体" w:hint="eastAsia"/>
          <w:color w:val="000000"/>
          <w:sz w:val="24"/>
          <w:szCs w:val="24"/>
        </w:rPr>
        <w:t>1.2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供应商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每天一次，特殊情况临时增加一次，全年全天候上门收取标本（农历除夕、大年初一二三、不可抗力情况除外）。</w:t>
      </w:r>
    </w:p>
    <w:p w:rsidR="00465EE5" w:rsidRPr="00465EE5" w:rsidRDefault="00465EE5" w:rsidP="00465EE5">
      <w:pPr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465EE5">
        <w:rPr>
          <w:rFonts w:ascii="宋体" w:eastAsia="宋体" w:hAnsi="宋体" w:hint="eastAsia"/>
          <w:color w:val="000000"/>
          <w:sz w:val="24"/>
          <w:szCs w:val="24"/>
        </w:rPr>
        <w:t>1.3样本运送符合样本温度的管理要求，有专业的标本冷链物流配送，温度控制在全程</w:t>
      </w:r>
      <w:r w:rsidRPr="00465EE5">
        <w:rPr>
          <w:rFonts w:ascii="宋体" w:eastAsia="宋体" w:hAnsi="宋体"/>
          <w:color w:val="000000"/>
          <w:sz w:val="24"/>
          <w:szCs w:val="24"/>
        </w:rPr>
        <w:t>2-8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℃，数据记录保存≥</w:t>
      </w:r>
      <w:r w:rsidRPr="00465EE5">
        <w:rPr>
          <w:rFonts w:ascii="宋体" w:eastAsia="宋体" w:hAnsi="宋体"/>
          <w:color w:val="000000"/>
          <w:sz w:val="24"/>
          <w:szCs w:val="24"/>
        </w:rPr>
        <w:t>2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年，备查。</w:t>
      </w:r>
    </w:p>
    <w:p w:rsidR="00465EE5" w:rsidRPr="00465EE5" w:rsidRDefault="00465EE5" w:rsidP="00465EE5">
      <w:pPr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465EE5">
        <w:rPr>
          <w:rFonts w:ascii="宋体" w:eastAsia="宋体" w:hAnsi="宋体" w:hint="eastAsia"/>
          <w:color w:val="000000"/>
          <w:sz w:val="24"/>
          <w:szCs w:val="24"/>
        </w:rPr>
        <w:t>1.4对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院方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突发情况，按本次中标价格提供紧急检验服务，按照同类外送项目标本扣率收取费用，不另计费。</w:t>
      </w:r>
    </w:p>
    <w:p w:rsidR="00465EE5" w:rsidRPr="00465EE5" w:rsidRDefault="00465EE5" w:rsidP="00465EE5">
      <w:pPr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465EE5">
        <w:rPr>
          <w:rFonts w:ascii="宋体" w:eastAsia="宋体" w:hAnsi="宋体" w:hint="eastAsia"/>
          <w:color w:val="000000"/>
          <w:sz w:val="24"/>
          <w:szCs w:val="24"/>
        </w:rPr>
        <w:t>1.5对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院方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特殊标本，按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院方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要求提供临时加急服务，需提供具体方案及报告出具时限等。</w:t>
      </w:r>
    </w:p>
    <w:p w:rsidR="00465EE5" w:rsidRPr="00465EE5" w:rsidRDefault="00465EE5" w:rsidP="00465EE5">
      <w:pPr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465EE5">
        <w:rPr>
          <w:rFonts w:ascii="宋体" w:eastAsia="宋体" w:hAnsi="宋体" w:hint="eastAsia"/>
          <w:color w:val="000000"/>
          <w:sz w:val="24"/>
          <w:szCs w:val="24"/>
        </w:rPr>
        <w:t>1.6提供专业客户服务人员；服务时效：日常电话及时应答，投诉2小时内回复调查进展；</w:t>
      </w:r>
    </w:p>
    <w:p w:rsidR="00465EE5" w:rsidRPr="00465EE5" w:rsidRDefault="00465EE5" w:rsidP="00465EE5">
      <w:pPr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465EE5">
        <w:rPr>
          <w:rFonts w:ascii="宋体" w:eastAsia="宋体" w:hAnsi="宋体" w:hint="eastAsia"/>
          <w:color w:val="000000"/>
          <w:sz w:val="24"/>
          <w:szCs w:val="24"/>
        </w:rPr>
        <w:t>1.7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供应商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须按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院方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要求将外送检验项目结果需回传至医院</w:t>
      </w:r>
      <w:r w:rsidRPr="00465EE5">
        <w:rPr>
          <w:rFonts w:ascii="宋体" w:eastAsia="宋体" w:hAnsi="宋体"/>
          <w:color w:val="000000"/>
          <w:sz w:val="24"/>
          <w:szCs w:val="24"/>
        </w:rPr>
        <w:t>LIS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系统，并承担相关接口费用。</w:t>
      </w:r>
    </w:p>
    <w:p w:rsidR="00465EE5" w:rsidRPr="00465EE5" w:rsidRDefault="00465EE5" w:rsidP="00465EE5">
      <w:pPr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465EE5">
        <w:rPr>
          <w:rFonts w:ascii="宋体" w:eastAsia="宋体" w:hAnsi="宋体" w:hint="eastAsia"/>
          <w:color w:val="000000"/>
          <w:sz w:val="24"/>
          <w:szCs w:val="24"/>
        </w:rPr>
        <w:t>1.8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供应商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按照检验质控要求，定期提供所有外送项目的室内质控、室间质控报告；</w:t>
      </w:r>
    </w:p>
    <w:p w:rsidR="00465EE5" w:rsidRPr="00465EE5" w:rsidRDefault="00465EE5" w:rsidP="00465EE5">
      <w:pPr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465EE5">
        <w:rPr>
          <w:rFonts w:ascii="宋体" w:eastAsia="宋体" w:hAnsi="宋体" w:hint="eastAsia"/>
          <w:color w:val="000000"/>
          <w:sz w:val="24"/>
          <w:szCs w:val="24"/>
        </w:rPr>
        <w:t>1.9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供应商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按照检验质控要求，定期提供检验仪器设备性能验证报告。</w:t>
      </w:r>
    </w:p>
    <w:p w:rsidR="00465EE5" w:rsidRPr="00465EE5" w:rsidRDefault="00465EE5" w:rsidP="00465EE5">
      <w:pPr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465EE5">
        <w:rPr>
          <w:rFonts w:ascii="宋体" w:eastAsia="宋体" w:hAnsi="宋体" w:hint="eastAsia"/>
          <w:color w:val="000000"/>
          <w:sz w:val="24"/>
          <w:szCs w:val="24"/>
        </w:rPr>
        <w:t>1.10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供应商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根据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院方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要求免费提供院方用于相关标本存放用品、耗材等，提供每次到货清单、随货联、合格证、医疗器械注册证等。</w:t>
      </w:r>
    </w:p>
    <w:p w:rsidR="00465EE5" w:rsidRPr="00465EE5" w:rsidRDefault="00465EE5" w:rsidP="00465EE5">
      <w:pPr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465EE5">
        <w:rPr>
          <w:rFonts w:ascii="宋体" w:eastAsia="宋体" w:hAnsi="宋体" w:hint="eastAsia"/>
          <w:color w:val="000000"/>
          <w:sz w:val="24"/>
          <w:szCs w:val="24"/>
        </w:rPr>
        <w:t>1.11合同期内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供应商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如未按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院方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要求准时出具检测结果，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院方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有权要求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供应商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整改。</w:t>
      </w:r>
      <w:r w:rsidRPr="00465EE5">
        <w:rPr>
          <w:rFonts w:ascii="宋体" w:eastAsia="宋体" w:hAnsi="宋体"/>
          <w:color w:val="000000"/>
          <w:sz w:val="24"/>
          <w:szCs w:val="24"/>
        </w:rPr>
        <w:t>报告时间延迟半天扣检测费的50%，延迟一天检测费减免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，</w:t>
      </w:r>
      <w:r w:rsidRPr="00465EE5">
        <w:rPr>
          <w:rFonts w:ascii="宋体" w:eastAsia="宋体" w:hAnsi="宋体"/>
          <w:color w:val="000000"/>
          <w:sz w:val="24"/>
          <w:szCs w:val="24"/>
        </w:rPr>
        <w:t>如造成投诉纠纷需承担相应责任。五次以上延迟报告的，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院方</w:t>
      </w:r>
      <w:r w:rsidRPr="00465EE5">
        <w:rPr>
          <w:rFonts w:ascii="宋体" w:eastAsia="宋体" w:hAnsi="宋体"/>
          <w:color w:val="000000"/>
          <w:sz w:val="24"/>
          <w:szCs w:val="24"/>
        </w:rPr>
        <w:t>有权提前解除合同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465EE5" w:rsidRPr="00465EE5" w:rsidRDefault="00465EE5" w:rsidP="00465EE5">
      <w:pPr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465EE5">
        <w:rPr>
          <w:rFonts w:ascii="宋体" w:eastAsia="宋体" w:hAnsi="宋体" w:hint="eastAsia"/>
          <w:color w:val="000000"/>
          <w:sz w:val="24"/>
          <w:szCs w:val="24"/>
        </w:rPr>
        <w:t>1.12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供应商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保证按国家检验规范进行操作，并对标本的检验报告承担相应的责任。</w:t>
      </w:r>
      <w:r w:rsidRPr="00465EE5">
        <w:rPr>
          <w:rFonts w:ascii="宋体" w:eastAsia="宋体" w:hAnsi="宋体"/>
          <w:color w:val="000000"/>
          <w:sz w:val="24"/>
          <w:szCs w:val="24"/>
        </w:rPr>
        <w:t>对结果明显有差异的，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供应商</w:t>
      </w:r>
      <w:r w:rsidRPr="00465EE5">
        <w:rPr>
          <w:rFonts w:ascii="宋体" w:eastAsia="宋体" w:hAnsi="宋体"/>
          <w:color w:val="000000"/>
          <w:sz w:val="24"/>
          <w:szCs w:val="24"/>
        </w:rPr>
        <w:t>应无条件免费复查。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因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供应商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原因导致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lastRenderedPageBreak/>
        <w:t>检验报告错误引起的医疗纠纷责任由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供应商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承担，对患方的所有赔（补）偿费用完全由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供应商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支付，</w:t>
      </w:r>
      <w:r w:rsidRPr="00465EE5">
        <w:rPr>
          <w:rFonts w:ascii="宋体" w:eastAsia="宋体" w:hAnsi="宋体"/>
          <w:color w:val="000000"/>
          <w:sz w:val="24"/>
          <w:szCs w:val="24"/>
        </w:rPr>
        <w:t>同时对医院进行相应赔偿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465EE5" w:rsidRPr="00465EE5" w:rsidRDefault="00465EE5" w:rsidP="00465EE5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465EE5">
        <w:rPr>
          <w:rFonts w:ascii="宋体" w:eastAsia="宋体" w:hAnsi="宋体" w:hint="eastAsia"/>
          <w:color w:val="000000"/>
          <w:sz w:val="24"/>
          <w:szCs w:val="24"/>
        </w:rPr>
        <w:t>1.13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供应商</w:t>
      </w:r>
      <w:r w:rsidRPr="00465EE5">
        <w:rPr>
          <w:rFonts w:ascii="宋体" w:eastAsia="宋体" w:hAnsi="宋体"/>
          <w:color w:val="000000"/>
          <w:sz w:val="24"/>
          <w:szCs w:val="24"/>
        </w:rPr>
        <w:t>应根据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甲方</w:t>
      </w:r>
      <w:r w:rsidRPr="00465EE5">
        <w:rPr>
          <w:rFonts w:ascii="宋体" w:eastAsia="宋体" w:hAnsi="宋体"/>
          <w:color w:val="000000"/>
          <w:sz w:val="24"/>
          <w:szCs w:val="24"/>
        </w:rPr>
        <w:t>的要求，为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院方</w:t>
      </w:r>
      <w:r w:rsidRPr="00465EE5">
        <w:rPr>
          <w:rFonts w:ascii="宋体" w:eastAsia="宋体" w:hAnsi="宋体"/>
          <w:color w:val="000000"/>
          <w:sz w:val="24"/>
          <w:szCs w:val="24"/>
        </w:rPr>
        <w:t>提供分析前样本的质量控制等相关内容的培训服务，按照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院方</w:t>
      </w:r>
      <w:r w:rsidRPr="00465EE5">
        <w:rPr>
          <w:rFonts w:ascii="宋体" w:eastAsia="宋体" w:hAnsi="宋体"/>
          <w:color w:val="000000"/>
          <w:sz w:val="24"/>
          <w:szCs w:val="24"/>
        </w:rPr>
        <w:t>的要求维护所有必需的质量控制项目，每季度提交质量控制数据记录。</w:t>
      </w:r>
    </w:p>
    <w:p w:rsidR="00465EE5" w:rsidRPr="00465EE5" w:rsidRDefault="00465EE5" w:rsidP="00465EE5">
      <w:pPr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465EE5">
        <w:rPr>
          <w:rFonts w:ascii="宋体" w:eastAsia="宋体" w:hAnsi="宋体" w:hint="eastAsia"/>
          <w:color w:val="000000"/>
          <w:sz w:val="24"/>
          <w:szCs w:val="24"/>
        </w:rPr>
        <w:t>1.14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院方</w:t>
      </w:r>
      <w:r w:rsidRPr="00465EE5">
        <w:rPr>
          <w:rFonts w:ascii="宋体" w:eastAsia="宋体" w:hAnsi="宋体"/>
          <w:color w:val="000000"/>
          <w:sz w:val="24"/>
          <w:szCs w:val="24"/>
        </w:rPr>
        <w:t>有新增加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同类</w:t>
      </w:r>
      <w:r w:rsidRPr="00465EE5">
        <w:rPr>
          <w:rFonts w:ascii="宋体" w:eastAsia="宋体" w:hAnsi="宋体"/>
          <w:color w:val="000000"/>
          <w:sz w:val="24"/>
          <w:szCs w:val="24"/>
        </w:rPr>
        <w:t>项目，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供应商</w:t>
      </w:r>
      <w:r w:rsidRPr="00465EE5">
        <w:rPr>
          <w:rFonts w:ascii="宋体" w:eastAsia="宋体" w:hAnsi="宋体"/>
          <w:color w:val="000000"/>
          <w:sz w:val="24"/>
          <w:szCs w:val="24"/>
        </w:rPr>
        <w:t>应同意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按本合同价格</w:t>
      </w:r>
      <w:r w:rsidRPr="00465EE5">
        <w:rPr>
          <w:rFonts w:ascii="宋体" w:eastAsia="宋体" w:hAnsi="宋体"/>
          <w:color w:val="000000"/>
          <w:sz w:val="24"/>
          <w:szCs w:val="24"/>
        </w:rPr>
        <w:t>执行，否则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院方</w:t>
      </w:r>
      <w:r w:rsidRPr="00465EE5">
        <w:rPr>
          <w:rFonts w:ascii="宋体" w:eastAsia="宋体" w:hAnsi="宋体"/>
          <w:color w:val="000000"/>
          <w:sz w:val="24"/>
          <w:szCs w:val="24"/>
        </w:rPr>
        <w:t>有权另行委托其他第三方检测机构。</w:t>
      </w:r>
    </w:p>
    <w:p w:rsidR="00465EE5" w:rsidRPr="00465EE5" w:rsidRDefault="00465EE5" w:rsidP="00465EE5">
      <w:pPr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465EE5">
        <w:rPr>
          <w:rFonts w:ascii="宋体" w:eastAsia="宋体" w:hAnsi="宋体" w:hint="eastAsia"/>
          <w:color w:val="000000"/>
          <w:sz w:val="24"/>
          <w:szCs w:val="24"/>
        </w:rPr>
        <w:t>1.15</w:t>
      </w:r>
      <w:r w:rsidRPr="00465EE5">
        <w:rPr>
          <w:rFonts w:ascii="宋体" w:eastAsia="宋体" w:hAnsi="宋体"/>
          <w:color w:val="000000"/>
          <w:sz w:val="24"/>
          <w:szCs w:val="24"/>
        </w:rPr>
        <w:t>检测项目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院方</w:t>
      </w:r>
      <w:r w:rsidRPr="00465EE5">
        <w:rPr>
          <w:rFonts w:ascii="宋体" w:eastAsia="宋体" w:hAnsi="宋体"/>
          <w:color w:val="000000"/>
          <w:sz w:val="24"/>
          <w:szCs w:val="24"/>
        </w:rPr>
        <w:t>有能力自行开展的，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院方</w:t>
      </w:r>
      <w:r w:rsidRPr="00465EE5">
        <w:rPr>
          <w:rFonts w:ascii="宋体" w:eastAsia="宋体" w:hAnsi="宋体"/>
          <w:color w:val="000000"/>
          <w:sz w:val="24"/>
          <w:szCs w:val="24"/>
        </w:rPr>
        <w:t>可自行检测，不再委托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供应商</w:t>
      </w:r>
      <w:r w:rsidRPr="00465EE5">
        <w:rPr>
          <w:rFonts w:ascii="宋体" w:eastAsia="宋体" w:hAnsi="宋体"/>
          <w:color w:val="000000"/>
          <w:sz w:val="24"/>
          <w:szCs w:val="24"/>
        </w:rPr>
        <w:t>进行检测。中标折扣率不予以调整。</w:t>
      </w:r>
    </w:p>
    <w:p w:rsidR="00465EE5" w:rsidRPr="00465EE5" w:rsidRDefault="00465EE5" w:rsidP="00465EE5">
      <w:pPr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465EE5">
        <w:rPr>
          <w:rFonts w:ascii="宋体" w:eastAsia="宋体" w:hAnsi="宋体" w:hint="eastAsia"/>
          <w:color w:val="000000"/>
          <w:sz w:val="24"/>
          <w:szCs w:val="24"/>
        </w:rPr>
        <w:t>1.16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供应商</w:t>
      </w:r>
      <w:r w:rsidRPr="00465EE5">
        <w:rPr>
          <w:rFonts w:ascii="宋体" w:eastAsia="宋体" w:hAnsi="宋体"/>
          <w:color w:val="000000"/>
          <w:sz w:val="24"/>
          <w:szCs w:val="24"/>
        </w:rPr>
        <w:t>如存在提供虚假信息或未经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甲方</w:t>
      </w:r>
      <w:r w:rsidRPr="00465EE5">
        <w:rPr>
          <w:rFonts w:ascii="宋体" w:eastAsia="宋体" w:hAnsi="宋体"/>
          <w:color w:val="000000"/>
          <w:sz w:val="24"/>
          <w:szCs w:val="24"/>
        </w:rPr>
        <w:t>同意私自更改使用试剂的品牌和检验项目的方法学等现象，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供应商</w:t>
      </w:r>
      <w:r w:rsidRPr="00465EE5">
        <w:rPr>
          <w:rFonts w:ascii="宋体" w:eastAsia="宋体" w:hAnsi="宋体"/>
          <w:color w:val="000000"/>
          <w:sz w:val="24"/>
          <w:szCs w:val="24"/>
        </w:rPr>
        <w:t>需按已做项目的收费金额赔偿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院方</w:t>
      </w:r>
      <w:r w:rsidRPr="00465EE5">
        <w:rPr>
          <w:rFonts w:ascii="宋体" w:eastAsia="宋体" w:hAnsi="宋体"/>
          <w:color w:val="000000"/>
          <w:sz w:val="24"/>
          <w:szCs w:val="24"/>
        </w:rPr>
        <w:t>，并承担所有相关违约责任。</w:t>
      </w:r>
    </w:p>
    <w:p w:rsidR="00465EE5" w:rsidRPr="00465EE5" w:rsidRDefault="00465EE5" w:rsidP="00465EE5">
      <w:pPr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465EE5">
        <w:rPr>
          <w:rFonts w:ascii="宋体" w:eastAsia="宋体" w:hAnsi="宋体" w:hint="eastAsia"/>
          <w:color w:val="000000"/>
          <w:sz w:val="24"/>
          <w:szCs w:val="24"/>
        </w:rPr>
        <w:t>1.17其他要求</w:t>
      </w:r>
    </w:p>
    <w:p w:rsidR="00465EE5" w:rsidRPr="00465EE5" w:rsidRDefault="00465EE5" w:rsidP="00465EE5">
      <w:pPr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465EE5">
        <w:rPr>
          <w:rFonts w:ascii="宋体" w:eastAsia="宋体" w:hAnsi="宋体" w:hint="eastAsia"/>
          <w:color w:val="000000"/>
          <w:sz w:val="24"/>
          <w:szCs w:val="24"/>
        </w:rPr>
        <w:t>1.17.1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供应商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有为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院方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保密的义务，在未经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院方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同意或授权前提下，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供应商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不得向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院方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检验科室、医务科、临床科室工作人员以外的任何单位或个人泄露甲方委托检验的项目、检验的内容、检验的结果。</w:t>
      </w:r>
    </w:p>
    <w:p w:rsidR="00465EE5" w:rsidRPr="00465EE5" w:rsidRDefault="00465EE5" w:rsidP="00465EE5">
      <w:pPr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465EE5">
        <w:rPr>
          <w:rFonts w:ascii="宋体" w:eastAsia="宋体" w:hAnsi="宋体" w:hint="eastAsia"/>
          <w:color w:val="000000"/>
          <w:sz w:val="24"/>
          <w:szCs w:val="24"/>
        </w:rPr>
        <w:t>1.17.2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供应商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如需召回检验报告单，应及时通过一切形式包括电话、邮寄、传真、电子邮件、当面告知等方式通知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院方</w:t>
      </w:r>
      <w:r w:rsidRPr="00465EE5">
        <w:rPr>
          <w:rFonts w:ascii="宋体" w:eastAsia="宋体" w:hAnsi="宋体" w:hint="eastAsia"/>
          <w:color w:val="000000"/>
          <w:sz w:val="24"/>
          <w:szCs w:val="24"/>
        </w:rPr>
        <w:t>召回检验报告并通过上述形式提供新的检验报告。</w:t>
      </w:r>
    </w:p>
    <w:p w:rsidR="00465EE5" w:rsidRPr="00465EE5" w:rsidRDefault="00465EE5" w:rsidP="00465EE5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465EE5">
        <w:rPr>
          <w:rFonts w:ascii="宋体" w:eastAsia="宋体" w:hAnsi="宋体" w:hint="eastAsia"/>
          <w:color w:val="000000"/>
          <w:sz w:val="24"/>
          <w:szCs w:val="24"/>
        </w:rPr>
        <w:t>1.17.3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供应商</w:t>
      </w:r>
      <w:r w:rsidRPr="00465EE5">
        <w:rPr>
          <w:rFonts w:ascii="宋体" w:eastAsia="宋体" w:hAnsi="宋体"/>
          <w:color w:val="000000"/>
          <w:sz w:val="24"/>
          <w:szCs w:val="24"/>
        </w:rPr>
        <w:t>不得以任何形式对检验单进行统方及检验相关数据的统计。如需根据外送检验相关数据发表论文或进行其他学术活动，需事先征得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院方</w:t>
      </w:r>
      <w:r w:rsidRPr="00465EE5">
        <w:rPr>
          <w:rFonts w:ascii="宋体" w:eastAsia="宋体" w:hAnsi="宋体"/>
          <w:color w:val="000000"/>
          <w:sz w:val="24"/>
          <w:szCs w:val="24"/>
        </w:rPr>
        <w:t>同意。</w:t>
      </w:r>
    </w:p>
    <w:p w:rsidR="00465EE5" w:rsidRDefault="00465EE5" w:rsidP="00465EE5">
      <w:pPr>
        <w:ind w:firstLineChars="200" w:firstLine="480"/>
        <w:rPr>
          <w:rFonts w:ascii="新宋体" w:eastAsia="新宋体" w:hAnsi="新宋体"/>
          <w:color w:val="000000"/>
          <w:szCs w:val="21"/>
        </w:rPr>
      </w:pPr>
      <w:r w:rsidRPr="002E0F9E">
        <w:rPr>
          <w:rFonts w:ascii="宋体" w:eastAsia="宋体" w:hAnsi="宋体" w:hint="eastAsia"/>
          <w:color w:val="000000"/>
          <w:sz w:val="24"/>
          <w:szCs w:val="24"/>
        </w:rPr>
        <w:t>1.17.4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供应商</w:t>
      </w:r>
      <w:r w:rsidRPr="002E0F9E">
        <w:rPr>
          <w:rFonts w:ascii="宋体" w:eastAsia="宋体" w:hAnsi="宋体" w:hint="eastAsia"/>
          <w:color w:val="000000"/>
          <w:sz w:val="24"/>
          <w:szCs w:val="24"/>
        </w:rPr>
        <w:t>应保证自身具有从事医学检验技术服务能力和资质。如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供应商</w:t>
      </w:r>
      <w:r w:rsidRPr="002E0F9E">
        <w:rPr>
          <w:rFonts w:ascii="宋体" w:eastAsia="宋体" w:hAnsi="宋体" w:hint="eastAsia"/>
          <w:color w:val="000000"/>
          <w:sz w:val="24"/>
          <w:szCs w:val="24"/>
        </w:rPr>
        <w:t>有违反国家法律法规的情况，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院方</w:t>
      </w:r>
      <w:r w:rsidRPr="002E0F9E">
        <w:rPr>
          <w:rFonts w:ascii="宋体" w:eastAsia="宋体" w:hAnsi="宋体" w:hint="eastAsia"/>
          <w:color w:val="000000"/>
          <w:sz w:val="24"/>
          <w:szCs w:val="24"/>
        </w:rPr>
        <w:t>不承担责任，并向</w:t>
      </w:r>
      <w:r w:rsidR="00C32E02">
        <w:rPr>
          <w:rFonts w:ascii="宋体" w:eastAsia="宋体" w:hAnsi="宋体" w:hint="eastAsia"/>
          <w:color w:val="000000"/>
          <w:sz w:val="24"/>
          <w:szCs w:val="24"/>
        </w:rPr>
        <w:t>供应商</w:t>
      </w:r>
      <w:r w:rsidRPr="002E0F9E">
        <w:rPr>
          <w:rFonts w:ascii="宋体" w:eastAsia="宋体" w:hAnsi="宋体" w:hint="eastAsia"/>
          <w:color w:val="000000"/>
          <w:sz w:val="24"/>
          <w:szCs w:val="24"/>
        </w:rPr>
        <w:t>追究相应的损失。</w:t>
      </w:r>
    </w:p>
    <w:p w:rsidR="00740E04" w:rsidRPr="00EB193B" w:rsidRDefault="00D7019D" w:rsidP="00465EE5">
      <w:pPr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EB193B">
        <w:rPr>
          <w:rFonts w:ascii="宋体" w:eastAsia="宋体" w:hAnsi="宋体" w:hint="eastAsia"/>
          <w:color w:val="000000"/>
          <w:sz w:val="24"/>
          <w:szCs w:val="24"/>
        </w:rPr>
        <w:t>四、商务要求</w:t>
      </w:r>
    </w:p>
    <w:p w:rsidR="00D7019D" w:rsidRPr="00EB193B" w:rsidRDefault="00D7019D" w:rsidP="007619E3">
      <w:pPr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EB193B">
        <w:rPr>
          <w:rFonts w:ascii="宋体" w:eastAsia="宋体" w:hAnsi="宋体" w:hint="eastAsia"/>
          <w:color w:val="000000"/>
          <w:sz w:val="24"/>
          <w:szCs w:val="24"/>
        </w:rPr>
        <w:t>1</w:t>
      </w:r>
      <w:r w:rsidR="00DE4441">
        <w:rPr>
          <w:rFonts w:ascii="宋体" w:eastAsia="宋体" w:hAnsi="宋体" w:hint="eastAsia"/>
          <w:color w:val="000000"/>
          <w:sz w:val="24"/>
          <w:szCs w:val="24"/>
        </w:rPr>
        <w:t>、价格</w:t>
      </w:r>
      <w:r w:rsidRPr="00EB193B">
        <w:rPr>
          <w:rFonts w:ascii="宋体" w:eastAsia="宋体" w:hAnsi="宋体" w:hint="eastAsia"/>
          <w:color w:val="000000"/>
          <w:sz w:val="24"/>
          <w:szCs w:val="24"/>
        </w:rPr>
        <w:t>：</w:t>
      </w:r>
      <w:r w:rsidR="00DE4441">
        <w:rPr>
          <w:rFonts w:ascii="宋体" w:eastAsia="宋体" w:hAnsi="宋体"/>
          <w:color w:val="000000"/>
          <w:sz w:val="24"/>
          <w:szCs w:val="24"/>
        </w:rPr>
        <w:t>本次</w:t>
      </w:r>
      <w:r w:rsidRPr="00EB193B">
        <w:rPr>
          <w:rFonts w:ascii="宋体" w:eastAsia="宋体" w:hAnsi="宋体"/>
          <w:color w:val="000000"/>
          <w:sz w:val="24"/>
          <w:szCs w:val="24"/>
        </w:rPr>
        <w:t>检测项目</w:t>
      </w:r>
      <w:r w:rsidR="00DE4441">
        <w:rPr>
          <w:rFonts w:ascii="宋体" w:eastAsia="宋体" w:hAnsi="宋体" w:hint="eastAsia"/>
          <w:color w:val="000000"/>
          <w:sz w:val="24"/>
          <w:szCs w:val="24"/>
        </w:rPr>
        <w:t>价格按</w:t>
      </w:r>
      <w:bookmarkStart w:id="0" w:name="_GoBack"/>
      <w:bookmarkEnd w:id="0"/>
      <w:r w:rsidRPr="00EB193B">
        <w:rPr>
          <w:rFonts w:ascii="宋体" w:eastAsia="宋体" w:hAnsi="宋体"/>
          <w:color w:val="000000"/>
          <w:sz w:val="24"/>
          <w:szCs w:val="24"/>
        </w:rPr>
        <w:t>占浙江省医疗服务价格收费标准的百分比。所有检测项目的折扣均须一致。</w:t>
      </w:r>
    </w:p>
    <w:p w:rsidR="00D7019D" w:rsidRPr="00EB193B" w:rsidRDefault="00D7019D" w:rsidP="007619E3">
      <w:pPr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EB193B">
        <w:rPr>
          <w:rFonts w:ascii="宋体" w:eastAsia="宋体" w:hAnsi="宋体"/>
          <w:color w:val="000000"/>
          <w:sz w:val="24"/>
          <w:szCs w:val="24"/>
        </w:rPr>
        <w:t xml:space="preserve">标本外送检测服务费的收取具体为：标本外送检测服务费=外送检验项目医院收入×投标价。 </w:t>
      </w:r>
    </w:p>
    <w:p w:rsidR="00D7019D" w:rsidRPr="00EB193B" w:rsidRDefault="00D7019D" w:rsidP="007619E3">
      <w:pPr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EB193B">
        <w:rPr>
          <w:rFonts w:ascii="宋体" w:eastAsia="宋体" w:hAnsi="宋体"/>
          <w:color w:val="000000"/>
          <w:sz w:val="24"/>
          <w:szCs w:val="24"/>
        </w:rPr>
        <w:t xml:space="preserve">核算的唯一标准是浙江省医疗服务行业物价收费标准。 </w:t>
      </w:r>
    </w:p>
    <w:p w:rsidR="00D7019D" w:rsidRPr="00EB193B" w:rsidRDefault="00D7019D" w:rsidP="007619E3">
      <w:pPr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EB193B">
        <w:rPr>
          <w:rFonts w:ascii="宋体" w:eastAsia="宋体" w:hAnsi="宋体"/>
          <w:color w:val="000000"/>
          <w:sz w:val="24"/>
          <w:szCs w:val="24"/>
        </w:rPr>
        <w:t>除政策调整因素外，合同期内投标价不能调整。 检测服务费</w:t>
      </w:r>
      <w:r w:rsidR="00465EE5" w:rsidRPr="00611732">
        <w:rPr>
          <w:rFonts w:ascii="宋体" w:eastAsia="宋体" w:hAnsi="宋体"/>
          <w:color w:val="000000"/>
          <w:sz w:val="24"/>
          <w:szCs w:val="24"/>
        </w:rPr>
        <w:t>包括</w:t>
      </w:r>
      <w:r w:rsidR="00465EE5" w:rsidRPr="00611732">
        <w:rPr>
          <w:rFonts w:ascii="宋体" w:eastAsia="宋体" w:hAnsi="宋体" w:hint="eastAsia"/>
          <w:color w:val="000000"/>
          <w:sz w:val="24"/>
          <w:szCs w:val="24"/>
        </w:rPr>
        <w:t>但不限于样本采集、运输服务，配套车辆设备，配备服务人员，售后服务，质量监控信息，外送标本检测成本等完成本项目所产生的一切费用，甲方除标本外送检测服务费，不再另外支付任何其他费用）</w:t>
      </w:r>
      <w:r w:rsidRPr="00EB193B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7C07EC" w:rsidRDefault="00D7019D" w:rsidP="007F2FB8">
      <w:pPr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EB193B">
        <w:rPr>
          <w:rFonts w:ascii="宋体" w:eastAsia="宋体" w:hAnsi="宋体" w:hint="eastAsia"/>
          <w:color w:val="000000"/>
          <w:sz w:val="24"/>
          <w:szCs w:val="24"/>
        </w:rPr>
        <w:t>2、服务期：3年</w:t>
      </w:r>
    </w:p>
    <w:p w:rsidR="00D7019D" w:rsidRDefault="00D7019D" w:rsidP="007619E3">
      <w:pPr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EB193B">
        <w:rPr>
          <w:rFonts w:ascii="宋体" w:eastAsia="宋体" w:hAnsi="宋体" w:hint="eastAsia"/>
          <w:color w:val="000000"/>
          <w:sz w:val="24"/>
          <w:szCs w:val="24"/>
        </w:rPr>
        <w:t>附件：外送检测项目清单</w:t>
      </w:r>
    </w:p>
    <w:tbl>
      <w:tblPr>
        <w:tblW w:w="0" w:type="auto"/>
        <w:tblInd w:w="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4200"/>
        <w:gridCol w:w="2310"/>
      </w:tblGrid>
      <w:tr w:rsidR="007F2FB8" w:rsidTr="00027DE2">
        <w:tc>
          <w:tcPr>
            <w:tcW w:w="243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套餐名称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服务项目内容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报告时间</w:t>
            </w:r>
          </w:p>
        </w:tc>
      </w:tr>
      <w:tr w:rsidR="007F2FB8" w:rsidTr="00027DE2">
        <w:tc>
          <w:tcPr>
            <w:tcW w:w="24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自身抗体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抗线粒体抗体M2</w:t>
            </w:r>
            <w:r>
              <w:rPr>
                <w:rFonts w:hint="eastAsia"/>
                <w:color w:val="000000"/>
              </w:rPr>
              <w:br/>
              <w:t>抗线粒体抗体M4</w:t>
            </w:r>
            <w:r>
              <w:rPr>
                <w:rFonts w:hint="eastAsia"/>
                <w:color w:val="000000"/>
              </w:rPr>
              <w:br/>
              <w:t xml:space="preserve">抗线粒体抗体M9                               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五个工作日</w:t>
            </w: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类风湿因子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三个工作日</w:t>
            </w: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抗核抗体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抗U1nRNP抗体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抗Sm抗体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抗SS-A抗体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抗SS-B抗体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抗J0-1抗体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抗双链DNA(抗dsDNA)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抗ScL-70抗体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抗嗜中性粒细胞胞质抗体细核周型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抗嗜中性粒细胞胞质抗体细胞质型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抗线粒体抗体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抗乙酰胆碱受体抗体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抗肝肾微粒体抗体-1型抗体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抗平滑肌抗体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抗可溶性肝抗原/肝胰抗原抗体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抗肝细胞溶质抗原1型抗体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抗环胍酸肽抗体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人类白细胞抗原B27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免疫球蛋白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IgA单克隆免疫球蛋白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七个工作日</w:t>
            </w: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IgG单克隆免疫球蛋白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IgM单克隆免疫球蛋白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单克隆免疫球蛋白轻链κ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免疫球蛋白IgG4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三个工作日</w:t>
            </w: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免疫球蛋白E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24h尿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24h尿去甲肾上腺素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七个工作日</w:t>
            </w: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24h尿肾上腺素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24h尿多巴胺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尿蛋白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白蛋白/球蛋白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三个工作日</w:t>
            </w: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尿白蛋白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尿α1球蛋白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尿α2球蛋白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尿a1微量球蛋白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α1微球蛋白/尿肌酐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尿β球蛋白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尿β2微球蛋白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尿γ球蛋白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尿微量白蛋白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尿视黄醇结合蛋白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尿免疫球蛋白IgG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尿N-乙酰-β-D-氨基葡萄糖苷酶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尿免疫球蛋白IgG/尿肌酐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尿微量白蛋白比肌酐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尿转铁蛋白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单克隆免疫球蛋白轻链λ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七个工作日</w:t>
            </w:r>
          </w:p>
        </w:tc>
      </w:tr>
      <w:tr w:rsidR="007F2FB8" w:rsidTr="00027DE2">
        <w:tc>
          <w:tcPr>
            <w:tcW w:w="24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尿液其他检查项目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尿香草苦杏仁酸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七个工作日</w:t>
            </w: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尿17_酮类固醇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三个工作日</w:t>
            </w: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尿17-羟皮质类固醇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尿NAG/尿肌酐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过敏原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芒果、菠萝、苹果、桃子、草莓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五个工作日</w:t>
            </w: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牛肉、羊肉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虾、蟹、扇贝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鳕鱼、鲑鱼、鲈鱼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牛奶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蛋清、蛋黄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猫毛皮屑、狗毛皮屑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点青霉分枝孢霉、烟曲霉交链孢霉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苦艾、艾草、豚草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柏树榆树梧桐柳树杨树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屋尘螨、粉尘螨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屋尘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总IgE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花生、开心果、腰果、榛子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肺炎衣原体，支原体抗体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肺炎衣原体抗体IgG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三个工作日</w:t>
            </w: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抗肺炎支原体抗体IgG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肺炎支原体抗体IgG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肺炎衣原体抗体IgM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肺炎支原体抗体IgM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嗜肺军团菌检查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嗜肺军团菌血清I型抗体IgM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三个工作日</w:t>
            </w:r>
          </w:p>
        </w:tc>
      </w:tr>
      <w:tr w:rsidR="007F2FB8" w:rsidTr="00027DE2">
        <w:tc>
          <w:tcPr>
            <w:tcW w:w="243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Q热立克次体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Q热立克次体抗体IgM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三个工作日</w:t>
            </w:r>
          </w:p>
        </w:tc>
      </w:tr>
      <w:tr w:rsidR="007F2FB8" w:rsidTr="00027DE2">
        <w:tc>
          <w:tcPr>
            <w:tcW w:w="24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流式细胞计数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造血干细胞百分数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三个工作日</w:t>
            </w: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造血祖细胞百分数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总CD34+干细胞绝对含量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造血干细胞绝对含量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造血祖细胞绝对含量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总T细胞(CD3+)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CD4+T细胞(CD3+CD4+)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抑制/细胞毒T细胞（CD3+CD8+）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中性粒细胞CD55%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中性粒细胞CD59%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红细胞CD55%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红细胞CD59%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幽门螺旋杆菌检测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尿素酶亚单位A抗体</w:t>
            </w:r>
            <w:r>
              <w:rPr>
                <w:rFonts w:hint="eastAsia"/>
                <w:color w:val="000000"/>
              </w:rPr>
              <w:br/>
              <w:t>尿素酶亚单位B抗体</w:t>
            </w:r>
            <w:r>
              <w:rPr>
                <w:rFonts w:hint="eastAsia"/>
                <w:color w:val="000000"/>
              </w:rPr>
              <w:br/>
              <w:t>抗幽门螺旋杆菌抗体</w:t>
            </w:r>
            <w:r>
              <w:rPr>
                <w:rFonts w:hint="eastAsia"/>
                <w:color w:val="000000"/>
              </w:rPr>
              <w:br/>
              <w:t>细胞空泡毒素蛋白A                       细胞毒素相关蛋白A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三个工作日</w:t>
            </w:r>
          </w:p>
        </w:tc>
      </w:tr>
      <w:tr w:rsidR="007F2FB8" w:rsidTr="00027DE2">
        <w:tc>
          <w:tcPr>
            <w:tcW w:w="243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胃泌素检测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胃泌素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三个工作日</w:t>
            </w:r>
          </w:p>
        </w:tc>
      </w:tr>
      <w:tr w:rsidR="007F2FB8" w:rsidTr="00027DE2">
        <w:tc>
          <w:tcPr>
            <w:tcW w:w="24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激素类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25羟维生素D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三个工作日</w:t>
            </w: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抗缪勒氏管激素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皮质醇(8AM)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皮质醇（4PM）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空腹胰岛素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血管紧张素I(立位)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血管紧张素II（立位）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血管紧张素I（卧位）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血管紧张素II（卧位）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醛固酮(卧位)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醛固酮(立位)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肾素活性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肾素活性(立位)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促红细胞生成素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促肾上腺皮质激素(8AM)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生长激素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促肾上腺皮质激素(下午4点)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去甲肾上腺素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雌三醇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性激素结合蛋白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多巴胺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五个工作日</w:t>
            </w: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肾上腺素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去甲肾上腺素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球蛋白(%)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α1球蛋白(%)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三个工作日</w:t>
            </w: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α2球蛋白(%)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β球蛋白(%)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γ球蛋白(%)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伤寒抗体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伤寒O抗体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三个工作日</w:t>
            </w: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伤寒H抗体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伤寒A抗体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伤寒B抗体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伤寒C抗体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糖尿病检查项目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空腹C肽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三个工作日</w:t>
            </w: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餐后一小时C肽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餐后二小时C肽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餐后一小时胰岛素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餐后二小时胰岛素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空腹胰岛素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类胰岛素样生长因子-1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类胰岛素样生长因子结合蛋白-3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抗病毒类抗体项目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乙型肝炎病毒YMDD变异检测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三个工作日</w:t>
            </w: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戊型肝炎抗体IgM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巨细胞病毒抗体-IgG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巨细胞病毒抗体-IgM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单纯疱疹病毒I型抗体IgM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单纯疱疹病毒I型抗体IgG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单纯疱疹病毒II型抗体IgG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单纯疱疹病毒II型抗体IgM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丁型肝炎病毒抗原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丁型肝炎抗体IgM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丁型肝炎抗体IgG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抗呼吸道合胞病毒抗体IgM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腺病毒抗体IgM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抗腺病毒抗体IgM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甲型流感病毒抗体IgM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乙型流感病毒抗体IgM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副流感病毒1/2/3型抗体IgM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抗副流感病毒抗体IgM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庚型肝炎抗体IgG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呼吸道合胞病毒抗体IgM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戊型肝炎抗体-IGG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病毒核酸和抗原项目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丙型肝炎基因分型测序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三个工作日</w:t>
            </w: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乙肝表面抗原（金标）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丙型肝炎RNA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巨细胞病毒DNA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巨细胞病毒基因式分解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乙肝基因分型（测序法）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五个工作日</w:t>
            </w:r>
          </w:p>
        </w:tc>
      </w:tr>
      <w:tr w:rsidR="007F2FB8" w:rsidTr="00027DE2">
        <w:tc>
          <w:tcPr>
            <w:tcW w:w="24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结核杆菌检查项目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结核分枝杆菌核酸测定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三个工作日</w:t>
            </w: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结核杆菌抗体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结核感染T细胞检测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五个工作日</w:t>
            </w:r>
          </w:p>
        </w:tc>
      </w:tr>
      <w:tr w:rsidR="007F2FB8" w:rsidTr="00027DE2">
        <w:trPr>
          <w:trHeight w:val="473"/>
        </w:trPr>
        <w:tc>
          <w:tcPr>
            <w:tcW w:w="24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溶血实验检查项目</w:t>
            </w:r>
          </w:p>
        </w:tc>
        <w:tc>
          <w:tcPr>
            <w:tcW w:w="420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间接抗人球蛋白试验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三个工作日</w:t>
            </w:r>
          </w:p>
        </w:tc>
      </w:tr>
      <w:tr w:rsidR="007F2FB8" w:rsidTr="00027DE2">
        <w:trPr>
          <w:trHeight w:val="473"/>
        </w:trPr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rPr>
          <w:trHeight w:val="473"/>
        </w:trPr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遗传病检查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铜蓝蛋白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三个工作日</w:t>
            </w:r>
          </w:p>
        </w:tc>
      </w:tr>
      <w:tr w:rsidR="007F2FB8" w:rsidTr="00027DE2">
        <w:tc>
          <w:tcPr>
            <w:tcW w:w="243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</w:t>
            </w: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免疫固定电泳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七个工作日</w:t>
            </w: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肿瘤坏死因子</w:t>
            </w: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三个工作日</w:t>
            </w: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淀粉酶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SDC2基因甲基化检测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壳多糖酶3样蛋白1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骨钙素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促甲状腺素受体抗体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  <w:tr w:rsidR="007F2FB8" w:rsidTr="00027DE2">
        <w:tc>
          <w:tcPr>
            <w:tcW w:w="243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200" w:type="dxa"/>
            <w:tcBorders>
              <w:tl2br w:val="nil"/>
              <w:tr2bl w:val="nil"/>
            </w:tcBorders>
            <w:noWrap/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曲霉菌半乳甘露聚糖检测</w:t>
            </w:r>
          </w:p>
        </w:tc>
        <w:tc>
          <w:tcPr>
            <w:tcW w:w="2310" w:type="dxa"/>
            <w:vMerge/>
            <w:tcBorders>
              <w:tl2br w:val="nil"/>
              <w:tr2bl w:val="nil"/>
            </w:tcBorders>
            <w:vAlign w:val="center"/>
          </w:tcPr>
          <w:p w:rsidR="007F2FB8" w:rsidRDefault="007F2FB8" w:rsidP="00027DE2">
            <w:pPr>
              <w:spacing w:line="360" w:lineRule="auto"/>
              <w:rPr>
                <w:color w:val="000000"/>
              </w:rPr>
            </w:pPr>
          </w:p>
        </w:tc>
      </w:tr>
    </w:tbl>
    <w:p w:rsidR="007C07EC" w:rsidRPr="007F2FB8" w:rsidRDefault="007C07EC" w:rsidP="007619E3">
      <w:pPr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</w:p>
    <w:sectPr w:rsidR="007C07EC" w:rsidRPr="007F2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3C5" w:rsidRDefault="00EC63C5" w:rsidP="00DE4441">
      <w:r>
        <w:separator/>
      </w:r>
    </w:p>
  </w:endnote>
  <w:endnote w:type="continuationSeparator" w:id="0">
    <w:p w:rsidR="00EC63C5" w:rsidRDefault="00EC63C5" w:rsidP="00DE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书宋_GBK">
    <w:altName w:val="微软雅黑"/>
    <w:charset w:val="00"/>
    <w:family w:val="auto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3C5" w:rsidRDefault="00EC63C5" w:rsidP="00DE4441">
      <w:r>
        <w:separator/>
      </w:r>
    </w:p>
  </w:footnote>
  <w:footnote w:type="continuationSeparator" w:id="0">
    <w:p w:rsidR="00EC63C5" w:rsidRDefault="00EC63C5" w:rsidP="00DE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5FCC"/>
    <w:multiLevelType w:val="hybridMultilevel"/>
    <w:tmpl w:val="E9A853E0"/>
    <w:lvl w:ilvl="0" w:tplc="B158057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C9C6843"/>
    <w:multiLevelType w:val="singleLevel"/>
    <w:tmpl w:val="5C9C6843"/>
    <w:lvl w:ilvl="0">
      <w:start w:val="3"/>
      <w:numFmt w:val="chineseCounting"/>
      <w:suff w:val="nothing"/>
      <w:lvlText w:val="%1、"/>
      <w:lvlJc w:val="left"/>
    </w:lvl>
  </w:abstractNum>
  <w:abstractNum w:abstractNumId="2" w15:restartNumberingAfterBreak="0">
    <w:nsid w:val="5C9C68AB"/>
    <w:multiLevelType w:val="singleLevel"/>
    <w:tmpl w:val="5C9C68AB"/>
    <w:lvl w:ilvl="0">
      <w:start w:val="3"/>
      <w:numFmt w:val="chineseCounting"/>
      <w:suff w:val="nothing"/>
      <w:lvlText w:val="%1、"/>
      <w:lvlJc w:val="left"/>
    </w:lvl>
  </w:abstractNum>
  <w:abstractNum w:abstractNumId="3" w15:restartNumberingAfterBreak="0">
    <w:nsid w:val="60736A69"/>
    <w:multiLevelType w:val="hybridMultilevel"/>
    <w:tmpl w:val="6930CBEC"/>
    <w:lvl w:ilvl="0" w:tplc="F66E64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6CD1463"/>
    <w:multiLevelType w:val="hybridMultilevel"/>
    <w:tmpl w:val="5C7EC914"/>
    <w:lvl w:ilvl="0" w:tplc="D292C52A">
      <w:start w:val="1"/>
      <w:numFmt w:val="japaneseCounting"/>
      <w:lvlText w:val="%1、"/>
      <w:lvlJc w:val="left"/>
      <w:pPr>
        <w:ind w:left="10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 w15:restartNumberingAfterBreak="0">
    <w:nsid w:val="6D051FFD"/>
    <w:multiLevelType w:val="hybridMultilevel"/>
    <w:tmpl w:val="75CEBBE6"/>
    <w:lvl w:ilvl="0" w:tplc="E8C4348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E4"/>
    <w:rsid w:val="000D2AED"/>
    <w:rsid w:val="000D3396"/>
    <w:rsid w:val="002E0F9E"/>
    <w:rsid w:val="00465EE5"/>
    <w:rsid w:val="005D0981"/>
    <w:rsid w:val="00611732"/>
    <w:rsid w:val="00705880"/>
    <w:rsid w:val="00740E04"/>
    <w:rsid w:val="00750917"/>
    <w:rsid w:val="007619E3"/>
    <w:rsid w:val="007C07EC"/>
    <w:rsid w:val="007F2FB8"/>
    <w:rsid w:val="009373AB"/>
    <w:rsid w:val="009E4C64"/>
    <w:rsid w:val="00A05EE4"/>
    <w:rsid w:val="00B03987"/>
    <w:rsid w:val="00BE717D"/>
    <w:rsid w:val="00C31607"/>
    <w:rsid w:val="00C32E02"/>
    <w:rsid w:val="00CE0C08"/>
    <w:rsid w:val="00CE4BE8"/>
    <w:rsid w:val="00D33420"/>
    <w:rsid w:val="00D7019D"/>
    <w:rsid w:val="00DE4441"/>
    <w:rsid w:val="00E86A94"/>
    <w:rsid w:val="00EB193B"/>
    <w:rsid w:val="00EC63C5"/>
    <w:rsid w:val="00F4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CA4D8"/>
  <w15:chartTrackingRefBased/>
  <w15:docId w15:val="{74803FA3-39AF-4485-8446-852B5A92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7C07EC"/>
    <w:pPr>
      <w:keepNext/>
      <w:keepLines/>
      <w:spacing w:line="576" w:lineRule="auto"/>
      <w:outlineLvl w:val="0"/>
    </w:pPr>
    <w:rPr>
      <w:rFonts w:ascii="Calibri" w:eastAsia="宋体" w:hAnsi="Calibri" w:cs="Times New Roman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3AB"/>
    <w:pPr>
      <w:ind w:firstLineChars="200" w:firstLine="420"/>
    </w:pPr>
  </w:style>
  <w:style w:type="character" w:customStyle="1" w:styleId="10">
    <w:name w:val="标题 1 字符"/>
    <w:basedOn w:val="a0"/>
    <w:uiPriority w:val="9"/>
    <w:rsid w:val="007C07EC"/>
    <w:rPr>
      <w:b/>
      <w:bCs/>
      <w:kern w:val="44"/>
      <w:sz w:val="44"/>
      <w:szCs w:val="44"/>
    </w:rPr>
  </w:style>
  <w:style w:type="paragraph" w:styleId="a4">
    <w:name w:val="Balloon Text"/>
    <w:basedOn w:val="a"/>
    <w:link w:val="12"/>
    <w:uiPriority w:val="99"/>
    <w:unhideWhenUsed/>
    <w:rsid w:val="007C07EC"/>
    <w:rPr>
      <w:rFonts w:ascii="Calibri" w:eastAsia="宋体" w:hAnsi="Calibri" w:cs="Times New Roman"/>
      <w:sz w:val="18"/>
      <w:szCs w:val="18"/>
    </w:rPr>
  </w:style>
  <w:style w:type="character" w:customStyle="1" w:styleId="a5">
    <w:name w:val="批注框文本 字符"/>
    <w:basedOn w:val="a0"/>
    <w:uiPriority w:val="99"/>
    <w:semiHidden/>
    <w:rsid w:val="007C07EC"/>
    <w:rPr>
      <w:sz w:val="18"/>
      <w:szCs w:val="18"/>
    </w:rPr>
  </w:style>
  <w:style w:type="character" w:customStyle="1" w:styleId="12">
    <w:name w:val="批注框文本 字符1"/>
    <w:link w:val="a4"/>
    <w:uiPriority w:val="99"/>
    <w:rsid w:val="007C07E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13"/>
    <w:unhideWhenUsed/>
    <w:qFormat/>
    <w:rsid w:val="007C07EC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</w:rPr>
  </w:style>
  <w:style w:type="character" w:customStyle="1" w:styleId="a7">
    <w:name w:val="页脚 字符"/>
    <w:basedOn w:val="a0"/>
    <w:uiPriority w:val="99"/>
    <w:semiHidden/>
    <w:rsid w:val="007C07EC"/>
    <w:rPr>
      <w:sz w:val="18"/>
      <w:szCs w:val="18"/>
    </w:rPr>
  </w:style>
  <w:style w:type="paragraph" w:styleId="a8">
    <w:name w:val="header"/>
    <w:basedOn w:val="a"/>
    <w:link w:val="14"/>
    <w:unhideWhenUsed/>
    <w:qFormat/>
    <w:rsid w:val="007C07E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sz w:val="18"/>
    </w:rPr>
  </w:style>
  <w:style w:type="character" w:customStyle="1" w:styleId="a9">
    <w:name w:val="页眉 字符"/>
    <w:basedOn w:val="a0"/>
    <w:uiPriority w:val="99"/>
    <w:semiHidden/>
    <w:rsid w:val="007C07EC"/>
    <w:rPr>
      <w:sz w:val="18"/>
      <w:szCs w:val="18"/>
    </w:rPr>
  </w:style>
  <w:style w:type="paragraph" w:customStyle="1" w:styleId="15">
    <w:name w:val="列出段落1"/>
    <w:basedOn w:val="a"/>
    <w:uiPriority w:val="34"/>
    <w:qFormat/>
    <w:rsid w:val="007C07EC"/>
    <w:pPr>
      <w:ind w:firstLineChars="200" w:firstLine="420"/>
    </w:pPr>
    <w:rPr>
      <w:rFonts w:ascii="Calibri" w:eastAsia="宋体" w:hAnsi="Calibri" w:cs="Times New Roman"/>
    </w:rPr>
  </w:style>
  <w:style w:type="character" w:customStyle="1" w:styleId="11">
    <w:name w:val="标题 1 字符1"/>
    <w:link w:val="1"/>
    <w:rsid w:val="007C07EC"/>
    <w:rPr>
      <w:rFonts w:ascii="Calibri" w:eastAsia="宋体" w:hAnsi="Calibri" w:cs="Times New Roman"/>
      <w:b/>
      <w:kern w:val="44"/>
      <w:sz w:val="44"/>
      <w:szCs w:val="24"/>
    </w:rPr>
  </w:style>
  <w:style w:type="character" w:customStyle="1" w:styleId="font51">
    <w:name w:val="font51"/>
    <w:qFormat/>
    <w:rsid w:val="007C07EC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61">
    <w:name w:val="font61"/>
    <w:rsid w:val="007C07EC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21">
    <w:name w:val="font121"/>
    <w:qFormat/>
    <w:rsid w:val="007C07EC"/>
    <w:rPr>
      <w:rFonts w:ascii="方正书宋_GBK" w:eastAsia="方正书宋_GBK" w:hAnsi="方正书宋_GBK" w:cs="方正书宋_GBK"/>
      <w:color w:val="000000"/>
      <w:sz w:val="21"/>
      <w:szCs w:val="21"/>
      <w:u w:val="none"/>
    </w:rPr>
  </w:style>
  <w:style w:type="character" w:customStyle="1" w:styleId="14">
    <w:name w:val="页眉 字符1"/>
    <w:link w:val="a8"/>
    <w:rsid w:val="007C07EC"/>
    <w:rPr>
      <w:rFonts w:ascii="Calibri" w:eastAsia="宋体" w:hAnsi="Calibri" w:cs="Times New Roman"/>
      <w:sz w:val="18"/>
    </w:rPr>
  </w:style>
  <w:style w:type="character" w:customStyle="1" w:styleId="13">
    <w:name w:val="页脚 字符1"/>
    <w:link w:val="a6"/>
    <w:rsid w:val="007C07EC"/>
    <w:rPr>
      <w:rFonts w:ascii="Calibri" w:eastAsia="宋体" w:hAnsi="Calibr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45</cp:revision>
  <dcterms:created xsi:type="dcterms:W3CDTF">2023-08-10T08:03:00Z</dcterms:created>
  <dcterms:modified xsi:type="dcterms:W3CDTF">2023-08-11T06:04:00Z</dcterms:modified>
</cp:coreProperties>
</file>