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8916"/>
        <w:gridCol w:w="52"/>
      </w:tblGrid>
      <w:tr w:rsidR="00424B52">
        <w:trPr>
          <w:gridAfter w:val="1"/>
          <w:wAfter w:w="52" w:type="dxa"/>
          <w:trHeight w:val="680"/>
          <w:jc w:val="center"/>
        </w:trPr>
        <w:tc>
          <w:tcPr>
            <w:tcW w:w="1216" w:type="dxa"/>
            <w:vAlign w:val="center"/>
          </w:tcPr>
          <w:p w:rsidR="00424B52" w:rsidRDefault="00A8238C">
            <w:pPr>
              <w:jc w:val="center"/>
              <w:rPr>
                <w:rFonts w:ascii="宋体" w:hAnsi="宋体" w:cs="宋体"/>
                <w:b w:val="0"/>
                <w:sz w:val="24"/>
                <w:szCs w:val="24"/>
              </w:rPr>
            </w:pPr>
            <w:r>
              <w:rPr>
                <w:rFonts w:ascii="宋体" w:hAnsi="宋体" w:cs="宋体" w:hint="eastAsia"/>
                <w:b w:val="0"/>
                <w:sz w:val="24"/>
                <w:szCs w:val="24"/>
              </w:rPr>
              <w:t>序号</w:t>
            </w:r>
          </w:p>
        </w:tc>
        <w:tc>
          <w:tcPr>
            <w:tcW w:w="8916" w:type="dxa"/>
            <w:vAlign w:val="center"/>
          </w:tcPr>
          <w:p w:rsidR="00424B52" w:rsidRDefault="00A8238C">
            <w:pPr>
              <w:jc w:val="center"/>
              <w:rPr>
                <w:rFonts w:ascii="宋体" w:hAnsi="宋体" w:cs="宋体"/>
                <w:b w:val="0"/>
                <w:sz w:val="24"/>
                <w:szCs w:val="24"/>
              </w:rPr>
            </w:pPr>
            <w:r>
              <w:rPr>
                <w:rFonts w:ascii="宋体" w:hAnsi="宋体" w:cs="宋体" w:hint="eastAsia"/>
                <w:b w:val="0"/>
                <w:sz w:val="24"/>
                <w:szCs w:val="24"/>
              </w:rPr>
              <w:t>招标规格技术参数</w:t>
            </w:r>
          </w:p>
        </w:tc>
      </w:tr>
      <w:tr w:rsidR="00424B52">
        <w:trPr>
          <w:gridAfter w:val="1"/>
          <w:wAfter w:w="52" w:type="dxa"/>
          <w:trHeight w:val="332"/>
          <w:jc w:val="center"/>
        </w:trPr>
        <w:tc>
          <w:tcPr>
            <w:tcW w:w="1216" w:type="dxa"/>
            <w:vAlign w:val="center"/>
          </w:tcPr>
          <w:p w:rsidR="00424B52" w:rsidRDefault="00A8238C">
            <w:pPr>
              <w:spacing w:line="360" w:lineRule="auto"/>
              <w:jc w:val="center"/>
              <w:rPr>
                <w:rFonts w:ascii="宋体" w:hAnsi="宋体" w:cs="宋体"/>
                <w:b w:val="0"/>
                <w:sz w:val="22"/>
                <w:szCs w:val="22"/>
              </w:rPr>
            </w:pPr>
            <w:proofErr w:type="gramStart"/>
            <w:r>
              <w:rPr>
                <w:rFonts w:ascii="宋体" w:hAnsi="宋体" w:cs="宋体" w:hint="eastAsia"/>
                <w:b w:val="0"/>
                <w:sz w:val="22"/>
                <w:szCs w:val="22"/>
              </w:rPr>
              <w:t>一</w:t>
            </w:r>
            <w:proofErr w:type="gramEnd"/>
          </w:p>
        </w:tc>
        <w:tc>
          <w:tcPr>
            <w:tcW w:w="89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产地：</w:t>
            </w:r>
            <w:r>
              <w:rPr>
                <w:rFonts w:ascii="宋体" w:hAnsi="宋体" w:cs="宋体"/>
                <w:b w:val="0"/>
                <w:sz w:val="22"/>
                <w:szCs w:val="22"/>
              </w:rPr>
              <w:t>国产</w:t>
            </w:r>
            <w:r>
              <w:rPr>
                <w:rFonts w:ascii="宋体" w:hAnsi="宋体" w:cs="宋体" w:hint="eastAsia"/>
                <w:b w:val="0"/>
                <w:sz w:val="22"/>
                <w:szCs w:val="22"/>
              </w:rPr>
              <w:t xml:space="preserve"> 数量：1套 预算单价：</w:t>
            </w:r>
            <w:r>
              <w:rPr>
                <w:rFonts w:ascii="宋体" w:hAnsi="宋体" w:cs="宋体"/>
                <w:b w:val="0"/>
                <w:sz w:val="22"/>
                <w:szCs w:val="22"/>
              </w:rPr>
              <w:t>5</w:t>
            </w:r>
            <w:r>
              <w:rPr>
                <w:rFonts w:ascii="宋体" w:hAnsi="宋体" w:cs="宋体" w:hint="eastAsia"/>
                <w:b w:val="0"/>
                <w:sz w:val="22"/>
                <w:szCs w:val="22"/>
              </w:rPr>
              <w:t xml:space="preserve">万   </w:t>
            </w:r>
          </w:p>
        </w:tc>
      </w:tr>
      <w:tr w:rsidR="00424B52">
        <w:trPr>
          <w:gridAfter w:val="1"/>
          <w:wAfter w:w="52" w:type="dxa"/>
          <w:trHeight w:val="293"/>
          <w:jc w:val="center"/>
        </w:trPr>
        <w:tc>
          <w:tcPr>
            <w:tcW w:w="1216" w:type="dxa"/>
            <w:vAlign w:val="center"/>
          </w:tcPr>
          <w:p w:rsidR="00424B52" w:rsidRDefault="00A8238C">
            <w:pPr>
              <w:spacing w:line="360" w:lineRule="auto"/>
              <w:jc w:val="center"/>
              <w:rPr>
                <w:rFonts w:ascii="宋体" w:hAnsi="宋体" w:cs="宋体"/>
                <w:b w:val="0"/>
                <w:sz w:val="22"/>
                <w:szCs w:val="22"/>
              </w:rPr>
            </w:pPr>
            <w:r>
              <w:rPr>
                <w:rFonts w:ascii="宋体" w:hAnsi="宋体" w:cs="宋体" w:hint="eastAsia"/>
                <w:b w:val="0"/>
                <w:sz w:val="22"/>
                <w:szCs w:val="22"/>
              </w:rPr>
              <w:t>二</w:t>
            </w:r>
          </w:p>
        </w:tc>
        <w:tc>
          <w:tcPr>
            <w:tcW w:w="89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用于临床分析细胞表面标志、分析细胞内抗原物质以及免疫细胞功能等</w:t>
            </w:r>
          </w:p>
        </w:tc>
      </w:tr>
      <w:tr w:rsidR="00424B52">
        <w:trPr>
          <w:trHeight w:val="293"/>
          <w:jc w:val="center"/>
        </w:trPr>
        <w:tc>
          <w:tcPr>
            <w:tcW w:w="1216" w:type="dxa"/>
            <w:vAlign w:val="center"/>
          </w:tcPr>
          <w:p w:rsidR="00424B52" w:rsidRPr="00FB0C69" w:rsidRDefault="00FB0C69" w:rsidP="00FB0C69">
            <w:pPr>
              <w:spacing w:line="360" w:lineRule="auto"/>
              <w:jc w:val="center"/>
              <w:rPr>
                <w:rFonts w:ascii="宋体" w:hAnsi="宋体" w:cs="宋体"/>
                <w:b w:val="0"/>
                <w:sz w:val="22"/>
                <w:szCs w:val="22"/>
              </w:rPr>
            </w:pPr>
            <w:r>
              <w:rPr>
                <w:rFonts w:ascii="宋体" w:hAnsi="宋体" w:cs="宋体" w:hint="eastAsia"/>
                <w:b w:val="0"/>
                <w:sz w:val="22"/>
                <w:szCs w:val="22"/>
              </w:rPr>
              <w:t>三</w:t>
            </w:r>
            <w:bookmarkStart w:id="0" w:name="_GoBack"/>
            <w:bookmarkEnd w:id="0"/>
          </w:p>
        </w:tc>
        <w:tc>
          <w:tcPr>
            <w:tcW w:w="8968" w:type="dxa"/>
            <w:gridSpan w:val="2"/>
            <w:vAlign w:val="center"/>
          </w:tcPr>
          <w:p w:rsidR="00424B52" w:rsidRDefault="00A8238C">
            <w:pPr>
              <w:spacing w:line="360" w:lineRule="auto"/>
              <w:rPr>
                <w:rFonts w:ascii="宋体" w:hAnsi="宋体" w:cs="宋体"/>
                <w:b w:val="0"/>
                <w:sz w:val="22"/>
                <w:szCs w:val="22"/>
              </w:rPr>
            </w:pPr>
            <w:r>
              <w:rPr>
                <w:rFonts w:ascii="宋体" w:hAnsi="宋体" w:cs="宋体" w:hint="eastAsia"/>
                <w:b w:val="0"/>
                <w:sz w:val="22"/>
                <w:szCs w:val="22"/>
              </w:rPr>
              <w:t>技术功能要求</w:t>
            </w:r>
          </w:p>
        </w:tc>
      </w:tr>
      <w:tr w:rsidR="00424B52">
        <w:trPr>
          <w:gridAfter w:val="1"/>
          <w:wAfter w:w="52" w:type="dxa"/>
          <w:trHeight w:val="293"/>
          <w:jc w:val="center"/>
        </w:trPr>
        <w:tc>
          <w:tcPr>
            <w:tcW w:w="12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1.1</w:t>
            </w:r>
          </w:p>
        </w:tc>
        <w:tc>
          <w:tcPr>
            <w:tcW w:w="89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光路系统</w:t>
            </w:r>
          </w:p>
        </w:tc>
      </w:tr>
      <w:tr w:rsidR="00424B52">
        <w:trPr>
          <w:gridAfter w:val="1"/>
          <w:wAfter w:w="52" w:type="dxa"/>
          <w:trHeight w:val="293"/>
          <w:jc w:val="center"/>
        </w:trPr>
        <w:tc>
          <w:tcPr>
            <w:tcW w:w="12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1.1.1※</w:t>
            </w:r>
          </w:p>
        </w:tc>
        <w:tc>
          <w:tcPr>
            <w:tcW w:w="89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同时配备3根固态高功率激光器：488nm、638nm/640nm 、405nm，可同时检测≥</w:t>
            </w:r>
            <w:r>
              <w:rPr>
                <w:rFonts w:ascii="宋体" w:hAnsi="宋体" w:cs="宋体"/>
                <w:b w:val="0"/>
                <w:sz w:val="22"/>
                <w:szCs w:val="22"/>
              </w:rPr>
              <w:t>11</w:t>
            </w:r>
            <w:r>
              <w:rPr>
                <w:rFonts w:ascii="宋体" w:hAnsi="宋体" w:cs="宋体" w:hint="eastAsia"/>
                <w:b w:val="0"/>
                <w:sz w:val="22"/>
                <w:szCs w:val="22"/>
              </w:rPr>
              <w:t>色荧光信号。</w:t>
            </w:r>
          </w:p>
        </w:tc>
      </w:tr>
      <w:tr w:rsidR="00424B52">
        <w:trPr>
          <w:gridAfter w:val="1"/>
          <w:wAfter w:w="52" w:type="dxa"/>
          <w:trHeight w:val="293"/>
          <w:jc w:val="center"/>
        </w:trPr>
        <w:tc>
          <w:tcPr>
            <w:tcW w:w="12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1.1.2※</w:t>
            </w:r>
          </w:p>
        </w:tc>
        <w:tc>
          <w:tcPr>
            <w:tcW w:w="89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488nm激光器可单独激发≥5色荧光信号</w:t>
            </w:r>
          </w:p>
        </w:tc>
      </w:tr>
      <w:tr w:rsidR="00424B52">
        <w:trPr>
          <w:gridAfter w:val="1"/>
          <w:wAfter w:w="52" w:type="dxa"/>
          <w:trHeight w:val="293"/>
          <w:jc w:val="center"/>
        </w:trPr>
        <w:tc>
          <w:tcPr>
            <w:tcW w:w="12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1.1.3</w:t>
            </w:r>
          </w:p>
        </w:tc>
        <w:tc>
          <w:tcPr>
            <w:tcW w:w="89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具备11个独立荧光检测器，且所有荧光通道检测波长都为带通,波长间隔都40nm以上</w:t>
            </w:r>
            <w:r>
              <w:rPr>
                <w:rFonts w:ascii="宋体" w:hAnsi="宋体" w:cs="宋体"/>
                <w:b w:val="0"/>
                <w:sz w:val="22"/>
                <w:szCs w:val="22"/>
              </w:rPr>
              <w:t>；仪器具有扩展功能，可根据工作需要升级至13色</w:t>
            </w:r>
            <w:r>
              <w:rPr>
                <w:rFonts w:ascii="宋体" w:hAnsi="宋体" w:cs="宋体" w:hint="eastAsia"/>
                <w:b w:val="0"/>
                <w:sz w:val="22"/>
                <w:szCs w:val="22"/>
              </w:rPr>
              <w:t>。</w:t>
            </w:r>
          </w:p>
        </w:tc>
      </w:tr>
      <w:tr w:rsidR="00424B52">
        <w:trPr>
          <w:gridAfter w:val="1"/>
          <w:wAfter w:w="52" w:type="dxa"/>
          <w:trHeight w:val="293"/>
          <w:jc w:val="center"/>
        </w:trPr>
        <w:tc>
          <w:tcPr>
            <w:tcW w:w="12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1.1.4</w:t>
            </w:r>
          </w:p>
        </w:tc>
        <w:tc>
          <w:tcPr>
            <w:tcW w:w="89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具有激光智能监控系统：具有激光温度控制功能，确保仪器稳定性和检测结果可靠性不受环境影响；自动监测并调节激光功率。</w:t>
            </w:r>
          </w:p>
        </w:tc>
      </w:tr>
      <w:tr w:rsidR="00424B52">
        <w:trPr>
          <w:gridAfter w:val="1"/>
          <w:wAfter w:w="52" w:type="dxa"/>
          <w:trHeight w:val="293"/>
          <w:jc w:val="center"/>
        </w:trPr>
        <w:tc>
          <w:tcPr>
            <w:tcW w:w="12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1.1.5</w:t>
            </w:r>
          </w:p>
        </w:tc>
        <w:tc>
          <w:tcPr>
            <w:tcW w:w="89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固定校准的光路设计，滤光片可以灵活插拔，不影响光路。</w:t>
            </w:r>
          </w:p>
        </w:tc>
      </w:tr>
      <w:tr w:rsidR="00424B52">
        <w:trPr>
          <w:gridAfter w:val="1"/>
          <w:wAfter w:w="52" w:type="dxa"/>
          <w:trHeight w:val="293"/>
          <w:jc w:val="center"/>
        </w:trPr>
        <w:tc>
          <w:tcPr>
            <w:tcW w:w="12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1.1.6</w:t>
            </w:r>
          </w:p>
        </w:tc>
        <w:tc>
          <w:tcPr>
            <w:tcW w:w="89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光信号收集系统：镜头NA≥1.2，提高荧光灵敏度。</w:t>
            </w:r>
          </w:p>
        </w:tc>
      </w:tr>
      <w:tr w:rsidR="00424B52">
        <w:trPr>
          <w:gridAfter w:val="1"/>
          <w:wAfter w:w="52" w:type="dxa"/>
          <w:trHeight w:val="293"/>
          <w:jc w:val="center"/>
        </w:trPr>
        <w:tc>
          <w:tcPr>
            <w:tcW w:w="12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1.1.7※</w:t>
            </w:r>
          </w:p>
        </w:tc>
        <w:tc>
          <w:tcPr>
            <w:tcW w:w="89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能够达到5倍于传统高性能PMT的光电转换效率</w:t>
            </w:r>
            <w:r>
              <w:rPr>
                <w:rFonts w:ascii="宋体" w:hAnsi="宋体" w:cs="宋体"/>
                <w:b w:val="0"/>
                <w:sz w:val="22"/>
                <w:szCs w:val="22"/>
              </w:rPr>
              <w:t>，而非PMT检测器。</w:t>
            </w:r>
          </w:p>
        </w:tc>
      </w:tr>
      <w:tr w:rsidR="00424B52">
        <w:trPr>
          <w:gridAfter w:val="1"/>
          <w:wAfter w:w="52" w:type="dxa"/>
          <w:trHeight w:val="293"/>
          <w:jc w:val="center"/>
        </w:trPr>
        <w:tc>
          <w:tcPr>
            <w:tcW w:w="12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1.1.8</w:t>
            </w:r>
          </w:p>
        </w:tc>
        <w:tc>
          <w:tcPr>
            <w:tcW w:w="89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光信号收集系统能将大视野范围内的光信号准确地传递到接收光路中，最多可以支持到7个空间独立的激光同时激发的信号收集。</w:t>
            </w:r>
          </w:p>
        </w:tc>
      </w:tr>
      <w:tr w:rsidR="00424B52">
        <w:trPr>
          <w:gridAfter w:val="1"/>
          <w:wAfter w:w="52" w:type="dxa"/>
          <w:trHeight w:val="293"/>
          <w:jc w:val="center"/>
        </w:trPr>
        <w:tc>
          <w:tcPr>
            <w:tcW w:w="12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1.2</w:t>
            </w:r>
          </w:p>
        </w:tc>
        <w:tc>
          <w:tcPr>
            <w:tcW w:w="89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电子和检测系统</w:t>
            </w:r>
          </w:p>
        </w:tc>
      </w:tr>
      <w:tr w:rsidR="00424B52">
        <w:trPr>
          <w:gridAfter w:val="1"/>
          <w:wAfter w:w="52" w:type="dxa"/>
          <w:trHeight w:val="293"/>
          <w:jc w:val="center"/>
        </w:trPr>
        <w:tc>
          <w:tcPr>
            <w:tcW w:w="12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1.2.1</w:t>
            </w:r>
          </w:p>
        </w:tc>
        <w:tc>
          <w:tcPr>
            <w:tcW w:w="89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动态范围：0-107。</w:t>
            </w:r>
          </w:p>
        </w:tc>
      </w:tr>
      <w:tr w:rsidR="00424B52">
        <w:trPr>
          <w:gridAfter w:val="1"/>
          <w:wAfter w:w="52" w:type="dxa"/>
          <w:trHeight w:val="293"/>
          <w:jc w:val="center"/>
        </w:trPr>
        <w:tc>
          <w:tcPr>
            <w:tcW w:w="12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1.2.2</w:t>
            </w:r>
          </w:p>
        </w:tc>
        <w:tc>
          <w:tcPr>
            <w:tcW w:w="89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数字化采样频率25MHz</w:t>
            </w:r>
          </w:p>
        </w:tc>
      </w:tr>
      <w:tr w:rsidR="00424B52">
        <w:trPr>
          <w:gridAfter w:val="1"/>
          <w:wAfter w:w="52" w:type="dxa"/>
          <w:trHeight w:val="293"/>
          <w:jc w:val="center"/>
        </w:trPr>
        <w:tc>
          <w:tcPr>
            <w:tcW w:w="12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1.2.3</w:t>
            </w:r>
          </w:p>
        </w:tc>
        <w:tc>
          <w:tcPr>
            <w:tcW w:w="89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检测速度≥29,000 events /s</w:t>
            </w:r>
          </w:p>
        </w:tc>
      </w:tr>
      <w:tr w:rsidR="00424B52">
        <w:trPr>
          <w:gridAfter w:val="1"/>
          <w:wAfter w:w="52" w:type="dxa"/>
          <w:trHeight w:val="293"/>
          <w:jc w:val="center"/>
        </w:trPr>
        <w:tc>
          <w:tcPr>
            <w:tcW w:w="12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1.2.4</w:t>
            </w:r>
          </w:p>
        </w:tc>
        <w:tc>
          <w:tcPr>
            <w:tcW w:w="89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荧光分辨率CV &lt;3%</w:t>
            </w:r>
          </w:p>
        </w:tc>
      </w:tr>
      <w:tr w:rsidR="00424B52">
        <w:trPr>
          <w:gridAfter w:val="1"/>
          <w:wAfter w:w="52" w:type="dxa"/>
          <w:trHeight w:val="293"/>
          <w:jc w:val="center"/>
        </w:trPr>
        <w:tc>
          <w:tcPr>
            <w:tcW w:w="12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1.2.5</w:t>
            </w:r>
          </w:p>
        </w:tc>
        <w:tc>
          <w:tcPr>
            <w:tcW w:w="89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采用光纤阵列高灵敏度检测器，FITC灵敏度≤ 40MESF，PE灵敏度≤ 25MESF</w:t>
            </w:r>
          </w:p>
        </w:tc>
      </w:tr>
      <w:tr w:rsidR="00424B52">
        <w:trPr>
          <w:gridAfter w:val="1"/>
          <w:wAfter w:w="52" w:type="dxa"/>
          <w:trHeight w:val="293"/>
          <w:jc w:val="center"/>
        </w:trPr>
        <w:tc>
          <w:tcPr>
            <w:tcW w:w="12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1.2.6</w:t>
            </w:r>
          </w:p>
        </w:tc>
        <w:tc>
          <w:tcPr>
            <w:tcW w:w="89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侧向角分辨力：0.2um,可检测亚细胞结构</w:t>
            </w:r>
          </w:p>
        </w:tc>
      </w:tr>
      <w:tr w:rsidR="00424B52">
        <w:trPr>
          <w:gridAfter w:val="1"/>
          <w:wAfter w:w="52" w:type="dxa"/>
          <w:trHeight w:val="293"/>
          <w:jc w:val="center"/>
        </w:trPr>
        <w:tc>
          <w:tcPr>
            <w:tcW w:w="12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1.3</w:t>
            </w:r>
          </w:p>
        </w:tc>
        <w:tc>
          <w:tcPr>
            <w:tcW w:w="89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液流和</w:t>
            </w:r>
            <w:proofErr w:type="gramStart"/>
            <w:r>
              <w:rPr>
                <w:rFonts w:ascii="宋体" w:hAnsi="宋体" w:cs="宋体" w:hint="eastAsia"/>
                <w:b w:val="0"/>
                <w:sz w:val="22"/>
                <w:szCs w:val="22"/>
              </w:rPr>
              <w:t>上样系统</w:t>
            </w:r>
            <w:proofErr w:type="gramEnd"/>
          </w:p>
        </w:tc>
      </w:tr>
      <w:tr w:rsidR="00424B52">
        <w:trPr>
          <w:gridAfter w:val="1"/>
          <w:wAfter w:w="52" w:type="dxa"/>
          <w:trHeight w:val="293"/>
          <w:jc w:val="center"/>
        </w:trPr>
        <w:tc>
          <w:tcPr>
            <w:tcW w:w="12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1.3.1</w:t>
            </w:r>
          </w:p>
        </w:tc>
        <w:tc>
          <w:tcPr>
            <w:tcW w:w="89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采用经典稳定的鞘液流聚焦原理。</w:t>
            </w:r>
          </w:p>
        </w:tc>
      </w:tr>
      <w:tr w:rsidR="00424B52">
        <w:trPr>
          <w:gridAfter w:val="1"/>
          <w:wAfter w:w="52" w:type="dxa"/>
          <w:trHeight w:val="293"/>
          <w:jc w:val="center"/>
        </w:trPr>
        <w:tc>
          <w:tcPr>
            <w:tcW w:w="12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1.3.2</w:t>
            </w:r>
          </w:p>
        </w:tc>
        <w:tc>
          <w:tcPr>
            <w:tcW w:w="89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检测过程中，具有自动反冲洗去除堵塞功能。</w:t>
            </w:r>
          </w:p>
        </w:tc>
      </w:tr>
      <w:tr w:rsidR="00424B52">
        <w:trPr>
          <w:gridAfter w:val="1"/>
          <w:wAfter w:w="52" w:type="dxa"/>
          <w:trHeight w:val="293"/>
          <w:jc w:val="center"/>
        </w:trPr>
        <w:tc>
          <w:tcPr>
            <w:tcW w:w="12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1.3.3</w:t>
            </w:r>
          </w:p>
        </w:tc>
        <w:tc>
          <w:tcPr>
            <w:tcW w:w="89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流速： 10ul/min 到 120ul/min。</w:t>
            </w:r>
          </w:p>
        </w:tc>
      </w:tr>
      <w:tr w:rsidR="00424B52">
        <w:trPr>
          <w:gridAfter w:val="1"/>
          <w:wAfter w:w="52" w:type="dxa"/>
          <w:trHeight w:val="293"/>
          <w:jc w:val="center"/>
        </w:trPr>
        <w:tc>
          <w:tcPr>
            <w:tcW w:w="12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lastRenderedPageBreak/>
              <w:t>1.3.4※</w:t>
            </w:r>
          </w:p>
        </w:tc>
        <w:tc>
          <w:tcPr>
            <w:tcW w:w="8916" w:type="dxa"/>
            <w:vAlign w:val="center"/>
          </w:tcPr>
          <w:p w:rsidR="00424B52" w:rsidRDefault="00A8238C">
            <w:pPr>
              <w:spacing w:line="360" w:lineRule="auto"/>
              <w:jc w:val="left"/>
              <w:rPr>
                <w:rFonts w:ascii="宋体" w:hAnsi="宋体" w:cs="宋体"/>
                <w:b w:val="0"/>
                <w:sz w:val="22"/>
                <w:szCs w:val="22"/>
              </w:rPr>
            </w:pPr>
            <w:proofErr w:type="gramStart"/>
            <w:r>
              <w:rPr>
                <w:rFonts w:ascii="宋体" w:hAnsi="宋体" w:cs="宋体" w:hint="eastAsia"/>
                <w:b w:val="0"/>
                <w:sz w:val="22"/>
                <w:szCs w:val="22"/>
              </w:rPr>
              <w:t>上样系统</w:t>
            </w:r>
            <w:proofErr w:type="gramEnd"/>
            <w:r>
              <w:rPr>
                <w:rFonts w:ascii="宋体" w:hAnsi="宋体" w:cs="宋体" w:hint="eastAsia"/>
                <w:b w:val="0"/>
                <w:sz w:val="22"/>
                <w:szCs w:val="22"/>
              </w:rPr>
              <w:t>：具备≥32管自动进样器，兼容</w:t>
            </w:r>
            <w:proofErr w:type="gramStart"/>
            <w:r>
              <w:rPr>
                <w:rFonts w:ascii="宋体" w:hAnsi="宋体" w:cs="宋体" w:hint="eastAsia"/>
                <w:b w:val="0"/>
                <w:sz w:val="22"/>
                <w:szCs w:val="22"/>
              </w:rPr>
              <w:t>多种上样</w:t>
            </w:r>
            <w:proofErr w:type="gramEnd"/>
            <w:r>
              <w:rPr>
                <w:rFonts w:ascii="宋体" w:hAnsi="宋体" w:cs="宋体" w:hint="eastAsia"/>
                <w:b w:val="0"/>
                <w:sz w:val="22"/>
                <w:szCs w:val="22"/>
              </w:rPr>
              <w:t>管，具有自动混匀和自动清洗功能，降低样本间交叉污染。</w:t>
            </w:r>
          </w:p>
        </w:tc>
      </w:tr>
      <w:tr w:rsidR="00424B52">
        <w:trPr>
          <w:gridAfter w:val="1"/>
          <w:wAfter w:w="52" w:type="dxa"/>
          <w:trHeight w:val="293"/>
          <w:jc w:val="center"/>
        </w:trPr>
        <w:tc>
          <w:tcPr>
            <w:tcW w:w="12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1.3.5</w:t>
            </w:r>
          </w:p>
        </w:tc>
        <w:tc>
          <w:tcPr>
            <w:tcW w:w="89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无需微球的绝对计数功能，在检测同时即可自动计算样本浓度，结果准确。</w:t>
            </w:r>
          </w:p>
        </w:tc>
      </w:tr>
      <w:tr w:rsidR="00424B52">
        <w:trPr>
          <w:gridAfter w:val="1"/>
          <w:wAfter w:w="52" w:type="dxa"/>
          <w:trHeight w:val="293"/>
          <w:jc w:val="center"/>
        </w:trPr>
        <w:tc>
          <w:tcPr>
            <w:tcW w:w="12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1.3.6</w:t>
            </w:r>
          </w:p>
        </w:tc>
        <w:tc>
          <w:tcPr>
            <w:tcW w:w="89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具有鞘液过滤器，确保液流的洁净度，检测微颗粒时避免杂质的干扰。</w:t>
            </w:r>
          </w:p>
        </w:tc>
      </w:tr>
      <w:tr w:rsidR="00424B52">
        <w:trPr>
          <w:gridAfter w:val="1"/>
          <w:wAfter w:w="52" w:type="dxa"/>
          <w:trHeight w:val="293"/>
          <w:jc w:val="center"/>
        </w:trPr>
        <w:tc>
          <w:tcPr>
            <w:tcW w:w="12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1.3.7</w:t>
            </w:r>
          </w:p>
        </w:tc>
        <w:tc>
          <w:tcPr>
            <w:tcW w:w="89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具有鞘液和废液传感器，自动感应</w:t>
            </w:r>
            <w:proofErr w:type="gramStart"/>
            <w:r>
              <w:rPr>
                <w:rFonts w:ascii="宋体" w:hAnsi="宋体" w:cs="宋体" w:hint="eastAsia"/>
                <w:b w:val="0"/>
                <w:sz w:val="22"/>
                <w:szCs w:val="22"/>
              </w:rPr>
              <w:t>鞘</w:t>
            </w:r>
            <w:proofErr w:type="gramEnd"/>
            <w:r>
              <w:rPr>
                <w:rFonts w:ascii="宋体" w:hAnsi="宋体" w:cs="宋体" w:hint="eastAsia"/>
                <w:b w:val="0"/>
                <w:sz w:val="22"/>
                <w:szCs w:val="22"/>
              </w:rPr>
              <w:t>液压力和废液桶液面高度，自动报警。</w:t>
            </w:r>
          </w:p>
        </w:tc>
      </w:tr>
      <w:tr w:rsidR="00424B52">
        <w:trPr>
          <w:gridAfter w:val="1"/>
          <w:wAfter w:w="52" w:type="dxa"/>
          <w:trHeight w:val="522"/>
          <w:jc w:val="center"/>
        </w:trPr>
        <w:tc>
          <w:tcPr>
            <w:tcW w:w="12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1.4</w:t>
            </w:r>
          </w:p>
        </w:tc>
        <w:tc>
          <w:tcPr>
            <w:tcW w:w="89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软件系统</w:t>
            </w:r>
          </w:p>
        </w:tc>
      </w:tr>
      <w:tr w:rsidR="00424B52">
        <w:trPr>
          <w:gridAfter w:val="1"/>
          <w:wAfter w:w="52" w:type="dxa"/>
          <w:trHeight w:val="293"/>
          <w:jc w:val="center"/>
        </w:trPr>
        <w:tc>
          <w:tcPr>
            <w:tcW w:w="12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1.4.1</w:t>
            </w:r>
          </w:p>
        </w:tc>
        <w:tc>
          <w:tcPr>
            <w:tcW w:w="89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可选择中、英文界面。</w:t>
            </w:r>
          </w:p>
        </w:tc>
      </w:tr>
      <w:tr w:rsidR="00424B52">
        <w:trPr>
          <w:gridAfter w:val="1"/>
          <w:wAfter w:w="52" w:type="dxa"/>
          <w:trHeight w:val="293"/>
          <w:jc w:val="center"/>
        </w:trPr>
        <w:tc>
          <w:tcPr>
            <w:tcW w:w="12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1.4.2</w:t>
            </w:r>
          </w:p>
        </w:tc>
        <w:tc>
          <w:tcPr>
            <w:tcW w:w="89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实时的电压调节或自动判断最佳电压，无需调节。</w:t>
            </w:r>
          </w:p>
        </w:tc>
      </w:tr>
      <w:tr w:rsidR="00424B52">
        <w:trPr>
          <w:gridAfter w:val="1"/>
          <w:wAfter w:w="52" w:type="dxa"/>
          <w:trHeight w:val="293"/>
          <w:jc w:val="center"/>
        </w:trPr>
        <w:tc>
          <w:tcPr>
            <w:tcW w:w="12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1.4.3</w:t>
            </w:r>
          </w:p>
        </w:tc>
        <w:tc>
          <w:tcPr>
            <w:tcW w:w="89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自动补偿设置：全矩阵荧光补偿，自动补偿调整，图型上自动拖动调节补偿，直观方便。</w:t>
            </w:r>
          </w:p>
        </w:tc>
      </w:tr>
      <w:tr w:rsidR="00424B52">
        <w:trPr>
          <w:gridAfter w:val="1"/>
          <w:wAfter w:w="52" w:type="dxa"/>
          <w:trHeight w:val="293"/>
          <w:jc w:val="center"/>
        </w:trPr>
        <w:tc>
          <w:tcPr>
            <w:tcW w:w="12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1.4.4</w:t>
            </w:r>
          </w:p>
        </w:tc>
        <w:tc>
          <w:tcPr>
            <w:tcW w:w="8916" w:type="dxa"/>
            <w:vAlign w:val="center"/>
          </w:tcPr>
          <w:p w:rsidR="00424B52" w:rsidRDefault="00A8238C">
            <w:pPr>
              <w:spacing w:line="360" w:lineRule="auto"/>
              <w:jc w:val="left"/>
              <w:rPr>
                <w:rFonts w:ascii="宋体" w:hAnsi="宋体" w:cs="宋体"/>
                <w:b w:val="0"/>
                <w:sz w:val="22"/>
                <w:szCs w:val="22"/>
              </w:rPr>
            </w:pPr>
            <w:r>
              <w:rPr>
                <w:rFonts w:ascii="宋体" w:hAnsi="宋体" w:cs="宋体" w:hint="eastAsia"/>
                <w:b w:val="0"/>
                <w:sz w:val="22"/>
                <w:szCs w:val="22"/>
              </w:rPr>
              <w:t>补偿调节后，再次调节电压，补偿自动调整，无需人工再干预。</w:t>
            </w:r>
          </w:p>
        </w:tc>
      </w:tr>
    </w:tbl>
    <w:p w:rsidR="00424B52" w:rsidRDefault="00424B52"/>
    <w:sectPr w:rsidR="00424B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Arial"/>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1848B9"/>
    <w:rsid w:val="FFFE827D"/>
    <w:rsid w:val="00424B52"/>
    <w:rsid w:val="00A8238C"/>
    <w:rsid w:val="00FB0C69"/>
    <w:rsid w:val="3A1848B9"/>
    <w:rsid w:val="4E7FDAA7"/>
    <w:rsid w:val="77DB5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BE1590"/>
  <w15:docId w15:val="{8DBF56B8-A213-404D-8BAB-3C97548C1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b/>
      <w:color w:val="000000"/>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86159</dc:creator>
  <cp:lastModifiedBy>Lenovo</cp:lastModifiedBy>
  <cp:revision>3</cp:revision>
  <dcterms:created xsi:type="dcterms:W3CDTF">2021-06-07T22:49:00Z</dcterms:created>
  <dcterms:modified xsi:type="dcterms:W3CDTF">2021-12-06T06:24:00Z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4F0A4D358EC047ECAB3D7E3499C66EE1</vt:lpwstr>
  </property>
</Properties>
</file>