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r>
        <w:rPr>
          <w:rFonts w:hint="default" w:ascii="Times New Roman" w:hAnsi="Times New Roman" w:cs="Times New Roman"/>
          <w:sz w:val="72"/>
          <w:szCs w:val="72"/>
        </w:rPr>
        <w:t>浙江省肿瘤医院</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sz w:val="52"/>
          <w:szCs w:val="52"/>
        </w:rPr>
      </w:pPr>
      <w:r>
        <w:rPr>
          <w:rFonts w:hint="default" w:ascii="Times New Roman" w:hAnsi="Times New Roman" w:cs="Times New Roman"/>
          <w:sz w:val="52"/>
          <w:szCs w:val="52"/>
        </w:rPr>
        <w:t>议价文件</w:t>
      </w: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病</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理</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科</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新</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增</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部</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cs="Times New Roman"/>
          <w:sz w:val="44"/>
          <w:szCs w:val="48"/>
          <w:lang w:val="en-US" w:eastAsia="zh-CN"/>
        </w:rPr>
      </w:pPr>
      <w:r>
        <w:rPr>
          <w:rFonts w:hint="eastAsia" w:ascii="Times New Roman" w:hAnsi="Times New Roman" w:cs="Times New Roman"/>
          <w:sz w:val="44"/>
          <w:szCs w:val="48"/>
          <w:lang w:val="en-US" w:eastAsia="zh-CN"/>
        </w:rPr>
        <w:t>分</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试</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剂</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及</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配</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44"/>
          <w:szCs w:val="48"/>
        </w:rPr>
      </w:pPr>
      <w:r>
        <w:rPr>
          <w:rFonts w:hint="default" w:ascii="Times New Roman" w:hAnsi="Times New Roman" w:cs="Times New Roman"/>
          <w:sz w:val="44"/>
          <w:szCs w:val="48"/>
        </w:rPr>
        <w:t>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sz w:val="32"/>
          <w:szCs w:val="36"/>
        </w:rPr>
      </w:pPr>
      <w:r>
        <w:rPr>
          <w:rFonts w:hint="default" w:ascii="Times New Roman" w:hAnsi="Times New Roman" w:cs="Times New Roman"/>
          <w:sz w:val="44"/>
          <w:szCs w:val="48"/>
        </w:rPr>
        <w:t>材</w:t>
      </w: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default" w:ascii="Times New Roman" w:hAnsi="Times New Roman" w:cs="Times New Roman"/>
          <w:sz w:val="32"/>
          <w:szCs w:val="36"/>
        </w:rPr>
      </w:pP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default" w:ascii="Times New Roman" w:hAnsi="Times New Roman" w:cs="Times New Roman"/>
          <w:sz w:val="32"/>
          <w:szCs w:val="36"/>
        </w:rPr>
      </w:pPr>
    </w:p>
    <w:p>
      <w:pPr>
        <w:keepNext w:val="0"/>
        <w:keepLines w:val="0"/>
        <w:pageBreakBefore w:val="0"/>
        <w:widowControl w:val="0"/>
        <w:kinsoku/>
        <w:wordWrap/>
        <w:overflowPunct/>
        <w:topLinePunct w:val="0"/>
        <w:autoSpaceDE/>
        <w:autoSpaceDN/>
        <w:bidi w:val="0"/>
        <w:adjustRightInd/>
        <w:snapToGrid/>
        <w:spacing w:line="120" w:lineRule="auto"/>
        <w:textAlignment w:val="auto"/>
        <w:rPr>
          <w:rFonts w:hint="default" w:ascii="Times New Roman" w:hAnsi="Times New Roman" w:cs="Times New Roman"/>
          <w:sz w:val="32"/>
          <w:szCs w:val="36"/>
        </w:rPr>
      </w:pPr>
    </w:p>
    <w:p>
      <w:pPr>
        <w:rPr>
          <w:rFonts w:hint="eastAsia"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项目一、</w:t>
      </w:r>
    </w:p>
    <w:tbl>
      <w:tblPr>
        <w:tblStyle w:val="5"/>
        <w:tblW w:w="6002" w:type="pct"/>
        <w:tblInd w:w="-816" w:type="dxa"/>
        <w:shd w:val="clear" w:color="auto" w:fill="auto"/>
        <w:tblLayout w:type="autofit"/>
        <w:tblCellMar>
          <w:top w:w="0" w:type="dxa"/>
          <w:left w:w="108" w:type="dxa"/>
          <w:bottom w:w="0" w:type="dxa"/>
          <w:right w:w="108" w:type="dxa"/>
        </w:tblCellMar>
      </w:tblPr>
      <w:tblGrid>
        <w:gridCol w:w="1230"/>
        <w:gridCol w:w="2116"/>
        <w:gridCol w:w="1107"/>
        <w:gridCol w:w="3029"/>
        <w:gridCol w:w="2748"/>
      </w:tblGrid>
      <w:tr>
        <w:tblPrEx>
          <w:shd w:val="clear" w:color="auto" w:fill="auto"/>
          <w:tblCellMar>
            <w:top w:w="0" w:type="dxa"/>
            <w:left w:w="108" w:type="dxa"/>
            <w:bottom w:w="0" w:type="dxa"/>
            <w:right w:w="108" w:type="dxa"/>
          </w:tblCellMar>
        </w:tblPrEx>
        <w:trPr>
          <w:trHeight w:val="680" w:hRule="atLeast"/>
        </w:trPr>
        <w:tc>
          <w:tcPr>
            <w:tcW w:w="60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34"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54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规格要求</w:t>
            </w:r>
          </w:p>
        </w:tc>
        <w:tc>
          <w:tcPr>
            <w:tcW w:w="148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产品描述</w:t>
            </w:r>
          </w:p>
        </w:tc>
        <w:tc>
          <w:tcPr>
            <w:tcW w:w="134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设备参数要求</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Alexa Fluor® 700 anti-human CD14</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Alexa Fluor® 700荧光标记的鼠抗人单克隆抗体CD14</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Alexa Fluor® 700 anti-human CD3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Alexa Fluor® 700荧光标记的鼠抗人单克隆抗体CD3</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APC anti-human CD20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APC荧光标记的鼠抗人单克隆抗体CD20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APC anti-human CD57</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APC荧光标记的鼠抗人单克隆抗体CD57</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APC/Cy7 anti-human CD38</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APC/Cy7荧光标记的鼠抗人单克隆抗体CD38</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APC/Cy7 anti-human CD45RA</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APC/Cy7荧光标记的鼠抗人单克隆抗体CD45RA</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Brilliant Violet 421™ anti-human CD19</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Brilliant Violet 421™荧光标记的鼠抗人单克隆抗体CD19</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Brilliant Violet 510™ anti-human CD10</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Brilliant Violet 510™荧光标记的鼠抗人单克隆抗体CD10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Brilliant Violet 510™ anti-human CD38</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Brilliant Violet 510™荧光标记的鼠抗人单克隆抗体CD38</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Brilliant Violet 605™ anti-human CD45</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Brilliant Violet 605™荧光标记的鼠抗人单克隆抗体CD45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CD2-Vioblue，human</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Vioblue荧光标记的鼠抗人单克隆抗体CD2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CD64-PerCP-Vio700，human</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PerCP-Vio700荧光标记的鼠抗人单克隆抗体CD64</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FITC anti-human CD16</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FITC荧光标记的鼠抗人单克隆抗体CD16</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FITC anti-human CD56 (NCAM)</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FITC荧光标记的鼠抗人单克隆抗体CD56</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FITC-kappa</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FITC荧光标记的鼠抗人单克隆抗体kappa</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TNFα检测试剂</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PE荧光标记的鼠抗人单克隆抗体TNFα</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IFN-γ检测试剂</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PE荧光标记的鼠抗人单克隆抗体IFN-γ</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IL-10检测试剂</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PE荧光标记的鼠抗人单克隆抗体IL-10</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IL-2检测试剂</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PE荧光标记的鼠抗人单克隆抗体IL-2</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IL-4检测试剂</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PE荧光标记的鼠抗人单克隆抗体IL-4</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IL-6检测试剂</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PE荧光标记的鼠抗人单克隆抗体IL-6</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Pacific Blue™ anti-human CD8a</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Pacific Blue™荧光标记的鼠抗人单克隆抗体CD8a</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anti-human CD4</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PE荧光标记的鼠抗人单克隆抗体CD4</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PE/Cy7 anti-human CD123</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PE/Cy7荧光标记的鼠抗人单克隆抗体CD123</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PE/Cy7 anti-human CD1a</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PE/Cy7荧光标记的鼠抗人单克隆抗体CD1a</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PE-CD300e</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PE荧光标记的鼠抗人单克隆抗体CD300e</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PE-lambda</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PE荧光标记的鼠抗人单克隆抗体lambda</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r>
        <w:tblPrEx>
          <w:shd w:val="clear" w:color="auto" w:fill="auto"/>
          <w:tblCellMar>
            <w:top w:w="0" w:type="dxa"/>
            <w:left w:w="108" w:type="dxa"/>
            <w:bottom w:w="0" w:type="dxa"/>
            <w:right w:w="108" w:type="dxa"/>
          </w:tblCellMar>
        </w:tblPrEx>
        <w:trPr>
          <w:trHeight w:val="700" w:hRule="atLeast"/>
        </w:trPr>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PerCP/Cy5.5 anti-human CD5</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 tests</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PerCP/Cy5.5荧光标记的鼠抗人单克隆抗体CD5</w:t>
            </w:r>
          </w:p>
        </w:tc>
        <w:tc>
          <w:tcPr>
            <w:tcW w:w="1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流式细胞仪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3激光13荧光通道，设备可单独报价</w:t>
            </w:r>
          </w:p>
        </w:tc>
      </w:tr>
    </w:tbl>
    <w:p>
      <w:pPr>
        <w:rPr>
          <w:rFonts w:hint="default" w:ascii="Times New Roman" w:hAnsi="Times New Roman" w:cs="Times New Roman"/>
        </w:rPr>
      </w:pPr>
      <w:r>
        <w:rPr>
          <w:rFonts w:hint="eastAsia" w:ascii="Times New Roman" w:hAnsi="Times New Roman" w:cs="Times New Roman"/>
          <w:b/>
          <w:bCs/>
          <w:sz w:val="32"/>
          <w:szCs w:val="32"/>
          <w:lang w:val="en-US" w:eastAsia="zh-CN"/>
        </w:rPr>
        <w:t>项目</w:t>
      </w:r>
      <w:r>
        <w:rPr>
          <w:rFonts w:hint="default" w:ascii="Times New Roman" w:hAnsi="Times New Roman" w:cs="Times New Roman"/>
          <w:b/>
          <w:bCs/>
          <w:sz w:val="32"/>
          <w:szCs w:val="32"/>
          <w:lang w:val="en-US" w:eastAsia="zh-CN"/>
        </w:rPr>
        <w:t>二</w:t>
      </w:r>
      <w:r>
        <w:rPr>
          <w:rFonts w:hint="eastAsia" w:ascii="Times New Roman" w:hAnsi="Times New Roman" w:cs="Times New Roman"/>
          <w:b/>
          <w:bCs/>
          <w:sz w:val="32"/>
          <w:szCs w:val="32"/>
          <w:lang w:val="en-US" w:eastAsia="zh-CN"/>
        </w:rPr>
        <w:t>、</w:t>
      </w:r>
    </w:p>
    <w:tbl>
      <w:tblPr>
        <w:tblStyle w:val="5"/>
        <w:tblW w:w="6001" w:type="pct"/>
        <w:tblInd w:w="-816" w:type="dxa"/>
        <w:shd w:val="clear" w:color="auto" w:fill="auto"/>
        <w:tblLayout w:type="fixed"/>
        <w:tblCellMar>
          <w:top w:w="0" w:type="dxa"/>
          <w:left w:w="108" w:type="dxa"/>
          <w:bottom w:w="0" w:type="dxa"/>
          <w:right w:w="108" w:type="dxa"/>
        </w:tblCellMar>
      </w:tblPr>
      <w:tblGrid>
        <w:gridCol w:w="870"/>
        <w:gridCol w:w="1215"/>
        <w:gridCol w:w="1485"/>
        <w:gridCol w:w="2475"/>
        <w:gridCol w:w="4184"/>
      </w:tblGrid>
      <w:tr>
        <w:tblPrEx>
          <w:shd w:val="clear" w:color="auto" w:fill="auto"/>
          <w:tblCellMar>
            <w:top w:w="0" w:type="dxa"/>
            <w:left w:w="108" w:type="dxa"/>
            <w:bottom w:w="0" w:type="dxa"/>
            <w:right w:w="108" w:type="dxa"/>
          </w:tblCellMar>
        </w:tblPrEx>
        <w:trPr>
          <w:trHeight w:val="680" w:hRule="atLeast"/>
        </w:trPr>
        <w:tc>
          <w:tcPr>
            <w:tcW w:w="42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72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规格要求</w:t>
            </w:r>
          </w:p>
        </w:tc>
        <w:tc>
          <w:tcPr>
            <w:tcW w:w="1209"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产品描述</w:t>
            </w:r>
          </w:p>
        </w:tc>
        <w:tc>
          <w:tcPr>
            <w:tcW w:w="204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参数要求</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CK5</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0.2ml/6ml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用于鳞癌和腺癌、间皮瘤和腺癌的鉴别诊断</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FN</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主要作为判断良恶性上皮源性肿瘤(如乳腺癌等)的指标</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MITF</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鉴别恶惺黑色素瘤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Myf4</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鉴别软组织肉瘤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Prostein</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鉴别泌尿系统肿瘤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SP-A</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主要与TTF－1联合用于原发和转移性肺癌的诊断</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TAG-72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鉴别间皮瘤和腺癌</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Bcl-10</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主要用于细胞凋亡方面的研究</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Bob.1</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0.2ml/6ml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主要用于霍奇金淋巴瘤分型</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CD123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鉴别淋巴造血系统细胞增殖和分化。</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CD235</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识别造血系统恶性肿瘤中红系分化</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9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IgG4</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鉴别诊断IgG4相关的硬化性疾病</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IgM</w:t>
            </w:r>
          </w:p>
        </w:tc>
        <w:tc>
          <w:tcPr>
            <w:tcW w:w="72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用于浆细胞瘤和B细胞来源的霍奇金淋巴瘤的鉴别</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93" w:type="pc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用于上皮源性肿瘤(乳腺癌和胃肠道癌等)的研究</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9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MAC387</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用于组织细胞来源肿瘤的辅助诊断</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MUC4</w:t>
            </w:r>
          </w:p>
        </w:tc>
        <w:tc>
          <w:tcPr>
            <w:tcW w:w="72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主要鉴别胃肠道、气管，肺等肿瘤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PLAP</w:t>
            </w:r>
          </w:p>
        </w:tc>
        <w:tc>
          <w:tcPr>
            <w:tcW w:w="72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0.2ml/6ml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鉴别生殖细胞肿瘤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93"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PSA</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鉴别泌尿系统肿瘤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SSTR2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胃肠ESD上皮性病变的鉴别</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VEGF</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鉴别肿瘤的生长、浸润和转移</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VEGFR-3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与临床肿瘤抗血管治疗相关</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Kappa/Lambda检测试剂盒</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鉴别淋巴造血系统肿瘤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CD30/Pax5检测试剂盒</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鉴别淋巴造血系统肿瘤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CK(pan)/p63检测试剂盒</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鉴别乳腺癌等微小浸润灶</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CK(pan)/Calponin检测试剂盒</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鉴别乳腺癌等微小浸润灶</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可持续供货，售后完善；按每例0.15ml测试量，单例</w:t>
            </w:r>
            <w:bookmarkStart w:id="0" w:name="_GoBack"/>
            <w:bookmarkEnd w:id="0"/>
            <w:r>
              <w:rPr>
                <w:rFonts w:hint="eastAsia" w:ascii="宋体" w:hAnsi="宋体" w:eastAsia="宋体" w:cs="宋体"/>
                <w:i w:val="0"/>
                <w:iCs w:val="0"/>
                <w:color w:val="000000"/>
                <w:kern w:val="0"/>
                <w:sz w:val="20"/>
                <w:szCs w:val="20"/>
                <w:u w:val="none"/>
                <w:lang w:val="en-US" w:eastAsia="zh-CN" w:bidi="ar"/>
              </w:rPr>
              <w:t>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CK(34βE12)/ p504S检测试剂盒</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鉴别前列腺肿瘤及分型</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93"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CD4/CD8检测试剂盒</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60测试</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鉴别淋巴造血系统肿瘤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H3K27M</w:t>
            </w:r>
          </w:p>
        </w:tc>
        <w:tc>
          <w:tcPr>
            <w:tcW w:w="72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用于弥漫型中线胶质瘤和毛细胞星型细胞瘤分型</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593" w:type="pct"/>
            <w:tcBorders>
              <w:top w:val="single" w:color="auto"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H3K27Me3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用于弥漫型中线胶质瘤和毛细胞星型细胞瘤分型</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93"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NeuN</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0.2mL/6ml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鉴别神经内分泌肿瘤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SATB2</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鉴别下消化道及骨来源肿瘤</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STAT6</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0.2ml/6ml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用于孤立性纤维性肿瘤的诊断</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PD-L1（22C3）</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0.2mL</w:t>
            </w: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判读免疫状态，指导临床免疫抑制剂K药的应用。</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可持续供货，售后完善；浓缩型至少达到1:100稀释；按每例0.15ml测试量，单例价格优先</w:t>
            </w:r>
          </w:p>
        </w:tc>
      </w:tr>
      <w:tr>
        <w:tblPrEx>
          <w:shd w:val="clear" w:color="auto" w:fill="auto"/>
          <w:tblCellMar>
            <w:top w:w="0" w:type="dxa"/>
            <w:left w:w="108" w:type="dxa"/>
            <w:bottom w:w="0" w:type="dxa"/>
            <w:right w:w="108" w:type="dxa"/>
          </w:tblCellMar>
        </w:tblPrEx>
        <w:trPr>
          <w:trHeight w:val="700"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DAB染色液</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辅助二抗试剂</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可持续供货，售后完善；按每例0.15ml测试量，单例价格优先</w:t>
            </w:r>
          </w:p>
        </w:tc>
      </w:tr>
      <w:tr>
        <w:tblPrEx>
          <w:shd w:val="clear" w:color="auto" w:fill="auto"/>
          <w:tblCellMar>
            <w:top w:w="0" w:type="dxa"/>
            <w:left w:w="108" w:type="dxa"/>
            <w:bottom w:w="0" w:type="dxa"/>
            <w:right w:w="108" w:type="dxa"/>
          </w:tblCellMar>
        </w:tblPrEx>
        <w:trPr>
          <w:trHeight w:val="595" w:hRule="atLeast"/>
        </w:trPr>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 正文 )" w:hAnsi="宋体 ( 正文 )" w:eastAsia="宋体 ( 正文 )" w:cs="宋体 ( 正文 )"/>
                <w:i w:val="0"/>
                <w:iCs w:val="0"/>
                <w:color w:val="000000"/>
                <w:sz w:val="20"/>
                <w:szCs w:val="20"/>
                <w:u w:val="none"/>
              </w:rPr>
            </w:pPr>
            <w:r>
              <w:rPr>
                <w:rFonts w:hint="default" w:ascii="宋体 ( 正文 )" w:hAnsi="宋体 ( 正文 )" w:eastAsia="宋体 ( 正文 )" w:cs="宋体 ( 正文 )"/>
                <w:i w:val="0"/>
                <w:iCs w:val="0"/>
                <w:color w:val="000000"/>
                <w:kern w:val="0"/>
                <w:sz w:val="20"/>
                <w:szCs w:val="20"/>
                <w:u w:val="none"/>
                <w:lang w:val="en-US" w:eastAsia="zh-CN" w:bidi="ar"/>
              </w:rPr>
              <w:t>pepsinogen1</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 正文 )" w:hAnsi="宋体 ( 正文 )" w:eastAsia="宋体 ( 正文 )" w:cs="宋体 ( 正文 )"/>
                <w:i w:val="0"/>
                <w:iCs w:val="0"/>
                <w:color w:val="000000"/>
                <w:sz w:val="20"/>
                <w:szCs w:val="20"/>
                <w:u w:val="none"/>
              </w:rPr>
            </w:pPr>
          </w:p>
        </w:tc>
        <w:tc>
          <w:tcPr>
            <w:tcW w:w="1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 正文 )" w:hAnsi="宋体 ( 正文 )" w:eastAsia="宋体 ( 正文 )" w:cs="宋体 ( 正文 )"/>
                <w:i w:val="0"/>
                <w:iCs w:val="0"/>
                <w:color w:val="000000"/>
                <w:sz w:val="20"/>
                <w:szCs w:val="20"/>
                <w:u w:val="none"/>
              </w:rPr>
            </w:pPr>
            <w:r>
              <w:rPr>
                <w:rFonts w:hint="default" w:ascii="宋体 ( 正文 )" w:hAnsi="宋体 ( 正文 )" w:eastAsia="宋体 ( 正文 )" w:cs="宋体 ( 正文 )"/>
                <w:i w:val="0"/>
                <w:iCs w:val="0"/>
                <w:color w:val="000000"/>
                <w:kern w:val="0"/>
                <w:sz w:val="20"/>
                <w:szCs w:val="20"/>
                <w:u w:val="none"/>
                <w:lang w:val="en-US" w:eastAsia="zh-CN" w:bidi="ar"/>
              </w:rPr>
              <w:t>胃肠ESD上皮性病变的鉴别。</w:t>
            </w:r>
          </w:p>
        </w:tc>
        <w:tc>
          <w:tcPr>
            <w:tcW w:w="2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可持续供货，售后完善</w:t>
            </w:r>
          </w:p>
        </w:tc>
      </w:tr>
    </w:tbl>
    <w:p>
      <w:pPr>
        <w:rPr>
          <w:rFonts w:hint="default" w:ascii="Times New Roman" w:hAnsi="Times New Roman" w:cs="Times New Roman"/>
        </w:rPr>
      </w:pPr>
      <w:r>
        <w:rPr>
          <w:rFonts w:hint="eastAsia" w:ascii="Times New Roman" w:hAnsi="Times New Roman" w:cs="Times New Roman"/>
          <w:b/>
          <w:bCs/>
          <w:sz w:val="32"/>
          <w:szCs w:val="32"/>
          <w:lang w:val="en-US" w:eastAsia="zh-CN"/>
        </w:rPr>
        <w:t>项目三、</w:t>
      </w:r>
    </w:p>
    <w:tbl>
      <w:tblPr>
        <w:tblStyle w:val="5"/>
        <w:tblW w:w="5992" w:type="pct"/>
        <w:tblInd w:w="-815" w:type="dxa"/>
        <w:shd w:val="clear" w:color="auto" w:fill="auto"/>
        <w:tblLayout w:type="autofit"/>
        <w:tblCellMar>
          <w:top w:w="0" w:type="dxa"/>
          <w:left w:w="108" w:type="dxa"/>
          <w:bottom w:w="0" w:type="dxa"/>
          <w:right w:w="108" w:type="dxa"/>
        </w:tblCellMar>
      </w:tblPr>
      <w:tblGrid>
        <w:gridCol w:w="1279"/>
        <w:gridCol w:w="2635"/>
        <w:gridCol w:w="2129"/>
        <w:gridCol w:w="4170"/>
      </w:tblGrid>
      <w:tr>
        <w:tblPrEx>
          <w:tblCellMar>
            <w:top w:w="0" w:type="dxa"/>
            <w:left w:w="108" w:type="dxa"/>
            <w:bottom w:w="0" w:type="dxa"/>
            <w:right w:w="108" w:type="dxa"/>
          </w:tblCellMar>
        </w:tblPrEx>
        <w:trPr>
          <w:trHeight w:val="679" w:hRule="atLeast"/>
        </w:trPr>
        <w:tc>
          <w:tcPr>
            <w:tcW w:w="6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90"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1042"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平台</w:t>
            </w:r>
          </w:p>
        </w:tc>
        <w:tc>
          <w:tcPr>
            <w:tcW w:w="204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用途</w:t>
            </w:r>
          </w:p>
        </w:tc>
      </w:tr>
      <w:tr>
        <w:tblPrEx>
          <w:shd w:val="clear" w:color="auto" w:fill="auto"/>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血液系统肿瘤多基因检测</w:t>
            </w:r>
          </w:p>
        </w:tc>
        <w:tc>
          <w:tcPr>
            <w:tcW w:w="1042" w:type="pct"/>
            <w:vMerge w:val="restart"/>
            <w:tcBorders>
              <w:top w:val="single" w:color="000000" w:sz="4" w:space="0"/>
              <w:left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二代测序</w:t>
            </w:r>
          </w:p>
        </w:tc>
        <w:tc>
          <w:tcPr>
            <w:tcW w:w="2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靶向用药、遗传咨询、分子分型</w:t>
            </w:r>
          </w:p>
        </w:tc>
      </w:tr>
      <w:tr>
        <w:tblPrEx>
          <w:shd w:val="clear" w:color="auto" w:fill="auto"/>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0" w:type="pc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子宫内膜癌多基因检测</w:t>
            </w:r>
          </w:p>
        </w:tc>
        <w:tc>
          <w:tcPr>
            <w:tcW w:w="1042" w:type="pct"/>
            <w:vMerge w:val="continue"/>
            <w:tcBorders>
              <w:left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甲状腺肿瘤多基因检测</w:t>
            </w:r>
          </w:p>
        </w:tc>
        <w:tc>
          <w:tcPr>
            <w:tcW w:w="1042" w:type="pct"/>
            <w:vMerge w:val="continue"/>
            <w:tcBorders>
              <w:left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脑胶质瘤多基因检测</w:t>
            </w:r>
          </w:p>
        </w:tc>
        <w:tc>
          <w:tcPr>
            <w:tcW w:w="1042" w:type="pct"/>
            <w:vMerge w:val="continue"/>
            <w:tcBorders>
              <w:left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0"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遗传肿瘤基因检测</w:t>
            </w:r>
          </w:p>
        </w:tc>
        <w:tc>
          <w:tcPr>
            <w:tcW w:w="1042" w:type="pct"/>
            <w:vMerge w:val="continue"/>
            <w:tcBorders>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KIT基因突变检测（荧光PCR-毛细管电泳测序法）</w:t>
            </w:r>
          </w:p>
        </w:tc>
        <w:tc>
          <w:tcPr>
            <w:tcW w:w="1042" w:type="pct"/>
            <w:vMerge w:val="restart"/>
            <w:tcBorders>
              <w:top w:val="single" w:color="000000" w:sz="4" w:space="0"/>
              <w:left w:val="single" w:color="000000" w:sz="4" w:space="0"/>
              <w:right w:val="single" w:color="000000" w:sz="4" w:space="0"/>
            </w:tcBorders>
            <w:shd w:val="clear" w:color="auto" w:fill="auto"/>
            <w:vAlign w:val="center"/>
          </w:tcPr>
          <w:p>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一代测序</w:t>
            </w:r>
          </w:p>
        </w:tc>
        <w:tc>
          <w:tcPr>
            <w:tcW w:w="2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靶向用药、分子分型</w:t>
            </w:r>
          </w:p>
        </w:tc>
      </w:tr>
      <w:tr>
        <w:tblPrEx>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PDGFRA基因突变检测（荧光PCR-毛细管电泳测序法）</w:t>
            </w:r>
          </w:p>
        </w:tc>
        <w:tc>
          <w:tcPr>
            <w:tcW w:w="1042" w:type="pct"/>
            <w:vMerge w:val="continue"/>
            <w:tcBorders>
              <w:left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POLE基因突变检测（荧光PCR-毛细管电泳测序法）</w:t>
            </w:r>
          </w:p>
        </w:tc>
        <w:tc>
          <w:tcPr>
            <w:tcW w:w="1042" w:type="pct"/>
            <w:vMerge w:val="continue"/>
            <w:tcBorders>
              <w:left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B细胞基因克隆性重排检测</w:t>
            </w:r>
          </w:p>
        </w:tc>
        <w:tc>
          <w:tcPr>
            <w:tcW w:w="1042" w:type="pct"/>
            <w:vMerge w:val="continue"/>
            <w:tcBorders>
              <w:left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淋巴瘤重排</w:t>
            </w:r>
          </w:p>
        </w:tc>
      </w:tr>
      <w:tr>
        <w:tblPrEx>
          <w:shd w:val="clear" w:color="auto" w:fill="auto"/>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T细胞基因克隆性重排检测</w:t>
            </w:r>
          </w:p>
        </w:tc>
        <w:tc>
          <w:tcPr>
            <w:tcW w:w="1042" w:type="pct"/>
            <w:vMerge w:val="continue"/>
            <w:tcBorders>
              <w:left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微卫星不稳定（MSI）检测试剂盒（多重荧光PCR-毛细管电泳）</w:t>
            </w:r>
          </w:p>
        </w:tc>
        <w:tc>
          <w:tcPr>
            <w:tcW w:w="1042" w:type="pct"/>
            <w:vMerge w:val="continue"/>
            <w:tcBorders>
              <w:left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泛癌肿免疫治疗、分子分型</w:t>
            </w:r>
          </w:p>
        </w:tc>
      </w:tr>
      <w:tr>
        <w:tblPrEx>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单位点测序</w:t>
            </w:r>
          </w:p>
        </w:tc>
        <w:tc>
          <w:tcPr>
            <w:tcW w:w="1042" w:type="pct"/>
            <w:vMerge w:val="continue"/>
            <w:tcBorders>
              <w:left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单基因位点验证</w:t>
            </w:r>
          </w:p>
        </w:tc>
      </w:tr>
      <w:tr>
        <w:tblPrEx>
          <w:shd w:val="clear" w:color="auto" w:fill="auto"/>
          <w:tblCellMar>
            <w:top w:w="0" w:type="dxa"/>
            <w:left w:w="108" w:type="dxa"/>
            <w:bottom w:w="0" w:type="dxa"/>
            <w:right w:w="108" w:type="dxa"/>
          </w:tblCellMar>
        </w:tblPrEx>
        <w:trPr>
          <w:trHeight w:val="700" w:hRule="atLeast"/>
        </w:trPr>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单基因遗传病基因突变检测</w:t>
            </w:r>
          </w:p>
        </w:tc>
        <w:tc>
          <w:tcPr>
            <w:tcW w:w="1042" w:type="pct"/>
            <w:vMerge w:val="continue"/>
            <w:tcBorders>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18"/>
                <w:szCs w:val="24"/>
                <w:lang w:val="en-US" w:eastAsia="zh-CN" w:bidi="ar-SA"/>
              </w:rPr>
            </w:pPr>
          </w:p>
        </w:tc>
        <w:tc>
          <w:tcPr>
            <w:tcW w:w="2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jc w:val="center"/>
        <w:rPr>
          <w:rFonts w:hint="default" w:ascii="Times New Roman" w:hAnsi="Times New Roman" w:cs="Times New Roman"/>
          <w:b/>
          <w:sz w:val="32"/>
        </w:rPr>
      </w:pPr>
      <w:r>
        <w:rPr>
          <w:rFonts w:hint="default" w:ascii="Times New Roman" w:hAnsi="Times New Roman" w:cs="Times New Roman"/>
          <w:b/>
          <w:sz w:val="32"/>
          <w:lang w:val="en-US" w:eastAsia="zh-CN"/>
        </w:rPr>
        <w:t>议价文件</w:t>
      </w:r>
      <w:r>
        <w:rPr>
          <w:rFonts w:hint="default" w:ascii="Times New Roman" w:hAnsi="Times New Roman" w:cs="Times New Roman"/>
          <w:b/>
          <w:sz w:val="32"/>
        </w:rPr>
        <w:t>注意事项</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一、资料排放顺序：报价单、供应商营业执照、供应商经营许可证（经营备案凭证）、医疗器械产品备案凭证、医疗器械产品注册证、生产企业生产许可证及营业执照、厂家授权、销售人员的授权、销售人员身份证复印件、产品彩页（或说明书）、浙一浙二或邵逸夫医院产品发票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阳光采购产品</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color w:val="FF0000"/>
          <w:sz w:val="24"/>
        </w:rPr>
        <w:t>全部敲红章</w:t>
      </w:r>
      <w:r>
        <w:rPr>
          <w:rFonts w:hint="default" w:ascii="Times New Roman" w:hAnsi="Times New Roman" w:cs="Times New Roman"/>
          <w:sz w:val="24"/>
        </w:rPr>
        <w:t>）</w:t>
      </w:r>
    </w:p>
    <w:p>
      <w:pPr>
        <w:spacing w:line="360" w:lineRule="auto"/>
        <w:ind w:firstLine="420" w:firstLineChars="0"/>
        <w:rPr>
          <w:rFonts w:hint="default" w:ascii="Times New Roman" w:hAnsi="Times New Roman" w:cs="Times New Roman"/>
          <w:sz w:val="24"/>
        </w:rPr>
      </w:pPr>
      <w:r>
        <w:rPr>
          <w:rFonts w:hint="eastAsia" w:ascii="Times New Roman" w:hAnsi="Times New Roman" w:cs="Times New Roman"/>
          <w:sz w:val="24"/>
          <w:lang w:val="en-US" w:eastAsia="zh-CN"/>
        </w:rPr>
        <w:t>二</w:t>
      </w:r>
      <w:r>
        <w:rPr>
          <w:rFonts w:hint="default" w:ascii="Times New Roman" w:hAnsi="Times New Roman" w:cs="Times New Roman"/>
          <w:sz w:val="24"/>
        </w:rPr>
        <w:t>、报价单请用报价单模板</w:t>
      </w:r>
      <w:r>
        <w:rPr>
          <w:rFonts w:hint="eastAsia" w:ascii="Times New Roman" w:hAnsi="Times New Roman" w:cs="Times New Roman"/>
          <w:sz w:val="24"/>
          <w:lang w:eastAsia="zh-CN"/>
        </w:rPr>
        <w:t>，</w:t>
      </w:r>
      <w:r>
        <w:rPr>
          <w:rFonts w:hint="default" w:ascii="Times New Roman" w:hAnsi="Times New Roman" w:cs="Times New Roman"/>
          <w:sz w:val="24"/>
        </w:rPr>
        <w:t>报价单审核表填写完毕后，报价单请先反馈到</w:t>
      </w:r>
      <w:r>
        <w:rPr>
          <w:rFonts w:hint="default" w:ascii="Times New Roman" w:hAnsi="Times New Roman" w:cs="Times New Roman"/>
          <w:sz w:val="24"/>
          <w:lang w:val="en-US" w:eastAsia="zh-CN"/>
        </w:rPr>
        <w:t>zlyyhccg@163.com</w:t>
      </w:r>
      <w:r>
        <w:rPr>
          <w:rFonts w:hint="default" w:ascii="Times New Roman" w:hAnsi="Times New Roman" w:cs="Times New Roman"/>
          <w:sz w:val="24"/>
        </w:rPr>
        <w:t>邮箱</w:t>
      </w:r>
      <w:r>
        <w:rPr>
          <w:rFonts w:hint="eastAsia" w:ascii="Times New Roman" w:hAnsi="Times New Roman" w:cs="Times New Roman"/>
          <w:sz w:val="24"/>
          <w:lang w:eastAsia="zh-CN"/>
        </w:rPr>
        <w:t>。</w:t>
      </w:r>
      <w:r>
        <w:rPr>
          <w:rFonts w:hint="default" w:ascii="Times New Roman" w:hAnsi="Times New Roman" w:cs="Times New Roman"/>
          <w:sz w:val="24"/>
        </w:rPr>
        <w:t>如有问题，请联系电话0571-88122160</w:t>
      </w:r>
      <w:r>
        <w:rPr>
          <w:rFonts w:hint="eastAsia" w:ascii="Times New Roman" w:hAnsi="Times New Roman" w:cs="Times New Roman"/>
          <w:sz w:val="24"/>
          <w:lang w:val="en-US" w:eastAsia="zh-CN"/>
        </w:rPr>
        <w:t>俞老师</w:t>
      </w:r>
      <w:r>
        <w:rPr>
          <w:rFonts w:hint="default" w:ascii="Times New Roman" w:hAnsi="Times New Roman" w:cs="Times New Roman"/>
          <w:sz w:val="24"/>
        </w:rPr>
        <w:t>，上班时间：8：00-11:30，13:30-17:00。</w:t>
      </w: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56"/>
                <w:szCs w:val="56"/>
                <w:u w:val="none"/>
              </w:rPr>
            </w:pPr>
            <w:r>
              <w:rPr>
                <w:rFonts w:hint="default" w:ascii="Times New Roman" w:hAnsi="Times New Roman" w:eastAsia="宋体" w:cs="Times New Roman"/>
                <w:b/>
                <w:i w:val="0"/>
                <w:color w:val="000000"/>
                <w:kern w:val="0"/>
                <w:sz w:val="40"/>
                <w:szCs w:val="40"/>
                <w:u w:val="none"/>
                <w:lang w:val="en-US" w:eastAsia="zh-CN" w:bidi="ar"/>
              </w:rPr>
              <w:t>浙江省肿瘤医院报价单</w:t>
            </w:r>
          </w:p>
        </w:tc>
      </w:tr>
      <w:tr>
        <w:tblPrEx>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产品注册证号</w:t>
            </w: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6"/>
                <w:szCs w:val="36"/>
                <w:u w:val="none"/>
              </w:rPr>
            </w:pPr>
            <w:r>
              <w:rPr>
                <w:rFonts w:hint="default" w:ascii="Times New Roman" w:hAnsi="Times New Roman" w:eastAsia="宋体" w:cs="Times New Roman"/>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36"/>
                <w:szCs w:val="36"/>
                <w:u w:val="none"/>
              </w:rPr>
            </w:pPr>
            <w:r>
              <w:rPr>
                <w:rFonts w:hint="default" w:ascii="Times New Roman" w:hAnsi="Times New Roman" w:eastAsia="宋体" w:cs="Times New Roman"/>
                <w:i w:val="0"/>
                <w:color w:val="000000"/>
                <w:kern w:val="0"/>
                <w:sz w:val="36"/>
                <w:szCs w:val="36"/>
                <w:u w:val="none"/>
                <w:lang w:val="en-US" w:eastAsia="zh-CN" w:bidi="ar"/>
              </w:rPr>
              <w:t xml:space="preserve"> 年   月   日</w:t>
            </w:r>
          </w:p>
        </w:tc>
      </w:tr>
    </w:tbl>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eastAsia="黑体" w:cs="Times New Roman"/>
          <w:sz w:val="32"/>
          <w:szCs w:val="32"/>
        </w:rPr>
      </w:pPr>
    </w:p>
    <w:p>
      <w:pPr>
        <w:pStyle w:val="2"/>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法定代表人授权委托书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浙江省肿瘤医院：</w:t>
      </w:r>
    </w:p>
    <w:p>
      <w:pPr>
        <w:spacing w:line="360" w:lineRule="auto"/>
        <w:rPr>
          <w:rFonts w:hint="default" w:ascii="Times New Roman" w:hAnsi="Times New Roman" w:cs="Times New Roman"/>
          <w:sz w:val="24"/>
        </w:rPr>
      </w:pPr>
      <w:r>
        <w:rPr>
          <w:rFonts w:hint="default" w:ascii="Times New Roman" w:hAnsi="Times New Roman" w:cs="Times New Roman"/>
          <w:sz w:val="24"/>
        </w:rPr>
        <w:tab/>
      </w:r>
      <w:r>
        <w:rPr>
          <w:rFonts w:hint="default" w:ascii="Times New Roman" w:hAnsi="Times New Roman" w:cs="Times New Roman"/>
          <w:sz w:val="24"/>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兹委派我单位</w:t>
      </w:r>
      <w:r>
        <w:rPr>
          <w:rFonts w:hint="default" w:ascii="Times New Roman" w:hAnsi="Times New Roman" w:cs="Times New Roman"/>
          <w:color w:val="000000"/>
          <w:sz w:val="24"/>
          <w:u w:val="single"/>
        </w:rPr>
        <w:t xml:space="preserve">         </w:t>
      </w:r>
      <w:r>
        <w:rPr>
          <w:rFonts w:hint="default" w:ascii="Times New Roman" w:hAnsi="Times New Roman" w:cs="Times New Roman"/>
          <w:sz w:val="24"/>
        </w:rPr>
        <w:t>先生/女士，身份证号：</w:t>
      </w:r>
      <w:r>
        <w:rPr>
          <w:rFonts w:hint="default" w:ascii="Times New Roman" w:hAnsi="Times New Roman" w:cs="Times New Roman"/>
          <w:sz w:val="24"/>
          <w:u w:val="single"/>
        </w:rPr>
        <w:t xml:space="preserve">                      </w:t>
      </w:r>
      <w:r>
        <w:rPr>
          <w:rFonts w:hint="default" w:ascii="Times New Roman" w:hAnsi="Times New Roman" w:cs="Times New Roman"/>
          <w:sz w:val="24"/>
        </w:rPr>
        <w:t>，联系方式：固定电话</w:t>
      </w:r>
      <w:r>
        <w:rPr>
          <w:rFonts w:hint="default" w:ascii="Times New Roman" w:hAnsi="Times New Roman" w:cs="Times New Roman"/>
          <w:color w:val="000000"/>
          <w:sz w:val="24"/>
          <w:u w:val="single"/>
        </w:rPr>
        <w:t xml:space="preserve">                </w:t>
      </w:r>
      <w:r>
        <w:rPr>
          <w:rFonts w:hint="default" w:ascii="Times New Roman" w:hAnsi="Times New Roman" w:cs="Times New Roman"/>
          <w:color w:val="000000"/>
          <w:sz w:val="24"/>
        </w:rPr>
        <w:t>，手机号</w:t>
      </w:r>
      <w:r>
        <w:rPr>
          <w:rFonts w:hint="default" w:ascii="Times New Roman" w:hAnsi="Times New Roman" w:cs="Times New Roman"/>
          <w:color w:val="000000"/>
          <w:sz w:val="24"/>
          <w:u w:val="single"/>
        </w:rPr>
        <w:t xml:space="preserve">               </w:t>
      </w:r>
      <w:r>
        <w:rPr>
          <w:rFonts w:hint="default" w:ascii="Times New Roman" w:hAnsi="Times New Roman" w:cs="Times New Roman"/>
          <w:sz w:val="24"/>
        </w:rPr>
        <w:t>，代表我公司参加贵院此次</w:t>
      </w:r>
      <w:r>
        <w:rPr>
          <w:rFonts w:hint="default" w:ascii="Times New Roman" w:hAnsi="Times New Roman" w:cs="Times New Roman"/>
          <w:color w:val="000000"/>
          <w:sz w:val="24"/>
          <w:u w:val="single"/>
        </w:rPr>
        <w:t xml:space="preserve">                </w:t>
      </w:r>
      <w:r>
        <w:rPr>
          <w:rFonts w:hint="default" w:ascii="Times New Roman" w:hAnsi="Times New Roman" w:cs="Times New Roman"/>
          <w:sz w:val="24"/>
        </w:rPr>
        <w:t>议价，全权处理谈判过程中的一切事项。本次委托有效期为签发之日起至合同履行完毕之日止。</w:t>
      </w:r>
    </w:p>
    <w:p>
      <w:pPr>
        <w:spacing w:line="360" w:lineRule="auto"/>
        <w:rPr>
          <w:rFonts w:hint="default" w:ascii="Times New Roman" w:hAnsi="Times New Roman" w:cs="Times New Roman"/>
          <w:sz w:val="24"/>
        </w:rPr>
      </w:pPr>
      <w:r>
        <w:rPr>
          <w:rFonts w:hint="default" w:ascii="Times New Roman" w:hAnsi="Times New Roman" w:cs="Times New Roman"/>
          <w:sz w:val="24"/>
        </w:rPr>
        <w:tab/>
      </w:r>
      <w:r>
        <w:rPr>
          <w:rFonts w:hint="default" w:ascii="Times New Roman" w:hAnsi="Times New Roman" w:cs="Times New Roman"/>
          <w:sz w:val="24"/>
        </w:rPr>
        <w:t xml:space="preserve"> 本委托书共1份1页，必须由本公司法定代表签字或盖章，并加盖本公司公章方为有效。复印无效。</w:t>
      </w: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8"/>
          <w:szCs w:val="28"/>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投标单位名称（盖章）：</w:t>
      </w:r>
      <w:r>
        <w:rPr>
          <w:rFonts w:hint="default" w:ascii="Times New Roman" w:hAnsi="Times New Roman" w:cs="Times New Roman"/>
          <w:sz w:val="24"/>
          <w:u w:val="single"/>
        </w:rPr>
        <w:t xml:space="preserve">                                     </w:t>
      </w:r>
    </w:p>
    <w:p>
      <w:pPr>
        <w:spacing w:line="360" w:lineRule="auto"/>
        <w:ind w:firstLine="1680" w:firstLineChars="700"/>
        <w:rPr>
          <w:rFonts w:hint="default" w:ascii="Times New Roman" w:hAnsi="Times New Roman" w:cs="Times New Roman"/>
          <w:sz w:val="24"/>
          <w:u w:val="single"/>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法定代表人（签字或盖章）： </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u w:val="single"/>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受委托人（签字）：</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签发日期：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sz w:val="28"/>
          <w:szCs w:val="28"/>
        </w:rPr>
      </w:pPr>
      <w:r>
        <w:rPr>
          <w:rFonts w:hint="default" w:ascii="Times New Roman" w:hAnsi="Times New Roman" w:cs="Times New Roman"/>
          <w:sz w:val="28"/>
          <w:szCs w:val="28"/>
        </w:rPr>
        <w:t>请附受委托人身份证复印件（正反）</w:t>
      </w:r>
    </w:p>
    <w:p>
      <w:pPr>
        <w:rPr>
          <w:rFonts w:hint="default" w:ascii="Times New Roman" w:hAnsi="Times New Roman" w:cs="Times New Roman"/>
          <w:sz w:val="28"/>
          <w:szCs w:val="28"/>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jc w:val="center"/>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产品质量与服务承诺书</w:t>
      </w:r>
    </w:p>
    <w:p>
      <w:pPr>
        <w:spacing w:line="360" w:lineRule="auto"/>
        <w:ind w:left="60"/>
        <w:rPr>
          <w:rFonts w:hint="default" w:ascii="Times New Roman" w:hAnsi="Times New Roman" w:cs="Times New Roman"/>
          <w:b/>
          <w:sz w:val="18"/>
          <w:szCs w:val="18"/>
        </w:rPr>
      </w:pPr>
    </w:p>
    <w:p>
      <w:pPr>
        <w:spacing w:line="360" w:lineRule="auto"/>
        <w:ind w:left="60"/>
        <w:rPr>
          <w:rFonts w:hint="default" w:ascii="Times New Roman" w:hAnsi="Times New Roman" w:cs="Times New Roman"/>
          <w:b/>
          <w:sz w:val="24"/>
        </w:rPr>
      </w:pPr>
      <w:r>
        <w:rPr>
          <w:rFonts w:hint="default" w:ascii="Times New Roman" w:hAnsi="Times New Roman" w:cs="Times New Roman"/>
          <w:b/>
          <w:sz w:val="24"/>
        </w:rPr>
        <w:t>浙江省肿瘤医院：</w:t>
      </w:r>
    </w:p>
    <w:p>
      <w:pPr>
        <w:spacing w:line="360" w:lineRule="auto"/>
        <w:ind w:left="61" w:leftChars="29" w:firstLine="470" w:firstLineChars="196"/>
        <w:rPr>
          <w:rFonts w:hint="default" w:ascii="Times New Roman" w:hAnsi="Times New Roman" w:cs="Times New Roman"/>
          <w:sz w:val="24"/>
        </w:rPr>
      </w:pPr>
      <w:r>
        <w:rPr>
          <w:rFonts w:hint="default" w:ascii="Times New Roman" w:hAnsi="Times New Roman" w:cs="Times New Roman"/>
          <w:sz w:val="24"/>
        </w:rPr>
        <w:t>公司本着规范生产，合法经营的原则，特对贵院承诺如下：</w:t>
      </w:r>
    </w:p>
    <w:p>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我公司销售的医疗器械产品质量符合国家标准，公司各种证照齐全。</w:t>
      </w:r>
    </w:p>
    <w:p>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我公司提供完善的销售供应和售后服务保障体系，接需方电话通知后三个工作日内到货（特殊情况另议），并负责货物搬运入库。</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公司承诺此次招标报价不高于公司在省内其他医院的供货价。</w:t>
      </w:r>
      <w:r>
        <w:rPr>
          <w:rFonts w:hint="default" w:ascii="Times New Roman" w:hAnsi="Times New Roman" w:cs="Times New Roman"/>
          <w:sz w:val="24"/>
          <w:szCs w:val="24"/>
        </w:rPr>
        <w:t>如遇该医用耗材在省内任何医院价格调整低于我院采购价时，应第一时间提供最新调价。</w:t>
      </w:r>
    </w:p>
    <w:p>
      <w:pPr>
        <w:numPr>
          <w:ilvl w:val="0"/>
          <w:numId w:val="1"/>
        </w:numPr>
        <w:spacing w:line="360" w:lineRule="auto"/>
        <w:ind w:left="485"/>
        <w:rPr>
          <w:rFonts w:hint="default" w:ascii="Times New Roman" w:hAnsi="Times New Roman" w:cs="Times New Roman"/>
          <w:sz w:val="24"/>
        </w:rPr>
      </w:pPr>
      <w:r>
        <w:rPr>
          <w:rFonts w:hint="default" w:ascii="Times New Roman" w:hAnsi="Times New Roman" w:cs="Times New Roman"/>
          <w:sz w:val="24"/>
        </w:rPr>
        <w:t>协助医院廉政、廉洁行医建设，依法文明经商。不采用不正当或非法的经营手段。如有不正当或非法经营活动，本公司愿承担一切相应的责任。</w:t>
      </w: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投标单位名称（盖章）：</w:t>
      </w:r>
      <w:r>
        <w:rPr>
          <w:rFonts w:hint="default" w:ascii="Times New Roman" w:hAnsi="Times New Roman" w:cs="Times New Roman"/>
          <w:sz w:val="24"/>
          <w:u w:val="single"/>
        </w:rPr>
        <w:t xml:space="preserve">                                   </w:t>
      </w:r>
    </w:p>
    <w:p>
      <w:pPr>
        <w:spacing w:line="360" w:lineRule="auto"/>
        <w:ind w:firstLine="2160" w:firstLineChars="900"/>
        <w:rPr>
          <w:rFonts w:hint="default" w:ascii="Times New Roman" w:hAnsi="Times New Roman" w:cs="Times New Roman"/>
          <w:sz w:val="24"/>
          <w:u w:val="single"/>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法定代表人（签字或盖章）： </w:t>
      </w:r>
      <w:r>
        <w:rPr>
          <w:rFonts w:hint="default" w:ascii="Times New Roman" w:hAnsi="Times New Roman" w:cs="Times New Roman"/>
          <w:sz w:val="24"/>
          <w:u w:val="single"/>
        </w:rPr>
        <w:t xml:space="preserve">                              </w:t>
      </w:r>
    </w:p>
    <w:p>
      <w:pPr>
        <w:spacing w:line="360" w:lineRule="auto"/>
        <w:ind w:firstLine="2160" w:firstLineChars="900"/>
        <w:rPr>
          <w:rFonts w:hint="default" w:ascii="Times New Roman" w:hAnsi="Times New Roman" w:cs="Times New Roman"/>
          <w:sz w:val="24"/>
        </w:rPr>
      </w:pPr>
      <w:r>
        <w:rPr>
          <w:rFonts w:hint="default" w:ascii="Times New Roman" w:hAnsi="Times New Roman" w:cs="Times New Roman"/>
          <w:sz w:val="24"/>
        </w:rPr>
        <w:t xml:space="preserve">               </w:t>
      </w:r>
    </w:p>
    <w:p>
      <w:pPr>
        <w:rPr>
          <w:rFonts w:hint="default" w:ascii="Times New Roman" w:hAnsi="Times New Roman" w:cs="Times New Roman"/>
          <w:b/>
          <w:sz w:val="24"/>
        </w:rPr>
      </w:pPr>
      <w:r>
        <w:rPr>
          <w:rFonts w:hint="default" w:ascii="Times New Roman" w:hAnsi="Times New Roman" w:cs="Times New Roman"/>
          <w:sz w:val="24"/>
        </w:rPr>
        <w:t>签发日期：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年 </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月 </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jc w:val="center"/>
        <w:rPr>
          <w:rFonts w:hint="default" w:ascii="Times New Roman" w:hAnsi="Times New Roman" w:cs="Times New Roman"/>
          <w:b/>
          <w:sz w:val="44"/>
          <w:szCs w:val="44"/>
        </w:rPr>
      </w:pPr>
      <w:r>
        <w:rPr>
          <w:rFonts w:hint="default" w:ascii="Times New Roman" w:hAnsi="Times New Roman" w:cs="Times New Roman"/>
          <w:b/>
          <w:sz w:val="44"/>
          <w:szCs w:val="44"/>
        </w:rPr>
        <w:t>清廉医院共建协议</w:t>
      </w:r>
    </w:p>
    <w:p>
      <w:pPr>
        <w:spacing w:line="580" w:lineRule="exact"/>
        <w:rPr>
          <w:rFonts w:hint="default" w:ascii="Times New Roman" w:hAnsi="Times New Roman" w:cs="Times New Roman"/>
          <w:b/>
          <w:sz w:val="32"/>
          <w:szCs w:val="32"/>
        </w:rPr>
      </w:pPr>
    </w:p>
    <w:p>
      <w:pPr>
        <w:spacing w:line="580" w:lineRule="exact"/>
        <w:rPr>
          <w:rFonts w:hint="default" w:ascii="Times New Roman" w:hAnsi="Times New Roman" w:cs="Times New Roman"/>
          <w:sz w:val="28"/>
          <w:szCs w:val="28"/>
        </w:rPr>
      </w:pPr>
      <w:r>
        <w:rPr>
          <w:rFonts w:hint="default" w:ascii="Times New Roman" w:hAnsi="Times New Roman" w:cs="Times New Roman"/>
          <w:b/>
          <w:sz w:val="28"/>
          <w:szCs w:val="28"/>
        </w:rPr>
        <w:t>甲方</w:t>
      </w:r>
      <w:r>
        <w:rPr>
          <w:rFonts w:hint="default" w:ascii="Times New Roman" w:hAnsi="Times New Roman" w:cs="Times New Roman"/>
          <w:sz w:val="28"/>
          <w:szCs w:val="28"/>
        </w:rPr>
        <w:t>（医疗卫生机构）：</w:t>
      </w:r>
    </w:p>
    <w:p>
      <w:pPr>
        <w:spacing w:line="580" w:lineRule="exact"/>
        <w:ind w:firstLine="1400" w:firstLineChars="500"/>
        <w:rPr>
          <w:rFonts w:hint="default" w:ascii="Times New Roman" w:hAnsi="Times New Roman" w:cs="Times New Roman"/>
          <w:sz w:val="28"/>
          <w:szCs w:val="28"/>
        </w:rPr>
      </w:pPr>
      <w:r>
        <w:rPr>
          <w:rFonts w:hint="default" w:ascii="Times New Roman" w:hAnsi="Times New Roman" w:cs="Times New Roman"/>
          <w:sz w:val="28"/>
          <w:szCs w:val="28"/>
        </w:rPr>
        <w:t>中国科学院大学附属肿瘤医院（浙江省肿瘤医院）</w:t>
      </w:r>
    </w:p>
    <w:p>
      <w:pPr>
        <w:spacing w:line="580" w:lineRule="exact"/>
        <w:rPr>
          <w:rFonts w:hint="default" w:ascii="Times New Roman" w:hAnsi="Times New Roman" w:cs="Times New Roman"/>
          <w:sz w:val="28"/>
          <w:szCs w:val="28"/>
        </w:rPr>
      </w:pPr>
    </w:p>
    <w:p>
      <w:pPr>
        <w:spacing w:line="580" w:lineRule="exact"/>
        <w:rPr>
          <w:rFonts w:hint="default" w:ascii="Times New Roman" w:hAnsi="Times New Roman" w:cs="Times New Roman"/>
          <w:sz w:val="28"/>
          <w:szCs w:val="28"/>
        </w:rPr>
      </w:pPr>
      <w:r>
        <w:rPr>
          <w:rFonts w:hint="default" w:ascii="Times New Roman" w:hAnsi="Times New Roman" w:cs="Times New Roman"/>
          <w:b/>
          <w:sz w:val="28"/>
          <w:szCs w:val="28"/>
        </w:rPr>
        <w:t>乙方</w:t>
      </w:r>
      <w:r>
        <w:rPr>
          <w:rFonts w:hint="default" w:ascii="Times New Roman" w:hAnsi="Times New Roman" w:cs="Times New Roman"/>
          <w:sz w:val="28"/>
          <w:szCs w:val="28"/>
        </w:rPr>
        <w:t>（共建企业或代理人）：</w:t>
      </w:r>
    </w:p>
    <w:p>
      <w:pPr>
        <w:spacing w:line="580" w:lineRule="exact"/>
        <w:rPr>
          <w:rFonts w:hint="default" w:ascii="Times New Roman" w:hAnsi="Times New Roman" w:cs="Times New Roman"/>
          <w:sz w:val="28"/>
          <w:szCs w:val="28"/>
        </w:rPr>
      </w:pP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二、甲乙双方按照《合同法》等相关法律规范要求，认真履行购销合同及其附属条款，自觉遵守医疗卫生行风建设 “九不准”的各项规定。</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四、严禁甲方工作人员利用任何途径和方式，为乙方统计医疗信息或（和）透露医院招（投）标信息，或为乙方提供便利。</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八、本协议一式二份，甲、乙双方各执一份，甲方由纪检监察部门留存。</w:t>
      </w:r>
    </w:p>
    <w:p>
      <w:pPr>
        <w:spacing w:line="580" w:lineRule="exact"/>
        <w:rPr>
          <w:rFonts w:hint="default" w:ascii="Times New Roman" w:hAnsi="Times New Roman" w:cs="Times New Roman"/>
          <w:sz w:val="28"/>
          <w:szCs w:val="28"/>
        </w:rPr>
      </w:pPr>
    </w:p>
    <w:p>
      <w:pPr>
        <w:spacing w:line="720" w:lineRule="exact"/>
        <w:rPr>
          <w:rFonts w:hint="default" w:ascii="Times New Roman" w:hAnsi="Times New Roman" w:cs="Times New Roman"/>
          <w:sz w:val="28"/>
          <w:szCs w:val="28"/>
        </w:rPr>
      </w:pPr>
      <w:r>
        <w:rPr>
          <w:rFonts w:hint="default" w:ascii="Times New Roman" w:hAnsi="Times New Roman" w:cs="Times New Roman"/>
          <w:sz w:val="28"/>
          <w:szCs w:val="28"/>
        </w:rPr>
        <w:t>甲方（盖章）：                  乙方（盖章）：</w:t>
      </w:r>
    </w:p>
    <w:p>
      <w:pPr>
        <w:spacing w:line="720" w:lineRule="exact"/>
        <w:rPr>
          <w:rFonts w:hint="default" w:ascii="Times New Roman" w:hAnsi="Times New Roman" w:cs="Times New Roman"/>
          <w:sz w:val="28"/>
          <w:szCs w:val="28"/>
        </w:rPr>
      </w:pPr>
      <w:r>
        <w:rPr>
          <w:rFonts w:hint="default" w:ascii="Times New Roman" w:hAnsi="Times New Roman" w:cs="Times New Roman"/>
          <w:spacing w:val="-46"/>
          <w:sz w:val="28"/>
          <w:szCs w:val="28"/>
        </w:rPr>
        <w:t>法人代表或委托代理人</w:t>
      </w:r>
      <w:r>
        <w:rPr>
          <w:rFonts w:hint="default" w:ascii="Times New Roman" w:hAnsi="Times New Roman" w:cs="Times New Roman"/>
          <w:sz w:val="28"/>
          <w:szCs w:val="28"/>
        </w:rPr>
        <w:t xml:space="preserve">：                </w:t>
      </w:r>
      <w:r>
        <w:rPr>
          <w:rFonts w:hint="default" w:ascii="Times New Roman" w:hAnsi="Times New Roman" w:cs="Times New Roman"/>
          <w:spacing w:val="-46"/>
          <w:sz w:val="28"/>
          <w:szCs w:val="28"/>
        </w:rPr>
        <w:t>法人代表或委托代理人</w:t>
      </w:r>
      <w:r>
        <w:rPr>
          <w:rFonts w:hint="default" w:ascii="Times New Roman" w:hAnsi="Times New Roman" w:cs="Times New Roman"/>
          <w:sz w:val="28"/>
          <w:szCs w:val="28"/>
        </w:rPr>
        <w:t xml:space="preserve">： </w:t>
      </w:r>
    </w:p>
    <w:p>
      <w:pPr>
        <w:spacing w:line="720" w:lineRule="exact"/>
        <w:rPr>
          <w:rFonts w:hint="default" w:ascii="Times New Roman" w:hAnsi="Times New Roman" w:cs="Times New Roman"/>
          <w:sz w:val="28"/>
          <w:szCs w:val="28"/>
        </w:rPr>
      </w:pPr>
      <w:r>
        <w:rPr>
          <w:rFonts w:hint="default" w:ascii="Times New Roman" w:hAnsi="Times New Roman" w:cs="Times New Roman"/>
          <w:sz w:val="28"/>
          <w:szCs w:val="28"/>
        </w:rPr>
        <w:t>2021年  月  日                 2021年  月   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 正文 )">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134F7"/>
    <w:rsid w:val="006D53B9"/>
    <w:rsid w:val="0098559E"/>
    <w:rsid w:val="09D0159C"/>
    <w:rsid w:val="0E07491D"/>
    <w:rsid w:val="0EE4695A"/>
    <w:rsid w:val="154A31B4"/>
    <w:rsid w:val="19B2092D"/>
    <w:rsid w:val="1A921707"/>
    <w:rsid w:val="20494BEB"/>
    <w:rsid w:val="23311371"/>
    <w:rsid w:val="2A285EE5"/>
    <w:rsid w:val="2C877137"/>
    <w:rsid w:val="2D1C00E8"/>
    <w:rsid w:val="33164DEC"/>
    <w:rsid w:val="366B28A2"/>
    <w:rsid w:val="398811E5"/>
    <w:rsid w:val="3BA3128B"/>
    <w:rsid w:val="3BB80D78"/>
    <w:rsid w:val="3EA305D5"/>
    <w:rsid w:val="3FE73FA8"/>
    <w:rsid w:val="41277F83"/>
    <w:rsid w:val="478648B8"/>
    <w:rsid w:val="516E55CA"/>
    <w:rsid w:val="52316AE7"/>
    <w:rsid w:val="549C60BE"/>
    <w:rsid w:val="59481223"/>
    <w:rsid w:val="68761E56"/>
    <w:rsid w:val="6B5801A7"/>
    <w:rsid w:val="7100357A"/>
    <w:rsid w:val="73297804"/>
    <w:rsid w:val="7A286F97"/>
    <w:rsid w:val="7AAB49E1"/>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font31"/>
    <w:basedOn w:val="7"/>
    <w:qFormat/>
    <w:uiPriority w:val="0"/>
    <w:rPr>
      <w:rFonts w:hint="eastAsia" w:ascii="宋体" w:hAnsi="宋体" w:eastAsia="宋体" w:cs="宋体"/>
      <w:color w:val="000000"/>
      <w:sz w:val="21"/>
      <w:szCs w:val="21"/>
      <w:u w:val="none"/>
    </w:rPr>
  </w:style>
  <w:style w:type="character" w:customStyle="1" w:styleId="13">
    <w:name w:val="font21"/>
    <w:basedOn w:val="7"/>
    <w:qFormat/>
    <w:uiPriority w:val="0"/>
    <w:rPr>
      <w:rFonts w:hint="eastAsia" w:ascii="宋体" w:hAnsi="宋体" w:eastAsia="宋体" w:cs="宋体"/>
      <w:b/>
      <w:bCs/>
      <w:color w:val="000000"/>
      <w:sz w:val="21"/>
      <w:szCs w:val="21"/>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23</TotalTime>
  <ScaleCrop>false</ScaleCrop>
  <LinksUpToDate>false</LinksUpToDate>
  <CharactersWithSpaces>2881</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2021-08-06T08:27:12Z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131FB58B97C044F081B0D420B0F930B4</vt:lpwstr>
  </property>
</Properties>
</file>