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360" w:lineRule="auto"/>
        <w:rPr>
          <w:rFonts w:ascii="Times New Roman"/>
          <w:color w:val="000000"/>
          <w:sz w:val="21"/>
          <w:szCs w:val="21"/>
        </w:rPr>
      </w:pPr>
      <w:bookmarkStart w:id="4" w:name="_GoBack"/>
      <w:r>
        <w:rPr>
          <w:rFonts w:ascii="Times New Roman"/>
          <w:color w:val="000000"/>
          <w:sz w:val="21"/>
          <w:szCs w:val="21"/>
        </w:rPr>
        <w:t>评分因素及分值范围</w:t>
      </w:r>
    </w:p>
    <w:bookmarkEnd w:id="4"/>
    <w:p>
      <w:pPr>
        <w:pStyle w:val="6"/>
        <w:adjustRightInd w:val="0"/>
        <w:snapToGrid w:val="0"/>
        <w:spacing w:line="360" w:lineRule="auto"/>
        <w:ind w:firstLine="420"/>
        <w:rPr>
          <w:rFonts w:eastAsia="宋体"/>
          <w:sz w:val="21"/>
          <w:szCs w:val="21"/>
        </w:rPr>
      </w:pPr>
      <w:bookmarkStart w:id="0" w:name="_Toc345320401"/>
      <w:r>
        <w:rPr>
          <w:rFonts w:eastAsia="宋体"/>
          <w:sz w:val="21"/>
          <w:szCs w:val="21"/>
        </w:rPr>
        <w:t>1）</w:t>
      </w:r>
      <w:r>
        <w:rPr>
          <w:rFonts w:eastAsia="宋体"/>
          <w:b/>
          <w:sz w:val="21"/>
          <w:szCs w:val="21"/>
        </w:rPr>
        <w:t>价格分</w:t>
      </w:r>
      <w:bookmarkEnd w:id="0"/>
    </w:p>
    <w:p>
      <w:pPr>
        <w:widowControl/>
        <w:snapToGrid w:val="0"/>
        <w:spacing w:line="360" w:lineRule="auto"/>
        <w:ind w:firstLine="420" w:firstLine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价格评分将在有效</w:t>
      </w:r>
      <w:r>
        <w:rPr>
          <w:rFonts w:hint="eastAsia"/>
          <w:color w:val="000000"/>
          <w:kern w:val="0"/>
          <w:szCs w:val="21"/>
        </w:rPr>
        <w:t>供应商</w:t>
      </w:r>
      <w:r>
        <w:rPr>
          <w:color w:val="000000"/>
          <w:kern w:val="0"/>
          <w:szCs w:val="21"/>
        </w:rPr>
        <w:t>范围内进行，最高得</w:t>
      </w:r>
      <w:r>
        <w:rPr>
          <w:rFonts w:hint="eastAsia"/>
          <w:color w:val="000000"/>
          <w:kern w:val="0"/>
          <w:szCs w:val="21"/>
          <w:lang w:val="en-US" w:eastAsia="zh-CN"/>
        </w:rPr>
        <w:t>30</w:t>
      </w:r>
      <w:r>
        <w:rPr>
          <w:color w:val="000000"/>
          <w:kern w:val="0"/>
          <w:szCs w:val="21"/>
        </w:rPr>
        <w:t>分，最低得0分（小数点后保留二位小数，第三位四舍五入）。满足采购文件要求且投标价格最低的</w:t>
      </w:r>
      <w:r>
        <w:rPr>
          <w:b/>
          <w:color w:val="000000"/>
          <w:kern w:val="0"/>
          <w:szCs w:val="21"/>
          <w:u w:val="thick"/>
        </w:rPr>
        <w:t>投标报价</w:t>
      </w:r>
      <w:r>
        <w:rPr>
          <w:color w:val="000000"/>
          <w:kern w:val="0"/>
          <w:szCs w:val="21"/>
        </w:rPr>
        <w:t>为</w:t>
      </w:r>
      <w:r>
        <w:rPr>
          <w:b/>
          <w:color w:val="000000"/>
          <w:kern w:val="0"/>
          <w:szCs w:val="21"/>
          <w:u w:val="thick"/>
        </w:rPr>
        <w:t>评标基准价</w:t>
      </w:r>
      <w:r>
        <w:rPr>
          <w:color w:val="000000"/>
          <w:kern w:val="0"/>
          <w:szCs w:val="21"/>
        </w:rPr>
        <w:t>，</w:t>
      </w:r>
      <w:r>
        <w:rPr>
          <w:rFonts w:hint="eastAsia"/>
          <w:color w:val="000000"/>
          <w:kern w:val="0"/>
          <w:szCs w:val="21"/>
        </w:rPr>
        <w:t>供应商</w:t>
      </w:r>
      <w:r>
        <w:rPr>
          <w:color w:val="000000"/>
          <w:kern w:val="0"/>
          <w:szCs w:val="21"/>
        </w:rPr>
        <w:t>的价格分统一按照下列公式计算：</w:t>
      </w:r>
    </w:p>
    <w:p>
      <w:pPr>
        <w:widowControl/>
        <w:snapToGrid w:val="0"/>
        <w:spacing w:line="360" w:lineRule="auto"/>
        <w:ind w:firstLine="420" w:firstLineChars="20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投标报价得分=（</w:t>
      </w:r>
      <w:r>
        <w:rPr>
          <w:b/>
          <w:color w:val="000000"/>
          <w:kern w:val="0"/>
          <w:szCs w:val="21"/>
          <w:u w:val="thick"/>
        </w:rPr>
        <w:t>评标基准价</w:t>
      </w:r>
      <w:r>
        <w:rPr>
          <w:color w:val="000000"/>
          <w:kern w:val="0"/>
          <w:szCs w:val="21"/>
        </w:rPr>
        <w:t>/</w:t>
      </w:r>
      <w:r>
        <w:rPr>
          <w:b/>
          <w:color w:val="000000"/>
          <w:kern w:val="0"/>
          <w:szCs w:val="21"/>
          <w:u w:val="thick"/>
        </w:rPr>
        <w:t>投标报价</w:t>
      </w:r>
      <w:r>
        <w:rPr>
          <w:color w:val="000000"/>
          <w:kern w:val="0"/>
          <w:szCs w:val="21"/>
        </w:rPr>
        <w:t>）×</w:t>
      </w:r>
      <w:r>
        <w:rPr>
          <w:rFonts w:hint="eastAsia"/>
          <w:color w:val="000000"/>
          <w:kern w:val="0"/>
          <w:szCs w:val="21"/>
          <w:lang w:val="en-US" w:eastAsia="zh-CN"/>
        </w:rPr>
        <w:t>30</w:t>
      </w:r>
      <w:r>
        <w:rPr>
          <w:color w:val="000000"/>
          <w:kern w:val="0"/>
          <w:szCs w:val="21"/>
        </w:rPr>
        <w:t>%×100</w:t>
      </w:r>
    </w:p>
    <w:p>
      <w:pPr>
        <w:widowControl/>
        <w:snapToGrid w:val="0"/>
        <w:spacing w:line="360" w:lineRule="auto"/>
        <w:ind w:firstLine="422" w:firstLineChars="200"/>
        <w:rPr>
          <w:b/>
          <w:color w:val="000000"/>
          <w:szCs w:val="21"/>
        </w:rPr>
      </w:pPr>
      <w:r>
        <w:rPr>
          <w:b/>
          <w:color w:val="000000"/>
          <w:szCs w:val="21"/>
        </w:rPr>
        <w:t>扶持政策说明：</w:t>
      </w:r>
    </w:p>
    <w:p>
      <w:pPr>
        <w:widowControl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（1）根据</w:t>
      </w:r>
      <w:r>
        <w:rPr>
          <w:rFonts w:hint="eastAsia"/>
          <w:color w:val="000000"/>
          <w:szCs w:val="21"/>
        </w:rPr>
        <w:t>《政府采购促进中小企业发展管理办法》（财库（2020）46号）</w:t>
      </w:r>
      <w:r>
        <w:rPr>
          <w:color w:val="000000"/>
          <w:szCs w:val="21"/>
        </w:rPr>
        <w:t>的规定，</w:t>
      </w:r>
      <w:r>
        <w:rPr>
          <w:rFonts w:hint="eastAsia"/>
          <w:color w:val="000000"/>
          <w:szCs w:val="21"/>
        </w:rPr>
        <w:t>对符合规定的小微企业（含小型企业）</w:t>
      </w:r>
      <w:r>
        <w:rPr>
          <w:color w:val="000000"/>
          <w:szCs w:val="21"/>
        </w:rPr>
        <w:t>，其投标报价扣除6%后参与评审。</w:t>
      </w:r>
    </w:p>
    <w:p>
      <w:pPr>
        <w:widowControl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（2）根据《关于政府采购支持监狱企业发展有关问题的通知》（财库[2014]68号）的规定，监狱企业</w:t>
      </w:r>
      <w:r>
        <w:rPr>
          <w:rFonts w:hint="eastAsia"/>
          <w:color w:val="000000"/>
          <w:szCs w:val="21"/>
        </w:rPr>
        <w:t>视同小型、微型企业，</w:t>
      </w:r>
      <w:r>
        <w:rPr>
          <w:color w:val="000000"/>
          <w:szCs w:val="21"/>
          <w:shd w:val="clear" w:color="auto" w:fill="FFFFFF"/>
        </w:rPr>
        <w:t>享受预留份额、评审中价格扣除等促进中小企业发展的政府采购政策。</w:t>
      </w:r>
    </w:p>
    <w:p>
      <w:pPr>
        <w:widowControl/>
        <w:snapToGrid w:val="0"/>
        <w:spacing w:line="360" w:lineRule="auto"/>
        <w:ind w:firstLine="420" w:firstLineChars="200"/>
        <w:rPr>
          <w:color w:val="000000"/>
          <w:szCs w:val="21"/>
          <w:shd w:val="clear" w:color="auto" w:fill="FFFFFF"/>
        </w:rPr>
      </w:pPr>
      <w:r>
        <w:rPr>
          <w:color w:val="000000"/>
          <w:szCs w:val="21"/>
        </w:rPr>
        <w:t>（3）根据《财政部、民政部、中国残疾人联合会关于促进残疾人就业政府采购政策的通知》（财库〔2017〕141号）的规定，</w:t>
      </w:r>
      <w:r>
        <w:rPr>
          <w:color w:val="000000"/>
          <w:szCs w:val="21"/>
          <w:shd w:val="clear" w:color="auto" w:fill="FFFFFF"/>
        </w:rPr>
        <w:t>残疾人福利性单位视同小型、微型企业，享受预留份额、评审中价格扣除等促进中小企业发展的政府采购政策。</w:t>
      </w:r>
    </w:p>
    <w:p>
      <w:pPr>
        <w:widowControl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上述（1），（2），（3）政策不重复计算。</w:t>
      </w:r>
    </w:p>
    <w:p>
      <w:pPr>
        <w:widowControl/>
        <w:adjustRightInd w:val="0"/>
        <w:snapToGrid w:val="0"/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此项由评标委员会集体核实后统一打分。</w:t>
      </w:r>
    </w:p>
    <w:p>
      <w:pPr>
        <w:snapToGrid w:val="0"/>
        <w:spacing w:line="360" w:lineRule="auto"/>
        <w:ind w:firstLine="420" w:firstLineChars="200"/>
        <w:rPr>
          <w:color w:val="000000"/>
          <w:szCs w:val="21"/>
        </w:rPr>
      </w:pPr>
      <w:bookmarkStart w:id="1" w:name="_Toc345320402"/>
      <w:r>
        <w:rPr>
          <w:color w:val="000000"/>
          <w:szCs w:val="21"/>
        </w:rPr>
        <w:t>2）</w:t>
      </w:r>
      <w:r>
        <w:rPr>
          <w:b/>
          <w:bCs/>
          <w:color w:val="000000"/>
          <w:szCs w:val="21"/>
        </w:rPr>
        <w:t>商务技术分</w:t>
      </w:r>
      <w:bookmarkEnd w:id="1"/>
    </w:p>
    <w:p>
      <w:pPr>
        <w:pStyle w:val="6"/>
        <w:adjustRightInd w:val="0"/>
        <w:snapToGrid w:val="0"/>
        <w:spacing w:line="360" w:lineRule="auto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该评分分值由评标委员会根据评审情况在分值范围内独立打分（具体分值设定详见表格），小数点后保留一位小数。每个</w:t>
      </w:r>
      <w:r>
        <w:rPr>
          <w:rFonts w:hint="eastAsia" w:eastAsia="宋体"/>
          <w:sz w:val="21"/>
          <w:szCs w:val="21"/>
        </w:rPr>
        <w:t>供应商</w:t>
      </w:r>
      <w:r>
        <w:rPr>
          <w:rFonts w:eastAsia="宋体"/>
          <w:sz w:val="21"/>
          <w:szCs w:val="21"/>
        </w:rPr>
        <w:t>的最终得分为评标委员会打分汇总后的算术平均值</w:t>
      </w:r>
      <w:r>
        <w:rPr>
          <w:rFonts w:eastAsia="宋体"/>
          <w:kern w:val="0"/>
          <w:sz w:val="21"/>
          <w:szCs w:val="21"/>
        </w:rPr>
        <w:t>（小数点后保留二位小数，第三位四舍五入）</w:t>
      </w:r>
      <w:r>
        <w:rPr>
          <w:rFonts w:eastAsia="宋体"/>
          <w:sz w:val="21"/>
          <w:szCs w:val="21"/>
        </w:rPr>
        <w:t>。</w:t>
      </w:r>
    </w:p>
    <w:p>
      <w:pPr>
        <w:pStyle w:val="3"/>
        <w:spacing w:beforeLines="50" w:after="120" w:afterLines="50" w:line="240" w:lineRule="auto"/>
        <w:ind w:firstLine="482" w:firstLineChars="200"/>
        <w:rPr>
          <w:rFonts w:ascii="Times New Roman"/>
          <w:b/>
          <w:color w:val="000000"/>
        </w:rPr>
      </w:pPr>
    </w:p>
    <w:p>
      <w:pPr>
        <w:pStyle w:val="3"/>
        <w:spacing w:beforeLines="50" w:after="120" w:afterLines="50" w:line="240" w:lineRule="auto"/>
        <w:ind w:firstLine="482" w:firstLineChars="200"/>
        <w:rPr>
          <w:rFonts w:hAnsi="宋体"/>
          <w:color w:val="000000"/>
          <w:szCs w:val="21"/>
        </w:rPr>
      </w:pPr>
      <w:r>
        <w:rPr>
          <w:rFonts w:ascii="Times New Roman"/>
          <w:b/>
          <w:color w:val="000000"/>
        </w:rPr>
        <w:t>1、</w:t>
      </w:r>
      <w:bookmarkStart w:id="2" w:name="_Hlk533461153"/>
      <w:r>
        <w:rPr>
          <w:rFonts w:ascii="Times New Roman"/>
          <w:b/>
          <w:color w:val="000000"/>
        </w:rPr>
        <w:t>商务技术分</w:t>
      </w:r>
      <w:bookmarkEnd w:id="2"/>
      <w:r>
        <w:rPr>
          <w:rFonts w:hint="eastAsia" w:ascii="Times New Roman"/>
          <w:b/>
          <w:color w:val="000000"/>
          <w:lang w:val="en-US" w:eastAsia="zh-CN"/>
        </w:rPr>
        <w:t>50</w:t>
      </w:r>
      <w:r>
        <w:rPr>
          <w:rFonts w:hint="eastAsia" w:ascii="Times New Roman"/>
          <w:b/>
          <w:color w:val="000000"/>
        </w:rPr>
        <w:t>分</w:t>
      </w: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796"/>
        <w:gridCol w:w="6080"/>
        <w:gridCol w:w="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7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评分内容和标准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生产能力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Courier New"/>
                <w:szCs w:val="21"/>
              </w:rPr>
            </w:pPr>
            <w:r>
              <w:rPr>
                <w:rFonts w:hint="eastAsia" w:ascii="宋体" w:hAnsi="宋体" w:eastAsia="宋体" w:cs="Courier New"/>
                <w:szCs w:val="21"/>
              </w:rPr>
              <w:t>印刷所用的主要设备和基础设施情况，其中供应商拥有：</w:t>
            </w:r>
          </w:p>
          <w:p>
            <w:pPr>
              <w:rPr>
                <w:rFonts w:hint="eastAsia" w:ascii="宋体" w:hAnsi="宋体" w:eastAsia="宋体" w:cs="Courier New"/>
                <w:szCs w:val="21"/>
              </w:rPr>
            </w:pPr>
            <w:r>
              <w:rPr>
                <w:rFonts w:hint="eastAsia" w:ascii="宋体" w:hAnsi="宋体" w:eastAsia="宋体" w:cs="Courier New"/>
                <w:szCs w:val="21"/>
              </w:rPr>
              <w:t>CTP制版机一台得2分</w:t>
            </w:r>
          </w:p>
          <w:p>
            <w:pPr>
              <w:rPr>
                <w:rFonts w:hint="eastAsia" w:ascii="宋体" w:hAnsi="宋体" w:eastAsia="宋体" w:cs="Courier New"/>
                <w:szCs w:val="21"/>
              </w:rPr>
            </w:pPr>
            <w:r>
              <w:rPr>
                <w:rFonts w:hint="eastAsia" w:ascii="宋体" w:hAnsi="宋体" w:eastAsia="宋体" w:cs="Courier New"/>
                <w:szCs w:val="21"/>
              </w:rPr>
              <w:t>4开4色以上多色胶印机一台得</w:t>
            </w:r>
            <w:r>
              <w:rPr>
                <w:rFonts w:hint="eastAsia" w:ascii="宋体" w:hAnsi="宋体" w:cs="Courier New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Courier New"/>
                <w:szCs w:val="21"/>
              </w:rPr>
              <w:t>分，二台得</w:t>
            </w:r>
            <w:r>
              <w:rPr>
                <w:rFonts w:hint="eastAsia" w:ascii="宋体" w:hAnsi="宋体" w:cs="Courier New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Courier New"/>
                <w:szCs w:val="21"/>
              </w:rPr>
              <w:t>分；</w:t>
            </w:r>
          </w:p>
          <w:p>
            <w:pPr>
              <w:rPr>
                <w:rFonts w:hint="eastAsia" w:ascii="宋体" w:hAnsi="宋体" w:eastAsia="宋体" w:cs="Courier New"/>
                <w:szCs w:val="21"/>
              </w:rPr>
            </w:pPr>
            <w:r>
              <w:rPr>
                <w:rFonts w:hint="eastAsia" w:ascii="宋体" w:hAnsi="宋体" w:eastAsia="宋体" w:cs="Courier New"/>
                <w:szCs w:val="21"/>
              </w:rPr>
              <w:t>A3彩色数码一体机一台得1分；</w:t>
            </w:r>
          </w:p>
          <w:p>
            <w:pPr>
              <w:rPr>
                <w:rFonts w:hint="eastAsia" w:ascii="宋体" w:hAnsi="宋体" w:eastAsia="宋体" w:cs="Courier New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Cs w:val="21"/>
                <w:lang w:eastAsia="zh-CN"/>
              </w:rPr>
              <w:t>折页</w:t>
            </w:r>
            <w:r>
              <w:rPr>
                <w:rFonts w:hint="eastAsia" w:ascii="宋体" w:hAnsi="宋体" w:eastAsia="宋体" w:cs="Courier New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Courier New"/>
                <w:szCs w:val="21"/>
                <w:lang w:eastAsia="zh-CN"/>
              </w:rPr>
              <w:t>台得</w:t>
            </w:r>
            <w:r>
              <w:rPr>
                <w:rFonts w:hint="eastAsia" w:ascii="宋体" w:hAnsi="宋体" w:eastAsia="宋体" w:cs="Courier New"/>
                <w:szCs w:val="21"/>
                <w:lang w:val="en-US" w:eastAsia="zh-CN"/>
              </w:rPr>
              <w:t>1分</w:t>
            </w:r>
          </w:p>
          <w:p>
            <w:pPr>
              <w:rPr>
                <w:rFonts w:hint="default" w:ascii="宋体" w:hAnsi="宋体" w:eastAsia="宋体" w:cs="Courier New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Cs w:val="21"/>
                <w:lang w:val="en-US" w:eastAsia="zh-CN"/>
              </w:rPr>
              <w:t>胶装机1台得1分</w:t>
            </w:r>
          </w:p>
          <w:p>
            <w:pPr>
              <w:rPr>
                <w:rFonts w:hint="eastAsia" w:ascii="宋体" w:hAnsi="宋体" w:eastAsia="宋体" w:cs="Courier New"/>
                <w:szCs w:val="21"/>
              </w:rPr>
            </w:pPr>
            <w:r>
              <w:rPr>
                <w:rFonts w:hint="eastAsia" w:ascii="宋体" w:hAnsi="宋体" w:eastAsia="宋体" w:cs="Courier New"/>
                <w:szCs w:val="21"/>
              </w:rPr>
              <w:t>切纸机1台得1分；</w:t>
            </w:r>
          </w:p>
          <w:p>
            <w:pPr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 w:cs="Courier New"/>
                <w:szCs w:val="21"/>
              </w:rPr>
              <w:t>其他投入生产设备型号、数量、生产能力，设备的规模、先进性等综合对比，横向比较，酌情打分 。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 w:cs="Courier New"/>
                <w:szCs w:val="21"/>
              </w:rPr>
              <w:t>设备应提供清单、照片和提供相关证明材料（如购货合同或购置凭证复印件等），不提供不得分，基础设施应提供图文资料及说明）。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bookmarkStart w:id="3" w:name="_Hlk71233893"/>
            <w:r>
              <w:rPr>
                <w:rFonts w:hint="eastAsia"/>
                <w:color w:val="000000"/>
              </w:rPr>
              <w:t>经营场所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  <w:szCs w:val="21"/>
              </w:rPr>
              <w:t>注册地在杭州地区和生产地点设在杭州地区的得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szCs w:val="21"/>
              </w:rPr>
              <w:t>分（不含建德、淳安、桐庐），建德、淳安、桐庐地区的得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szCs w:val="21"/>
              </w:rPr>
              <w:t>分，其他地区不得分，需提供注册地营业执照或生产地点证明材料。</w:t>
            </w:r>
            <w:r>
              <w:rPr>
                <w:rFonts w:hint="eastAsia"/>
                <w:color w:val="000000"/>
              </w:rPr>
              <w:t>经营场所面积在</w:t>
            </w:r>
            <w:r>
              <w:rPr>
                <w:color w:val="000000"/>
              </w:rPr>
              <w:t>4000</w:t>
            </w:r>
            <w:r>
              <w:rPr>
                <w:rFonts w:hint="eastAsia"/>
                <w:color w:val="000000"/>
              </w:rPr>
              <w:t>平方米及以上，得2分，经营场所面积在</w:t>
            </w:r>
            <w:r>
              <w:rPr>
                <w:color w:val="000000"/>
              </w:rPr>
              <w:t>1000-4000</w:t>
            </w:r>
            <w:r>
              <w:rPr>
                <w:rFonts w:hint="eastAsia"/>
                <w:color w:val="000000"/>
              </w:rPr>
              <w:t>平方米，得1分，1</w:t>
            </w:r>
            <w:r>
              <w:rPr>
                <w:color w:val="000000"/>
              </w:rPr>
              <w:t>000</w:t>
            </w:r>
            <w:r>
              <w:rPr>
                <w:rFonts w:hint="eastAsia"/>
                <w:color w:val="000000"/>
              </w:rPr>
              <w:t>平方米以下不得分。</w:t>
            </w:r>
            <w:r>
              <w:rPr>
                <w:rFonts w:hint="eastAsia" w:ascii="Arial" w:hAnsi="Arial" w:cs="Arial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项目实施方案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pStyle w:val="4"/>
              <w:numPr>
                <w:ilvl w:val="0"/>
                <w:numId w:val="1"/>
              </w:numPr>
              <w:snapToGrid w:val="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  <w:szCs w:val="21"/>
              </w:rPr>
              <w:t>就其投标方案是否科学合理、表述准确、条理清晰，逻辑性强，与需求相吻合进行评审</w:t>
            </w:r>
          </w:p>
          <w:p>
            <w:pPr>
              <w:pStyle w:val="4"/>
              <w:numPr>
                <w:ilvl w:val="0"/>
                <w:numId w:val="1"/>
              </w:numPr>
              <w:snapToGrid w:val="0"/>
              <w:jc w:val="left"/>
              <w:rPr>
                <w:rFonts w:hint="eastAsia" w:hAnsi="宋体" w:cs="宋体"/>
              </w:rPr>
            </w:pPr>
            <w:r>
              <w:rPr>
                <w:rFonts w:hint="eastAsia" w:hAnsi="宋体" w:cs="宋体"/>
                <w:szCs w:val="21"/>
              </w:rPr>
              <w:t>就其项目实施方案、组织机构、工程程序、步骤、管理和协调方法等进行评审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项目实施人员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firstLine="210" w:firstLineChars="100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pStyle w:val="4"/>
              <w:numPr>
                <w:ilvl w:val="0"/>
                <w:numId w:val="2"/>
              </w:numPr>
              <w:snapToGrid w:val="0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拟投入本项目的管理与作业人员总数、人员素质、技术能力、专业分布、经验进行评价，0-5分；</w:t>
            </w:r>
          </w:p>
          <w:p>
            <w:pPr>
              <w:pStyle w:val="4"/>
              <w:numPr>
                <w:ilvl w:val="0"/>
                <w:numId w:val="2"/>
              </w:numPr>
              <w:snapToGrid w:val="0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以上证书需提供相关证书复印件和社保证明，否则不得分。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企业管理制度及质量控制标准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pStyle w:val="4"/>
              <w:snapToGrid w:val="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Ansi="宋体" w:cs="宋体"/>
                <w:szCs w:val="21"/>
              </w:rPr>
              <w:t>内部管理制度和质量控制标准情况，是否具有生产、保管、发送等规章制度和保障措施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产品的防护、包装及运输</w:t>
            </w:r>
            <w:r>
              <w:rPr>
                <w:rFonts w:hint="eastAsia" w:ascii="Calibri" w:hAnsi="Calibri"/>
                <w:sz w:val="22"/>
              </w:rPr>
              <w:t>方案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pStyle w:val="4"/>
              <w:snapToGrid w:val="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根据投标人提供的产品防护、包装的方案进行综合评审，横向比较，酌情打分，根据投标人提供的保证货物安全及时送达的供货配送方案（自有车辆运输、物流、快递等方式）进行综合评审，横向比较，酌情打分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售后服务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供应商提供的售后服务方案、验收方案情况，售后服务承诺（如：对交货后出现不合格印刷品等问题所采取的措施、在有效期内上门服务等承诺）的可行性、完整性以及服务承诺落实的保障措施（0-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分）。</w:t>
            </w:r>
          </w:p>
        </w:tc>
      </w:tr>
      <w:bookmarkEnd w:id="3"/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jc w:val="center"/>
        </w:trPr>
        <w:tc>
          <w:tcPr>
            <w:tcW w:w="2350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投标人提供的售后服务机构和人员等情况，服务能力以及专业技术队伍的配置，售后服务响应时间（0-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分）。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样品质量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089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评委根据投标实样，对投标产品的材质、质量、外观、款式、规格尺寸和制作工艺等情况进行对比、综合评价。（0-</w:t>
            </w:r>
            <w:r>
              <w:rPr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>分）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未提供样品或样品提供不全的，得0分。</w:t>
            </w:r>
          </w:p>
        </w:tc>
      </w:tr>
    </w:tbl>
    <w:p>
      <w:pPr>
        <w:snapToGrid w:val="0"/>
        <w:spacing w:line="360" w:lineRule="auto"/>
        <w:ind w:firstLine="420" w:firstLineChars="200"/>
        <w:rPr>
          <w:color w:val="000000"/>
          <w:szCs w:val="21"/>
        </w:rPr>
      </w:pPr>
    </w:p>
    <w:p>
      <w:pPr>
        <w:snapToGrid w:val="0"/>
        <w:spacing w:line="360" w:lineRule="auto"/>
        <w:ind w:firstLine="420" w:firstLineChars="200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3）</w:t>
      </w:r>
      <w:r>
        <w:rPr>
          <w:rFonts w:hint="eastAsia"/>
          <w:b/>
          <w:bCs/>
          <w:color w:val="000000"/>
          <w:szCs w:val="21"/>
        </w:rPr>
        <w:t>资格分</w:t>
      </w:r>
    </w:p>
    <w:p>
      <w:pPr>
        <w:pStyle w:val="6"/>
        <w:adjustRightInd w:val="0"/>
        <w:snapToGrid w:val="0"/>
        <w:spacing w:line="360" w:lineRule="auto"/>
        <w:ind w:firstLine="420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>该评分分值由评标委员会根据评审情况在分值范围内独立打分（具体分值设定详见表格），小数点后保留一位小数。每个</w:t>
      </w:r>
      <w:r>
        <w:rPr>
          <w:rFonts w:hint="eastAsia" w:eastAsia="宋体"/>
          <w:sz w:val="21"/>
          <w:szCs w:val="21"/>
        </w:rPr>
        <w:t>供应商</w:t>
      </w:r>
      <w:r>
        <w:rPr>
          <w:rFonts w:eastAsia="宋体"/>
          <w:sz w:val="21"/>
          <w:szCs w:val="21"/>
        </w:rPr>
        <w:t>的最终得分为评标委员会打分汇总后的算术平均值</w:t>
      </w:r>
      <w:r>
        <w:rPr>
          <w:rFonts w:eastAsia="宋体"/>
          <w:kern w:val="0"/>
          <w:sz w:val="21"/>
          <w:szCs w:val="21"/>
        </w:rPr>
        <w:t>（小数点后保留二位小数，第三位四舍五入）</w:t>
      </w:r>
      <w:r>
        <w:rPr>
          <w:rFonts w:eastAsia="宋体"/>
          <w:sz w:val="21"/>
          <w:szCs w:val="21"/>
        </w:rPr>
        <w:t>。</w:t>
      </w:r>
    </w:p>
    <w:p>
      <w:pPr>
        <w:pStyle w:val="3"/>
        <w:spacing w:beforeLines="50" w:after="120" w:afterLines="50" w:line="240" w:lineRule="auto"/>
        <w:ind w:firstLine="482" w:firstLineChars="200"/>
        <w:rPr>
          <w:rFonts w:hAnsi="宋体"/>
          <w:color w:val="000000"/>
          <w:szCs w:val="21"/>
        </w:rPr>
      </w:pPr>
      <w:r>
        <w:rPr>
          <w:rFonts w:ascii="Times New Roman"/>
          <w:b/>
          <w:color w:val="000000"/>
        </w:rPr>
        <w:t>1、</w:t>
      </w:r>
      <w:r>
        <w:rPr>
          <w:rFonts w:hint="eastAsia" w:ascii="Times New Roman"/>
          <w:b/>
          <w:color w:val="000000"/>
        </w:rPr>
        <w:t>资格分</w:t>
      </w:r>
      <w:r>
        <w:rPr>
          <w:rFonts w:ascii="Times New Roman"/>
          <w:b/>
          <w:color w:val="000000"/>
        </w:rPr>
        <w:t>20</w:t>
      </w:r>
      <w:r>
        <w:rPr>
          <w:rFonts w:hint="eastAsia" w:ascii="Times New Roman"/>
          <w:b/>
          <w:color w:val="000000"/>
        </w:rPr>
        <w:t>分</w:t>
      </w:r>
    </w:p>
    <w:p>
      <w:pPr>
        <w:pStyle w:val="6"/>
        <w:adjustRightInd w:val="0"/>
        <w:snapToGrid w:val="0"/>
        <w:spacing w:line="360" w:lineRule="auto"/>
        <w:ind w:firstLine="420"/>
        <w:rPr>
          <w:rFonts w:hint="eastAsia" w:eastAsia="宋体"/>
          <w:sz w:val="21"/>
          <w:szCs w:val="21"/>
        </w:rPr>
      </w:pPr>
    </w:p>
    <w:tbl>
      <w:tblPr>
        <w:tblStyle w:val="7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796"/>
        <w:gridCol w:w="60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</w:t>
            </w:r>
          </w:p>
        </w:tc>
        <w:tc>
          <w:tcPr>
            <w:tcW w:w="796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分值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评分内容和标准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综合实力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 w:ascii="Arial" w:hAnsi="Arial" w:cs="Arial"/>
              </w:rPr>
              <w:t>根据供应商的综合实力（公司规模、人员规模、注册资金等）综合情况进行综合评比，横向比较，酌情打分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项目业绩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ind w:right="-21" w:rightChars="-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供应商提供自2018年1月1日以来（以合同签订日期为准）成功实施的同类项目的业绩（印刷品类），合同金额100万元及以上每提供一个得</w:t>
            </w:r>
            <w:r>
              <w:t>1</w:t>
            </w:r>
            <w:r>
              <w:rPr>
                <w:rFonts w:hint="eastAsia"/>
              </w:rPr>
              <w:t>分，最高得</w:t>
            </w:r>
            <w:r>
              <w:t>6</w:t>
            </w:r>
            <w:r>
              <w:rPr>
                <w:rFonts w:hint="eastAsia"/>
              </w:rPr>
              <w:t>分。上述合同如为医院项目的，每份合同加</w:t>
            </w:r>
            <w:r>
              <w:t>1</w:t>
            </w:r>
            <w:r>
              <w:rPr>
                <w:rFonts w:hint="eastAsia"/>
              </w:rPr>
              <w:t>分，最高加</w:t>
            </w:r>
            <w:r>
              <w:t>3</w:t>
            </w:r>
            <w:r>
              <w:rPr>
                <w:rFonts w:hint="eastAsia"/>
              </w:rPr>
              <w:t>分（提供清晰合同复印件，原件备查）。若合同未体现合同金额的可提供业主单位证明材料（须加盖业主单位公章）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Arial" w:hAnsi="Arial" w:cs="Arial"/>
              </w:rPr>
              <w:t>用户满意度反馈证明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80" w:type="dxa"/>
            <w:shd w:val="clear" w:color="auto" w:fill="FFFFFF"/>
            <w:noWrap w:val="0"/>
            <w:vAlign w:val="top"/>
          </w:tcPr>
          <w:p>
            <w:pPr>
              <w:pStyle w:val="4"/>
              <w:snapToGrid w:val="0"/>
              <w:jc w:val="left"/>
              <w:rPr>
                <w:rFonts w:hint="eastAsia" w:hAnsi="宋体" w:cs="宋体"/>
              </w:rPr>
            </w:pPr>
            <w:r>
              <w:rPr>
                <w:rFonts w:hint="eastAsia" w:ascii="Arial" w:hAnsi="Arial" w:cs="Arial"/>
                <w:szCs w:val="21"/>
              </w:rPr>
              <w:t>供应商提供自2018年1月1日以来成功实施的同类项目（印刷品类）的</w:t>
            </w:r>
            <w:r>
              <w:rPr>
                <w:rFonts w:hint="eastAsia" w:ascii="Arial" w:hAnsi="Arial" w:cs="Arial"/>
              </w:rPr>
              <w:t>用户满意度反馈证明</w:t>
            </w:r>
            <w:r>
              <w:rPr>
                <w:rFonts w:hint="eastAsia" w:ascii="Arial" w:hAnsi="Arial" w:cs="Arial"/>
                <w:szCs w:val="21"/>
              </w:rPr>
              <w:t>，</w:t>
            </w:r>
            <w:r>
              <w:rPr>
                <w:rFonts w:hint="eastAsia" w:ascii="Arial" w:hAnsi="Arial" w:cs="Arial"/>
              </w:rPr>
              <w:t>一个得</w:t>
            </w:r>
            <w:r>
              <w:rPr>
                <w:rFonts w:ascii="Arial" w:hAnsi="Arial" w:cs="Arial"/>
              </w:rPr>
              <w:t>1</w:t>
            </w:r>
            <w:r>
              <w:rPr>
                <w:rFonts w:hint="eastAsia" w:ascii="Arial" w:hAnsi="Arial" w:cs="Arial"/>
              </w:rPr>
              <w:t>分（提供用户满意度服务反馈证明复印件）未提供的不得分。证明材料：业主反馈表须加盖业主单位公章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50" w:type="dxa"/>
            <w:shd w:val="clear" w:color="auto" w:fill="FFFFFF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企业荣誉证明</w:t>
            </w:r>
          </w:p>
        </w:tc>
        <w:tc>
          <w:tcPr>
            <w:tcW w:w="796" w:type="dxa"/>
            <w:shd w:val="clear" w:color="auto" w:fill="FFFFFF"/>
            <w:noWrap w:val="0"/>
            <w:vAlign w:val="center"/>
          </w:tcPr>
          <w:p>
            <w:pPr>
              <w:spacing w:line="276" w:lineRule="auto"/>
              <w:ind w:firstLine="210" w:firstLineChars="10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080" w:type="dxa"/>
            <w:shd w:val="clear" w:color="auto" w:fill="FFFFFF"/>
            <w:noWrap w:val="0"/>
            <w:vAlign w:val="center"/>
          </w:tcPr>
          <w:p>
            <w:pPr>
              <w:pStyle w:val="4"/>
              <w:snapToGrid w:val="0"/>
              <w:jc w:val="left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企业获得的省级及以上荣誉资质，1个得1分，市级荣誉资质，一个得0</w:t>
            </w:r>
            <w:r>
              <w:rPr>
                <w:rFonts w:hAnsi="宋体" w:cs="宋体"/>
                <w:szCs w:val="21"/>
              </w:rPr>
              <w:t>.5</w:t>
            </w:r>
            <w:r>
              <w:rPr>
                <w:rFonts w:hint="eastAsia" w:hAnsi="宋体" w:cs="宋体"/>
                <w:szCs w:val="21"/>
              </w:rPr>
              <w:t>分，区级荣誉资质，每3个得1分。该分可累计，最高得2分</w:t>
            </w:r>
          </w:p>
        </w:tc>
      </w:tr>
    </w:tbl>
    <w:p>
      <w:pPr>
        <w:pStyle w:val="6"/>
        <w:adjustRightInd w:val="0"/>
        <w:snapToGrid w:val="0"/>
        <w:spacing w:line="360" w:lineRule="auto"/>
        <w:ind w:firstLine="422"/>
        <w:rPr>
          <w:rFonts w:eastAsia="宋体"/>
          <w:b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Style w:val="9"/>
          <w:rFonts w:hint="default" w:ascii="Times New Roman" w:hAnsi="Times New Roman"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b/>
          <w:bCs/>
          <w:color w:val="000000"/>
          <w:szCs w:val="21"/>
        </w:rPr>
      </w:pPr>
      <w:r>
        <w:rPr>
          <w:rStyle w:val="9"/>
          <w:rFonts w:hint="default" w:ascii="Times New Roman" w:hAnsi="Times New Roman"/>
          <w:sz w:val="21"/>
          <w:szCs w:val="21"/>
        </w:rPr>
        <w:t>评标结果汇总完成后，除下列情形外，任何人不得修改评标结果：</w:t>
      </w:r>
    </w:p>
    <w:p>
      <w:pPr>
        <w:adjustRightInd w:val="0"/>
        <w:snapToGrid w:val="0"/>
        <w:spacing w:line="360" w:lineRule="auto"/>
        <w:ind w:firstLine="420" w:firstLineChars="200"/>
        <w:rPr>
          <w:rStyle w:val="9"/>
          <w:rFonts w:hint="default" w:ascii="Times New Roman" w:hAnsi="Times New Roman"/>
          <w:sz w:val="21"/>
          <w:szCs w:val="21"/>
        </w:rPr>
      </w:pPr>
      <w:r>
        <w:rPr>
          <w:rStyle w:val="9"/>
          <w:rFonts w:hint="default" w:ascii="Times New Roman" w:hAnsi="Times New Roman"/>
          <w:sz w:val="21"/>
          <w:szCs w:val="21"/>
        </w:rPr>
        <w:t>（一）分值汇总计算错误的</w:t>
      </w:r>
    </w:p>
    <w:p>
      <w:pPr>
        <w:adjustRightInd w:val="0"/>
        <w:snapToGrid w:val="0"/>
        <w:spacing w:line="360" w:lineRule="auto"/>
        <w:ind w:firstLine="420" w:firstLineChars="200"/>
        <w:rPr>
          <w:rStyle w:val="9"/>
          <w:rFonts w:hint="default" w:ascii="Times New Roman" w:hAnsi="Times New Roman"/>
          <w:sz w:val="21"/>
          <w:szCs w:val="21"/>
        </w:rPr>
      </w:pPr>
      <w:r>
        <w:rPr>
          <w:rStyle w:val="9"/>
          <w:rFonts w:hint="default" w:ascii="Times New Roman" w:hAnsi="Times New Roman"/>
          <w:sz w:val="21"/>
          <w:szCs w:val="21"/>
        </w:rPr>
        <w:t>（二）分项评分超出评分标准范围的；</w:t>
      </w:r>
    </w:p>
    <w:p>
      <w:pPr>
        <w:adjustRightInd w:val="0"/>
        <w:snapToGrid w:val="0"/>
        <w:spacing w:line="360" w:lineRule="auto"/>
        <w:ind w:firstLine="420" w:firstLineChars="200"/>
        <w:rPr>
          <w:rStyle w:val="9"/>
          <w:rFonts w:hint="default" w:ascii="Times New Roman" w:hAnsi="Times New Roman"/>
          <w:sz w:val="21"/>
          <w:szCs w:val="21"/>
        </w:rPr>
      </w:pPr>
      <w:r>
        <w:rPr>
          <w:rStyle w:val="9"/>
          <w:rFonts w:hint="default" w:ascii="Times New Roman" w:hAnsi="Times New Roman"/>
          <w:sz w:val="21"/>
          <w:szCs w:val="21"/>
        </w:rPr>
        <w:t>（三）评标委员会成员对客观评审因素评分不一致的；</w:t>
      </w:r>
    </w:p>
    <w:p>
      <w:pPr>
        <w:adjustRightInd w:val="0"/>
        <w:snapToGrid w:val="0"/>
        <w:spacing w:line="360" w:lineRule="auto"/>
        <w:ind w:firstLine="420" w:firstLineChars="200"/>
        <w:rPr>
          <w:rStyle w:val="9"/>
          <w:rFonts w:hint="default" w:ascii="Times New Roman" w:hAnsi="Times New Roman"/>
          <w:sz w:val="21"/>
          <w:szCs w:val="21"/>
        </w:rPr>
      </w:pPr>
      <w:r>
        <w:rPr>
          <w:rStyle w:val="9"/>
          <w:rFonts w:hint="default" w:ascii="Times New Roman" w:hAnsi="Times New Roman"/>
          <w:sz w:val="21"/>
          <w:szCs w:val="21"/>
        </w:rPr>
        <w:t>（四）经评标委员会认定评分畸高、畸低的。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2F98"/>
    <w:multiLevelType w:val="singleLevel"/>
    <w:tmpl w:val="26602F9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8423067"/>
    <w:multiLevelType w:val="singleLevel"/>
    <w:tmpl w:val="284230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642BA"/>
    <w:rsid w:val="2166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AS正文"/>
    <w:basedOn w:val="1"/>
    <w:qFormat/>
    <w:uiPriority w:val="0"/>
    <w:pPr>
      <w:tabs>
        <w:tab w:val="left" w:pos="1200"/>
      </w:tabs>
      <w:spacing w:line="360" w:lineRule="exact"/>
      <w:ind w:left="-17" w:leftChars="-8" w:right="181" w:firstLine="632" w:firstLineChars="300"/>
    </w:pPr>
    <w:rPr>
      <w:rFonts w:ascii="Verdana" w:hAnsi="Verdana"/>
      <w:b/>
      <w:bCs/>
      <w:szCs w:val="21"/>
    </w:rPr>
  </w:style>
  <w:style w:type="paragraph" w:styleId="3">
    <w:name w:val="Body Text Indent"/>
    <w:basedOn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4">
    <w:name w:val="Plain Text"/>
    <w:basedOn w:val="1"/>
    <w:qFormat/>
    <w:uiPriority w:val="99"/>
    <w:rPr>
      <w:rFonts w:ascii="宋体" w:hAnsi="Courier New"/>
      <w:szCs w:val="20"/>
    </w:rPr>
  </w:style>
  <w:style w:type="paragraph" w:styleId="5">
    <w:name w:val="Body Text Indent 2"/>
    <w:basedOn w:val="1"/>
    <w:qFormat/>
    <w:uiPriority w:val="99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6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eastAsia="黑体"/>
      <w:color w:val="000000"/>
      <w:sz w:val="24"/>
    </w:rPr>
  </w:style>
  <w:style w:type="character" w:customStyle="1" w:styleId="9">
    <w:name w:val="fontstyle01"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2021-06-23T01:44:00Z</dcterms:created>
  <dc:creator>One</dc:creator>
  <cp:lastModifiedBy>One</cp:lastModifiedBy>
  <dcterms:modified xsi:type="dcterms:W3CDTF">2021-06-23T01:50:56Z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