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84"/>
        </w:rPr>
      </w:pPr>
    </w:p>
    <w:p>
      <w:pPr>
        <w:jc w:val="center"/>
        <w:rPr>
          <w:rFonts w:ascii="宋体" w:hAnsi="宋体"/>
          <w:sz w:val="84"/>
        </w:rPr>
      </w:pPr>
    </w:p>
    <w:p>
      <w:pPr>
        <w:jc w:val="center"/>
        <w:rPr>
          <w:rFonts w:ascii="宋体" w:hAnsi="宋体"/>
          <w:sz w:val="84"/>
        </w:rPr>
      </w:pPr>
      <w:r>
        <w:rPr>
          <w:rFonts w:hint="eastAsia" w:ascii="宋体" w:hAnsi="宋体"/>
          <w:sz w:val="84"/>
        </w:rPr>
        <w:t>议 价 文 件</w:t>
      </w:r>
    </w:p>
    <w:p>
      <w:pPr>
        <w:ind w:firstLine="600"/>
        <w:rPr>
          <w:rFonts w:ascii="宋体" w:hAnsi="宋体"/>
          <w:sz w:val="32"/>
        </w:rPr>
      </w:pPr>
    </w:p>
    <w:p>
      <w:pPr>
        <w:ind w:firstLine="600"/>
        <w:rPr>
          <w:rFonts w:ascii="宋体" w:hAnsi="宋体"/>
          <w:sz w:val="32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jc w:val="center"/>
        <w:rPr>
          <w:rFonts w:ascii="宋体" w:hAnsi="宋体"/>
          <w:sz w:val="48"/>
          <w:u w:val="single"/>
        </w:rPr>
      </w:pPr>
      <w:r>
        <w:rPr>
          <w:rFonts w:hint="eastAsia" w:ascii="宋体" w:hAnsi="宋体"/>
          <w:sz w:val="48"/>
          <w:u w:val="single"/>
        </w:rPr>
        <w:t>浙江省肿瘤医院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48"/>
          <w:u w:val="single"/>
        </w:rPr>
        <w:t>10KV专变维保服务项目</w:t>
      </w:r>
    </w:p>
    <w:p>
      <w:pPr>
        <w:ind w:right="5525"/>
        <w:rPr>
          <w:rFonts w:ascii="宋体" w:hAnsi="宋体"/>
          <w:sz w:val="32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浙江省肿瘤医院</w:t>
      </w:r>
    </w:p>
    <w:p>
      <w:pPr>
        <w:jc w:val="center"/>
        <w:rPr>
          <w:rFonts w:ascii="宋体" w:hAnsi="宋体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/>
          <w:sz w:val="32"/>
        </w:rPr>
        <w:t>二○二○年十二月</w:t>
      </w:r>
    </w:p>
    <w:p>
      <w:pPr>
        <w:pStyle w:val="4"/>
        <w:spacing w:before="0" w:beforeAutospacing="0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b/>
          <w:bCs/>
          <w:sz w:val="36"/>
          <w:szCs w:val="36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浙江省肿瘤医院10KV专变维保</w:t>
      </w:r>
    </w:p>
    <w:p>
      <w:pPr>
        <w:pStyle w:val="4"/>
        <w:spacing w:before="0" w:beforeAutospacing="0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color w:val="auto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为了保障医院重要部门供电安全可靠，确保应急供电响应，我院拟采取院内议价方式，完成浙江省肿瘤医院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10KV专变维保</w:t>
      </w:r>
      <w:r>
        <w:rPr>
          <w:rFonts w:hint="eastAsia" w:cs="华文中宋" w:asciiTheme="majorEastAsia" w:hAnsiTheme="majorEastAsia" w:eastAsiaTheme="majorEastAsia"/>
          <w:sz w:val="24"/>
        </w:rPr>
        <w:t>项目采购，现将有关事项公告如下：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一、项目名称和供应商资格条件</w:t>
      </w:r>
    </w:p>
    <w:p>
      <w:pPr>
        <w:pStyle w:val="4"/>
        <w:spacing w:before="0" w:beforeAutospacing="0" w:afterLines="50" w:afterAutospacing="0" w:line="440" w:lineRule="exact"/>
        <w:ind w:left="240" w:hanging="240" w:hangingChars="100"/>
        <w:jc w:val="both"/>
        <w:rPr>
          <w:rFonts w:cs="华文中宋" w:asciiTheme="majorEastAsia" w:hAnsiTheme="majorEastAsia" w:eastAsiaTheme="majorEastAsia"/>
          <w:color w:val="auto"/>
          <w:kern w:val="2"/>
        </w:rPr>
      </w:pPr>
      <w:r>
        <w:rPr>
          <w:rFonts w:hint="eastAsia" w:cs="华文中宋" w:asciiTheme="majorEastAsia" w:hAnsiTheme="majorEastAsia" w:eastAsiaTheme="majorEastAsia"/>
          <w:color w:val="auto"/>
          <w:kern w:val="2"/>
        </w:rPr>
        <w:t>1. 项目名称：</w:t>
      </w:r>
      <w:r>
        <w:rPr>
          <w:rFonts w:hint="eastAsia" w:cs="华文中宋" w:asciiTheme="majorEastAsia" w:hAnsiTheme="majorEastAsia" w:eastAsiaTheme="majorEastAsia"/>
          <w:color w:val="auto"/>
          <w:kern w:val="2"/>
          <w:lang w:val="zh-CN"/>
        </w:rPr>
        <w:t>浙江省肿瘤医院10KV专变维保服务项目</w:t>
      </w:r>
      <w:r>
        <w:rPr>
          <w:rFonts w:hint="eastAsia" w:cs="华文中宋" w:asciiTheme="majorEastAsia" w:hAnsiTheme="majorEastAsia" w:eastAsiaTheme="majorEastAsia"/>
          <w:color w:val="auto"/>
          <w:kern w:val="2"/>
        </w:rPr>
        <w:t>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2. </w:t>
      </w:r>
      <w:r>
        <w:rPr>
          <w:rFonts w:hint="eastAsia" w:cs="华文中宋" w:asciiTheme="majorEastAsia" w:hAnsiTheme="majorEastAsia" w:eastAsiaTheme="majorEastAsia"/>
          <w:sz w:val="24"/>
        </w:rPr>
        <w:t>供应商资格条件：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  <w:lang w:val="zh-CN"/>
        </w:rPr>
      </w:pPr>
      <w:r>
        <w:rPr>
          <w:rFonts w:hint="eastAsia" w:cs="华文中宋" w:asciiTheme="majorEastAsia" w:hAnsiTheme="majorEastAsia" w:eastAsiaTheme="majorEastAsia"/>
          <w:sz w:val="24"/>
          <w:lang w:val="zh-CN"/>
        </w:rPr>
        <w:t>（</w:t>
      </w:r>
      <w:r>
        <w:rPr>
          <w:rFonts w:hint="eastAsia" w:cs="华文中宋" w:asciiTheme="majorEastAsia" w:hAnsiTheme="majorEastAsia" w:eastAsiaTheme="majorEastAsia"/>
          <w:sz w:val="24"/>
        </w:rPr>
        <w:t>1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）</w:t>
      </w:r>
      <w:r>
        <w:rPr>
          <w:rFonts w:hint="eastAsia" w:cs="华文中宋" w:asciiTheme="majorEastAsia" w:hAnsiTheme="majorEastAsia" w:eastAsiaTheme="majorEastAsia"/>
          <w:sz w:val="24"/>
        </w:rPr>
        <w:t>符合《中华人民共和国政府采购法》第二十二条规定条件；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  <w:lang w:val="zh-CN"/>
        </w:rPr>
        <w:t>（</w:t>
      </w:r>
      <w:r>
        <w:rPr>
          <w:rFonts w:hint="eastAsia" w:cs="华文中宋" w:asciiTheme="majorEastAsia" w:hAnsiTheme="majorEastAsia" w:eastAsiaTheme="majorEastAsia"/>
          <w:sz w:val="24"/>
        </w:rPr>
        <w:t>2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）</w:t>
      </w:r>
      <w:r>
        <w:rPr>
          <w:rFonts w:hint="eastAsia" w:cs="华文中宋" w:asciiTheme="majorEastAsia" w:hAnsiTheme="majorEastAsia" w:eastAsiaTheme="majorEastAsia"/>
          <w:sz w:val="24"/>
        </w:rPr>
        <w:t>公司具有变配电设备专业维保服务资质和能力的服务企业；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（3）本项目不接受联合体议价。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（4）项目总价格在10万元以内。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b/>
          <w:bCs/>
          <w:sz w:val="24"/>
        </w:rPr>
        <w:t>二、项目情况简介及维保范围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浙江省肿瘤医院地址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拱墅区半山东路1号 </w:t>
      </w:r>
      <w:r>
        <w:rPr>
          <w:rFonts w:hint="eastAsia" w:cs="华文中宋" w:asciiTheme="majorEastAsia" w:hAnsiTheme="majorEastAsia" w:eastAsiaTheme="majorEastAsia"/>
          <w:sz w:val="24"/>
        </w:rPr>
        <w:t>，院区内设高配房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 </w:t>
      </w:r>
      <w:r>
        <w:rPr>
          <w:rFonts w:hint="eastAsia" w:cs="华文中宋" w:asciiTheme="majorEastAsia" w:hAnsiTheme="majorEastAsia" w:eastAsiaTheme="majorEastAsia"/>
          <w:sz w:val="24"/>
        </w:rPr>
        <w:t>座，电压等级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10 </w:t>
      </w:r>
      <w:r>
        <w:rPr>
          <w:rFonts w:hint="eastAsia" w:cs="华文中宋" w:asciiTheme="majorEastAsia" w:hAnsiTheme="majorEastAsia" w:eastAsiaTheme="majorEastAsia"/>
          <w:sz w:val="24"/>
        </w:rPr>
        <w:t>KV， 高压柜为带微机综合保护装置的中置柜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20 </w:t>
      </w:r>
      <w:r>
        <w:rPr>
          <w:rFonts w:hint="eastAsia" w:cs="华文中宋" w:asciiTheme="majorEastAsia" w:hAnsiTheme="majorEastAsia" w:eastAsiaTheme="majorEastAsia"/>
          <w:sz w:val="24"/>
        </w:rPr>
        <w:t>台；分配房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3 </w:t>
      </w:r>
      <w:r>
        <w:rPr>
          <w:rFonts w:hint="eastAsia" w:cs="华文中宋" w:asciiTheme="majorEastAsia" w:hAnsiTheme="majorEastAsia" w:eastAsiaTheme="majorEastAsia"/>
          <w:sz w:val="24"/>
        </w:rPr>
        <w:t>座，变压器为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干 </w:t>
      </w:r>
      <w:r>
        <w:rPr>
          <w:rFonts w:hint="eastAsia" w:cs="华文中宋" w:asciiTheme="majorEastAsia" w:hAnsiTheme="majorEastAsia" w:eastAsiaTheme="majorEastAsia"/>
          <w:sz w:val="24"/>
        </w:rPr>
        <w:t>变，数量：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10 </w:t>
      </w:r>
      <w:r>
        <w:rPr>
          <w:rFonts w:hint="eastAsia" w:cs="华文中宋" w:asciiTheme="majorEastAsia" w:hAnsiTheme="majorEastAsia" w:eastAsiaTheme="majorEastAsia"/>
          <w:sz w:val="24"/>
        </w:rPr>
        <w:t>台， 装机容量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19250 </w:t>
      </w:r>
      <w:r>
        <w:rPr>
          <w:rFonts w:hint="eastAsia" w:cs="华文中宋" w:asciiTheme="majorEastAsia" w:hAnsiTheme="majorEastAsia" w:eastAsiaTheme="majorEastAsia"/>
          <w:sz w:val="24"/>
        </w:rPr>
        <w:t>KVA，高压柜为高压隔离柜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6 </w:t>
      </w:r>
      <w:r>
        <w:rPr>
          <w:rFonts w:hint="eastAsia" w:cs="华文中宋" w:asciiTheme="majorEastAsia" w:hAnsiTheme="majorEastAsia" w:eastAsiaTheme="majorEastAsia"/>
          <w:sz w:val="24"/>
        </w:rPr>
        <w:t>台，低压柜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145 </w:t>
      </w:r>
      <w:r>
        <w:rPr>
          <w:rFonts w:hint="eastAsia" w:cs="华文中宋" w:asciiTheme="majorEastAsia" w:hAnsiTheme="majorEastAsia" w:eastAsiaTheme="majorEastAsia"/>
          <w:sz w:val="24"/>
        </w:rPr>
        <w:t>台，计量方式：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高供高计 </w:t>
      </w:r>
      <w:r>
        <w:rPr>
          <w:rFonts w:hint="eastAsia" w:cs="华文中宋" w:asciiTheme="majorEastAsia" w:hAnsiTheme="majorEastAsia" w:eastAsiaTheme="majorEastAsia"/>
          <w:sz w:val="24"/>
        </w:rPr>
        <w:t>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浙江省肿瘤医院分院地址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江干区机场路30号 </w:t>
      </w:r>
      <w:r>
        <w:rPr>
          <w:rFonts w:hint="eastAsia" w:cs="华文中宋" w:asciiTheme="majorEastAsia" w:hAnsiTheme="majorEastAsia" w:eastAsiaTheme="majorEastAsia"/>
          <w:sz w:val="24"/>
        </w:rPr>
        <w:t>，院区内设高配房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 </w:t>
      </w:r>
      <w:r>
        <w:rPr>
          <w:rFonts w:hint="eastAsia" w:cs="华文中宋" w:asciiTheme="majorEastAsia" w:hAnsiTheme="majorEastAsia" w:eastAsiaTheme="majorEastAsia"/>
          <w:sz w:val="24"/>
        </w:rPr>
        <w:t>座，电压等级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10 </w:t>
      </w:r>
      <w:r>
        <w:rPr>
          <w:rFonts w:hint="eastAsia" w:cs="华文中宋" w:asciiTheme="majorEastAsia" w:hAnsiTheme="majorEastAsia" w:eastAsiaTheme="majorEastAsia"/>
          <w:sz w:val="24"/>
        </w:rPr>
        <w:t>KV，变压器为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干 </w:t>
      </w:r>
      <w:r>
        <w:rPr>
          <w:rFonts w:hint="eastAsia" w:cs="华文中宋" w:asciiTheme="majorEastAsia" w:hAnsiTheme="majorEastAsia" w:eastAsiaTheme="majorEastAsia"/>
          <w:sz w:val="24"/>
        </w:rPr>
        <w:t>变，数量：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1 </w:t>
      </w:r>
      <w:r>
        <w:rPr>
          <w:rFonts w:hint="eastAsia" w:cs="华文中宋" w:asciiTheme="majorEastAsia" w:hAnsiTheme="majorEastAsia" w:eastAsiaTheme="majorEastAsia"/>
          <w:sz w:val="24"/>
        </w:rPr>
        <w:t>台，装机容量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400 </w:t>
      </w:r>
      <w:r>
        <w:rPr>
          <w:rFonts w:hint="eastAsia" w:cs="华文中宋" w:asciiTheme="majorEastAsia" w:hAnsiTheme="majorEastAsia" w:eastAsiaTheme="majorEastAsia"/>
          <w:sz w:val="24"/>
        </w:rPr>
        <w:t>KVA，低压柜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5</w:t>
      </w:r>
      <w:r>
        <w:rPr>
          <w:rFonts w:hint="eastAsia" w:cs="华文中宋" w:asciiTheme="majorEastAsia" w:hAnsiTheme="majorEastAsia" w:eastAsiaTheme="majorEastAsia"/>
          <w:sz w:val="24"/>
        </w:rPr>
        <w:t>台，计量方式：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 xml:space="preserve"> 高供低计 </w:t>
      </w:r>
      <w:r>
        <w:rPr>
          <w:rFonts w:hint="eastAsia" w:cs="华文中宋" w:asciiTheme="majorEastAsia" w:hAnsiTheme="majorEastAsia" w:eastAsiaTheme="majorEastAsia"/>
          <w:sz w:val="24"/>
        </w:rPr>
        <w:t>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本次维保范围包括10KV 中置柜、高压隔离柜、变压器、0.4KV 低压柜及相关配套设施的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>线下运维服务，含 1、远程辅助值班；2、日常巡检；3、维护保养；4、预防性试验；5、安全用具周期性检测；6、应急抢修；7、保电服务。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  <w:u w:val="single"/>
        </w:rPr>
      </w:pPr>
      <w:r>
        <w:rPr>
          <w:rFonts w:hint="eastAsia" w:cs="华文中宋" w:asciiTheme="majorEastAsia" w:hAnsiTheme="majorEastAsia" w:eastAsiaTheme="majorEastAsia"/>
          <w:sz w:val="24"/>
        </w:rPr>
        <w:t>分界点是：</w:t>
      </w:r>
      <w:r>
        <w:rPr>
          <w:rFonts w:hint="eastAsia" w:cs="华文中宋" w:asciiTheme="majorEastAsia" w:hAnsiTheme="majorEastAsia" w:eastAsiaTheme="majorEastAsia"/>
          <w:sz w:val="24"/>
          <w:u w:val="single"/>
        </w:rPr>
        <w:t>10KV 高压进线电缆与 10KV 进线柜的连接点起，至 0.4KV 低压出线柜与 0.4KV出线电缆的连接点止。</w:t>
      </w:r>
    </w:p>
    <w:p>
      <w:pPr>
        <w:pStyle w:val="2"/>
        <w:spacing w:before="121" w:line="440" w:lineRule="exact"/>
        <w:ind w:left="0"/>
        <w:jc w:val="left"/>
        <w:rPr>
          <w:rFonts w:cs="华文中宋" w:asciiTheme="majorEastAsia" w:hAnsiTheme="majorEastAsia" w:eastAsiaTheme="majorEastAsia"/>
          <w:lang w:val="en-US"/>
        </w:rPr>
      </w:pPr>
      <w:r>
        <w:rPr>
          <w:rFonts w:hint="eastAsia" w:cs="华文中宋" w:asciiTheme="majorEastAsia" w:hAnsiTheme="majorEastAsia" w:eastAsiaTheme="majorEastAsia"/>
          <w:lang w:val="en-US"/>
        </w:rPr>
        <w:t>三、报价方式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项目</w:t>
            </w:r>
          </w:p>
        </w:tc>
        <w:tc>
          <w:tcPr>
            <w:tcW w:w="2841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价格</w:t>
            </w:r>
          </w:p>
        </w:tc>
        <w:tc>
          <w:tcPr>
            <w:tcW w:w="2841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lang w:bidi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浙江省肿瘤医院10KV专变维保服务项目</w:t>
            </w:r>
          </w:p>
        </w:tc>
        <w:tc>
          <w:tcPr>
            <w:tcW w:w="2841" w:type="dxa"/>
          </w:tcPr>
          <w:p>
            <w:pPr>
              <w:rPr>
                <w:lang w:bidi="zh-CN"/>
              </w:rPr>
            </w:pPr>
          </w:p>
        </w:tc>
        <w:tc>
          <w:tcPr>
            <w:tcW w:w="2841" w:type="dxa"/>
          </w:tcPr>
          <w:p>
            <w:pPr>
              <w:rPr>
                <w:lang w:bidi="zh-CN"/>
              </w:rPr>
            </w:pPr>
          </w:p>
        </w:tc>
      </w:tr>
    </w:tbl>
    <w:p>
      <w:pPr>
        <w:rPr>
          <w:lang w:bidi="zh-CN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b/>
          <w:bCs/>
          <w:sz w:val="24"/>
        </w:rPr>
        <w:t>四、项目维保内容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1．根据《安全用电管理暂行规定》、《DL/T596-1996 电力设备预防性试验规程》、《Q/GDW644-2011 配网设备状态检修导则》、《DL/T1475-2015 电力安全工器具配备及存放》等法律、法规、规章和国家电力行业技术标准。甲、乙双方共同遵守中华人民共和国《电力法》，并明确双方各自的权利和义务，本着公平公正、互惠互利、等价有偿的原则，乙方按照《关于变（配）电站的运行管理规程》及甲方变（配）电站的实际情况，制定符合维保要求的服务内容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本次报价包含一切税费、运杂费、保险费、装卸落地费、节假日加班费、人员食宿交通、专用工具费（若有）、检验费、单价在3000元以下的常用耗材元器件（指示灯，熔丝等小配件）、及完成本项目的可能涉及的所有费用（不包括在议价内的配件请供应商另列表说明，单价</w:t>
      </w:r>
      <w:r>
        <w:rPr>
          <w:rFonts w:hint="eastAsia" w:cs="华文中宋" w:asciiTheme="majorEastAsia" w:hAnsiTheme="majorEastAsia" w:eastAsiaTheme="majorEastAsia"/>
          <w:sz w:val="24"/>
          <w:lang w:eastAsia="zh-CN"/>
        </w:rPr>
        <w:t>不得高于市场价，并以审计为准</w:t>
      </w:r>
      <w:r>
        <w:rPr>
          <w:rFonts w:hint="eastAsia" w:cs="华文中宋" w:asciiTheme="majorEastAsia" w:hAnsiTheme="majorEastAsia" w:eastAsiaTheme="majorEastAsia"/>
          <w:sz w:val="24"/>
        </w:rPr>
        <w:t>）。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3.提供每年一次预防性试验服务，对配电设备进行全面检查并出具检测报告；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4.提供每月一次对配电设备进行巡检，并做好巡检检查记录；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5.提供春节，劳动节，国庆节需进行节前配电设备特检，并出具检查报告；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6.应急抢修：配电房一旦发生故障，乙方在接到甲方通知的半小时内到达现场维修，针对故障原因进行调整处理, 进行排除故障工作，直到恢复正常运行（为提高各类服务响应及服务时间，要求投标公司建有各类二次回路元件备品备件库，材料主要包括指示灯、按纽、空气断路器欠压线圈、分励线图、低压二次端子等。维保服务期间，所有应急抢修服务只收材料费，不收人工费）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7．全年提供免费保电服务。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8.因服务商原因造成设备损坏,服务商应负责修复直到设备恢复正常使用，并承担由此引起的费用及责任；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9.维保过程中产生的垃圾、更换耗材等由服务商负责及时清运，清运费用由服务商承担；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10.安全用具周期性检测费包含在服务费中。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11.更换后的配件材料应提供符合国家标准的保修期限。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五、响应文件编制要求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hint="eastAsia"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1.本次议价服务有效期为两年，第一年合同期满后经院方考核合格可续签一年。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 响应文件包含报价、技术、商务资料不得少于叁份。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3. 报价文件至少应包括以下内容（均需加盖公章）：（1）按本文件表格内所列内容报价；（2）采购到货响应周期及相应优惠条件等；（3）供应商需要说明的其他报价说明。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4. 商务文件至少应包括以下内容：证明其为合格供应商和所提供的为合格产品的有关资格证明文件（若适用），招标文件要求提供的其他资料等（均需加盖公章）：（1）法人授权委托书（附件1）；（2）法定代表人及受委托人的身份证复印件；（3）企业法人营业执照复印件；（4）</w:t>
      </w:r>
      <w:r>
        <w:rPr>
          <w:rFonts w:cs="华文中宋" w:asciiTheme="majorEastAsia" w:hAnsiTheme="majorEastAsia" w:eastAsiaTheme="majorEastAsia"/>
          <w:sz w:val="24"/>
        </w:rPr>
        <w:t>发电机组</w:t>
      </w:r>
      <w:r>
        <w:rPr>
          <w:rFonts w:hint="eastAsia" w:cs="华文中宋" w:asciiTheme="majorEastAsia" w:hAnsiTheme="majorEastAsia" w:eastAsiaTheme="majorEastAsia"/>
          <w:sz w:val="24"/>
        </w:rPr>
        <w:t>维保所需要的资质及认证文件复印件；（5）主要业绩证明；（6）供应商认为需要的其他商务文件或说明。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5. 技术文件至少应包括以下内容：针对本项目的技术和服务议价方案，招标文件要求提供的其他资料等（均需加盖公章）：（1）项目负责人简历表；（2）拟派本项目人员技术力量配备情况；（3）供应商应提供的技术资料；（4）供应商需要说明的其他文件和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六、议价截止时间、议价时间及地点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 递交议价文件截止时间：2021年1月 8日（周五）17：00，逾期不再接受任何形式的报名。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2．议价时间及地点：院方另行通知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3．投标地点：浙江省肿瘤医院行政楼403室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采用快递方式递交议价文件，必须对议价文件进行密封并在密封处加盖公章，快递费用由议价单位自理，不接受到付件。邮寄地址：杭州市拱墅区半山东路1号浙江省肿瘤医院行政楼403室。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七、联系方式：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 地址：杭州市拱墅区半山东路1号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 联系方式：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 xml:space="preserve"> 联系人：叶先生    联系电话：0571-88122529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right"/>
        <w:rPr>
          <w:rFonts w:cs="华文中宋"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cs="华文中宋" w:asciiTheme="majorEastAsia" w:hAnsiTheme="majorEastAsia" w:eastAsiaTheme="majorEastAsia"/>
          <w:sz w:val="24"/>
        </w:rPr>
        <w:t>浙江省肿瘤医院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 xml:space="preserve">                                                 2020年12月31日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br w:type="page"/>
      </w: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公司名称: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right="210"/>
        <w:jc w:val="right"/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</w:p>
    <w:p>
      <w:pPr>
        <w:widowControl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10KV专变维保备品备件明细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595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sz w:val="22"/>
              </w:rPr>
              <w:t>序号</w:t>
            </w:r>
          </w:p>
        </w:tc>
        <w:tc>
          <w:tcPr>
            <w:tcW w:w="3495" w:type="pct"/>
            <w:noWrap/>
            <w:vAlign w:val="center"/>
          </w:tcPr>
          <w:p>
            <w:pPr>
              <w:spacing w:line="48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sz w:val="22"/>
              </w:rPr>
              <w:t>备品备件名称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noWrap/>
            <w:vAlign w:val="center"/>
          </w:tcPr>
          <w:p>
            <w:pPr>
              <w:spacing w:line="480" w:lineRule="exac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9" w:type="dxa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0" w:type="pct"/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95" w:type="pct"/>
            <w:vAlign w:val="center"/>
          </w:tcPr>
          <w:p>
            <w:pPr>
              <w:spacing w:line="480" w:lineRule="exact"/>
              <w:rPr>
                <w:rFonts w:ascii="Arial" w:hAnsi="宋体" w:cs="Arial"/>
                <w:sz w:val="22"/>
              </w:rPr>
            </w:pPr>
          </w:p>
        </w:tc>
        <w:tc>
          <w:tcPr>
            <w:tcW w:w="753" w:type="pct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ahoma"/>
                <w:color w:val="000000"/>
                <w:kern w:val="0"/>
                <w:szCs w:val="21"/>
              </w:rPr>
            </w:pPr>
          </w:p>
        </w:tc>
      </w:tr>
    </w:tbl>
    <w:p>
      <w:pPr>
        <w:pStyle w:val="5"/>
        <w:tabs>
          <w:tab w:val="left" w:pos="0"/>
        </w:tabs>
        <w:spacing w:after="0" w:line="440" w:lineRule="exact"/>
        <w:ind w:left="0" w:leftChars="0"/>
      </w:pPr>
    </w:p>
    <w:p>
      <w:pPr>
        <w:pStyle w:val="5"/>
        <w:tabs>
          <w:tab w:val="left" w:pos="0"/>
        </w:tabs>
        <w:spacing w:after="0" w:line="440" w:lineRule="exact"/>
        <w:ind w:left="0" w:leftChars="0"/>
      </w:pPr>
      <w:r>
        <w:rPr>
          <w:rFonts w:hint="eastAsia"/>
        </w:rPr>
        <w:t>注：此清单配件不包括在议价中，仅在需用时参考。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5766"/>
    <w:rsid w:val="00082549"/>
    <w:rsid w:val="001073C7"/>
    <w:rsid w:val="001727C9"/>
    <w:rsid w:val="00274C0D"/>
    <w:rsid w:val="00293D48"/>
    <w:rsid w:val="003A4C62"/>
    <w:rsid w:val="004350CB"/>
    <w:rsid w:val="00525766"/>
    <w:rsid w:val="005C5079"/>
    <w:rsid w:val="009A1DA1"/>
    <w:rsid w:val="009E2B14"/>
    <w:rsid w:val="00B001BF"/>
    <w:rsid w:val="00BB49F3"/>
    <w:rsid w:val="00C46E38"/>
    <w:rsid w:val="00E17ECE"/>
    <w:rsid w:val="00EB4727"/>
    <w:rsid w:val="00F21E18"/>
    <w:rsid w:val="00F9722A"/>
    <w:rsid w:val="0C1C47ED"/>
    <w:rsid w:val="476937DB"/>
    <w:rsid w:val="6D7400DB"/>
    <w:rsid w:val="7BDD4602"/>
    <w:rsid w:val="7F21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398"/>
      <w:outlineLvl w:val="1"/>
    </w:pPr>
    <w:rPr>
      <w:rFonts w:ascii="宋体" w:hAnsi="宋体"/>
      <w:b/>
      <w:bCs/>
      <w:sz w:val="24"/>
      <w:lang w:val="zh-CN" w:bidi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414</Words>
  <Characters>2361</Characters>
  <Lines>19</Lines>
  <Paragraphs>5</Paragraphs>
  <TotalTime>67</TotalTime>
  <ScaleCrop>false</ScaleCrop>
  <LinksUpToDate>false</LinksUpToDate>
  <CharactersWithSpaces>2770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2020-09-16T06:21:00Z</cp:lastPrinted>
  <dcterms:modified xsi:type="dcterms:W3CDTF">2020-12-31T06:33:58Z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