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44"/>
          <w:szCs w:val="44"/>
          <w14:shadow w14:blurRad="50800" w14:dist="38100" w14:dir="2700000" w14:sx="100000" w14:sy="100000" w14:kx="0" w14:ky="0" w14:algn="tl">
            <w14:srgbClr w14:val="000000">
              <w14:alpha w14:val="60000"/>
            </w14:srgbClr>
          </w14:shadow>
        </w:rPr>
      </w:pPr>
      <w:r>
        <w:rPr>
          <w:rFonts w:hint="eastAsia" w:ascii="宋体" w:hAnsi="宋体" w:cs="宋体"/>
          <w:sz w:val="44"/>
          <w:szCs w:val="44"/>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4"/>
          <w:szCs w:val="44"/>
          <w:u w:val="single"/>
          <w:lang w:val="en-US" w:eastAsia="zh-CN"/>
          <w14:shadow w14:blurRad="50800" w14:dist="38100" w14:dir="2700000" w14:sx="100000" w14:sy="100000" w14:kx="0" w14:ky="0" w14:algn="tl">
            <w14:srgbClr w14:val="000000">
              <w14:alpha w14:val="60000"/>
            </w14:srgbClr>
          </w14:shadow>
        </w:rPr>
        <w:t>一号楼磁共振机房区域空调及通风系统改造项目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二</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六</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b/>
          <w:bCs/>
          <w:sz w:val="36"/>
          <w:szCs w:val="36"/>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一号楼磁共振机房区域空调及通风</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b/>
          <w:bCs/>
          <w:sz w:val="36"/>
          <w:szCs w:val="36"/>
          <w:lang w:val="en-US" w:eastAsia="zh-CN"/>
        </w:rPr>
      </w:pPr>
      <w:r>
        <w:rPr>
          <w:rFonts w:hint="eastAsia" w:ascii="华文细黑" w:hAnsi="华文细黑" w:eastAsia="华文细黑" w:cs="华文细黑"/>
          <w:b/>
          <w:bCs/>
          <w:sz w:val="36"/>
          <w:szCs w:val="36"/>
          <w:lang w:val="en-US" w:eastAsia="zh-CN"/>
        </w:rPr>
        <w:t>系统改造项目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一号楼磁共振机房区域空调及通风系统改造项目</w:t>
      </w:r>
      <w:r>
        <w:rPr>
          <w:rFonts w:hint="eastAsia" w:ascii="华文细黑" w:hAnsi="华文细黑" w:eastAsia="华文细黑" w:cs="华文细黑"/>
          <w:color w:val="auto"/>
          <w:sz w:val="24"/>
          <w:szCs w:val="24"/>
        </w:rPr>
        <w:t>招标，项目包含10台风机盘管和1台离心式通风机的采购及安装，空调镀锌风管、水管、各类阀门、管路的橡塑保温等配套改造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一号楼磁共振机房区域空调及通风系统改造项目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（1）所供货物、材料是全新的、未使用过的货物，同时应保证货物、材料的各项功能和技术指标达到投标文件和国家相关标准。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（2）本项目所有的风机、风管主件及辅件在正确安装、正常使用和保养条件下，在建筑物使用寿命内的正常使用和运行。本项目质保期不得少于24个月（含人工及配件维修）。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（3）供应商除提供货物外，还应随货物向院方提供交付货物的出厂合格证、质量检验报告、厂家营业执照复印件、生产许可证复印件、授权经销合同复印件等相关资料（复印件均需加盖供应单位红章）；</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货物（品牌、规格、厂家、产地）、服务名称、数量、单价及合同分项价格、总价：</w:t>
      </w:r>
    </w:p>
    <w:tbl>
      <w:tblPr>
        <w:tblStyle w:val="9"/>
        <w:tblpPr w:leftFromText="180" w:rightFromText="180" w:vertAnchor="text" w:horzAnchor="page" w:tblpXSpec="center" w:tblpY="723"/>
        <w:tblOverlap w:val="never"/>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195"/>
        <w:gridCol w:w="1695"/>
        <w:gridCol w:w="810"/>
        <w:gridCol w:w="795"/>
        <w:gridCol w:w="1245"/>
        <w:gridCol w:w="12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bookmarkStart w:id="0" w:name="_Toc41041224"/>
            <w:r>
              <w:rPr>
                <w:rFonts w:hint="eastAsia" w:ascii="华文细黑" w:hAnsi="华文细黑" w:eastAsia="华文细黑" w:cs="华文细黑"/>
                <w:color w:val="auto"/>
                <w:kern w:val="2"/>
                <w:sz w:val="21"/>
                <w:szCs w:val="21"/>
                <w:lang w:val="en-US" w:eastAsia="zh-CN"/>
              </w:rPr>
              <w:t>序号</w:t>
            </w:r>
          </w:p>
        </w:tc>
        <w:tc>
          <w:tcPr>
            <w:tcW w:w="31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材料名称</w:t>
            </w:r>
          </w:p>
        </w:tc>
        <w:tc>
          <w:tcPr>
            <w:tcW w:w="16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规格</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数量</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单位</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单价（元）</w:t>
            </w: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合价（元）</w:t>
            </w: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排风系统</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吊装排风机</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GDF-2.5-4</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台</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防雨百叶排风口</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500*250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3</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消声静压箱</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320*200*1000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70℃防火阀</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320*200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5</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70℃防火阀</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250*160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6</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调节阀</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250*160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7</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减震器</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SJ-T30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8</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镀锌薄钢板圆形风管(δ=1.2mm以内咬口)直径(mm)≤1000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不保温</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m2</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9</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镀锌薄钢板圆形风管(δ=1.2mm以内咬口)直径(mm)≤2000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不保温</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6.8</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m2</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空调、新风系统</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卧式暗装风机盘管-余压30pa</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YBFC03CD3HX</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台</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卧式暗装风机盘管-余压30pa</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YBFC05CD3HX</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台</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3</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卧式暗装风机盘管-余压30pa</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YBFC06CD3HX</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5</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台</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70℃防火阀</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250*160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5</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70℃防火阀</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250*120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6</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调节阀</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250*160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7</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调节阀</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250*120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8</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方形风口</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500*500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9</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方形风口</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200*200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10</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门绞式回风口</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700*250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11</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门绞式回风口</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800*250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12</w:t>
            </w:r>
          </w:p>
        </w:tc>
        <w:tc>
          <w:tcPr>
            <w:tcW w:w="31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双层百叶送风口</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800*200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13</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镀锌薄钢板圆形风管(δ=1.2mm以内咬口)直径(mm)≤1000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保温另计</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xml:space="preserve">24.2 </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m2</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14</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镀锌薄钢板圆形风管(δ=1.2mm以内咬口)直径(mm)≤2000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保温另计</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xml:space="preserve">59.5 </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m2</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15</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镀锌薄钢板圆形风管(δ=1.2mm以内咬口)直径(mm)≤4000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保温另计</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xml:space="preserve">38.2 </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m2</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16</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帆布软接</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xml:space="preserve">10.0 </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m2</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17</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安装人工</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项</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18</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脚手架搭拆费</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项</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19</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新老系统对接管道</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项</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20</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风机盘管全铜过滤器DN20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DN20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10</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21</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风机盘管全铜球阀DN20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DN20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20</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22</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风机盘管金属波纹软管DN20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DN20</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20</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个</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23</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镀锌管DN20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86</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米</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24</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镀锌管DN25</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42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米</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25</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镀锌管DN32</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16</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米</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26</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镀锌管DN40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32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米</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27</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镀锌管DN50</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12</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米</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28</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镀锌管DN65</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6</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米</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29</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管道保温套管橡塑B1</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3.65</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m3</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30</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管道支架</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0.35</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T</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3195" w:type="dxa"/>
            <w:shd w:val="clear" w:color="auto" w:fill="auto"/>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合计</w:t>
            </w:r>
          </w:p>
        </w:tc>
        <w:tc>
          <w:tcPr>
            <w:tcW w:w="1695" w:type="dxa"/>
            <w:shd w:val="clear" w:color="auto" w:fill="auto"/>
            <w:noWrap/>
            <w:vAlign w:val="center"/>
          </w:tcPr>
          <w:p>
            <w:pPr>
              <w:spacing w:after="0" w:line="240" w:lineRule="auto"/>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81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79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r>
              <w:rPr>
                <w:rFonts w:hint="eastAsia" w:ascii="华文细黑" w:hAnsi="华文细黑" w:eastAsia="华文细黑" w:cs="华文细黑"/>
                <w:color w:val="auto"/>
                <w:kern w:val="2"/>
                <w:sz w:val="21"/>
                <w:szCs w:val="21"/>
                <w:lang w:val="en-US" w:eastAsia="zh-CN"/>
              </w:rPr>
              <w:t>　</w:t>
            </w:r>
          </w:p>
        </w:tc>
        <w:tc>
          <w:tcPr>
            <w:tcW w:w="1245"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c>
          <w:tcPr>
            <w:tcW w:w="1230" w:type="dxa"/>
            <w:shd w:val="clear" w:color="auto" w:fill="auto"/>
            <w:noWrap/>
            <w:vAlign w:val="center"/>
          </w:tcPr>
          <w:p>
            <w:pPr>
              <w:spacing w:after="0" w:line="240" w:lineRule="auto"/>
              <w:jc w:val="center"/>
              <w:rPr>
                <w:rFonts w:hint="eastAsia" w:ascii="华文细黑" w:hAnsi="华文细黑" w:eastAsia="华文细黑" w:cs="华文细黑"/>
                <w:color w:val="auto"/>
                <w:kern w:val="2"/>
                <w:sz w:val="21"/>
                <w:szCs w:val="21"/>
                <w:lang w:val="en-US" w:eastAsia="zh-CN"/>
              </w:rPr>
            </w:pPr>
          </w:p>
        </w:tc>
      </w:tr>
      <w:bookmarkEnd w:id="0"/>
    </w:tbl>
    <w:p>
      <w:pPr>
        <w:ind w:firstLine="840" w:firstLineChars="400"/>
      </w:pP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合同价格为</w:t>
      </w:r>
      <w:r>
        <w:rPr>
          <w:rFonts w:hint="eastAsia" w:ascii="华文细黑" w:hAnsi="华文细黑" w:eastAsia="华文细黑" w:cs="华文细黑"/>
          <w:color w:val="auto"/>
          <w:sz w:val="24"/>
          <w:szCs w:val="24"/>
          <w:lang w:val="en-US" w:eastAsia="zh-CN"/>
        </w:rPr>
        <w:t>货物</w:t>
      </w:r>
      <w:r>
        <w:rPr>
          <w:rFonts w:hint="eastAsia" w:ascii="华文细黑" w:hAnsi="华文细黑" w:eastAsia="华文细黑" w:cs="华文细黑"/>
          <w:color w:val="auto"/>
          <w:sz w:val="24"/>
          <w:szCs w:val="24"/>
        </w:rPr>
        <w:t>到达</w:t>
      </w:r>
      <w:r>
        <w:rPr>
          <w:rFonts w:hint="eastAsia" w:ascii="华文细黑" w:hAnsi="华文细黑" w:eastAsia="华文细黑" w:cs="华文细黑"/>
          <w:color w:val="auto"/>
          <w:sz w:val="24"/>
          <w:szCs w:val="24"/>
          <w:lang w:eastAsia="zh-CN"/>
        </w:rPr>
        <w:t>院方</w:t>
      </w:r>
      <w:r>
        <w:rPr>
          <w:rFonts w:hint="eastAsia" w:ascii="华文细黑" w:hAnsi="华文细黑" w:eastAsia="华文细黑" w:cs="华文细黑"/>
          <w:color w:val="auto"/>
          <w:sz w:val="24"/>
          <w:szCs w:val="24"/>
        </w:rPr>
        <w:t>指定地点</w:t>
      </w:r>
      <w:r>
        <w:rPr>
          <w:rFonts w:hint="eastAsia" w:ascii="华文细黑" w:hAnsi="华文细黑" w:eastAsia="华文细黑" w:cs="华文细黑"/>
          <w:color w:val="auto"/>
          <w:sz w:val="24"/>
          <w:szCs w:val="24"/>
          <w:lang w:eastAsia="zh-CN"/>
        </w:rPr>
        <w:t>，拆除</w:t>
      </w:r>
      <w:r>
        <w:rPr>
          <w:rFonts w:hint="eastAsia" w:ascii="华文细黑" w:hAnsi="华文细黑" w:eastAsia="华文细黑" w:cs="华文细黑"/>
          <w:color w:val="auto"/>
          <w:sz w:val="24"/>
          <w:szCs w:val="24"/>
          <w:lang w:val="en-US" w:eastAsia="zh-CN"/>
        </w:rPr>
        <w:t>原有区域内的</w:t>
      </w:r>
      <w:r>
        <w:rPr>
          <w:rFonts w:hint="eastAsia" w:ascii="华文细黑" w:hAnsi="华文细黑" w:eastAsia="华文细黑" w:cs="华文细黑"/>
          <w:color w:val="auto"/>
          <w:sz w:val="24"/>
          <w:szCs w:val="24"/>
          <w:lang w:eastAsia="zh-CN"/>
        </w:rPr>
        <w:t>旧</w:t>
      </w:r>
      <w:r>
        <w:rPr>
          <w:rFonts w:hint="eastAsia" w:ascii="华文细黑" w:hAnsi="华文细黑" w:eastAsia="华文细黑" w:cs="华文细黑"/>
          <w:color w:val="auto"/>
          <w:sz w:val="24"/>
          <w:szCs w:val="24"/>
          <w:lang w:val="en-US" w:eastAsia="zh-CN"/>
        </w:rPr>
        <w:t>空调风管，新的风管及机组的</w:t>
      </w:r>
      <w:r>
        <w:rPr>
          <w:rFonts w:hint="eastAsia" w:ascii="华文细黑" w:hAnsi="华文细黑" w:eastAsia="华文细黑" w:cs="华文细黑"/>
          <w:color w:val="auto"/>
          <w:sz w:val="24"/>
          <w:szCs w:val="24"/>
          <w:lang w:eastAsia="zh-CN"/>
        </w:rPr>
        <w:t>安装调试</w:t>
      </w:r>
      <w:r>
        <w:rPr>
          <w:rFonts w:hint="eastAsia" w:ascii="华文细黑" w:hAnsi="华文细黑" w:eastAsia="华文细黑" w:cs="华文细黑"/>
          <w:color w:val="auto"/>
          <w:sz w:val="24"/>
          <w:szCs w:val="24"/>
          <w:lang w:val="en-US" w:eastAsia="zh-CN"/>
        </w:rPr>
        <w:t>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含一切税费、货物费、运杂费、保险费、装卸落地费、保管费、备品备件专用工具、货物仓储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实行固定单价包干</w:t>
      </w:r>
      <w:r>
        <w:rPr>
          <w:rFonts w:hint="eastAsia" w:ascii="华文细黑" w:hAnsi="华文细黑" w:eastAsia="华文细黑" w:cs="华文细黑"/>
          <w:color w:val="auto"/>
          <w:sz w:val="24"/>
          <w:szCs w:val="24"/>
          <w:lang w:eastAsia="zh-CN"/>
        </w:rPr>
        <w:t>。</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因实际需要调整</w:t>
      </w:r>
      <w:r>
        <w:rPr>
          <w:rFonts w:hint="eastAsia" w:ascii="华文细黑" w:hAnsi="华文细黑" w:eastAsia="华文细黑" w:cs="华文细黑"/>
          <w:color w:val="auto"/>
          <w:sz w:val="24"/>
          <w:szCs w:val="24"/>
          <w:lang w:val="en-US" w:eastAsia="zh-CN"/>
        </w:rPr>
        <w:t>工程量</w:t>
      </w:r>
      <w:r>
        <w:rPr>
          <w:rFonts w:hint="eastAsia" w:ascii="华文细黑" w:hAnsi="华文细黑" w:eastAsia="华文细黑" w:cs="华文细黑"/>
          <w:color w:val="auto"/>
          <w:sz w:val="24"/>
          <w:szCs w:val="24"/>
        </w:rPr>
        <w:t>时，</w:t>
      </w:r>
      <w:r>
        <w:rPr>
          <w:rFonts w:hint="eastAsia" w:ascii="华文细黑" w:hAnsi="华文细黑" w:eastAsia="华文细黑" w:cs="华文细黑"/>
          <w:color w:val="auto"/>
          <w:sz w:val="24"/>
          <w:szCs w:val="24"/>
          <w:lang w:val="en-US" w:eastAsia="zh-CN"/>
        </w:rPr>
        <w:t>最终按实际工程量送审结算</w:t>
      </w:r>
      <w:r>
        <w:rPr>
          <w:rFonts w:hint="eastAsia" w:ascii="华文细黑" w:hAnsi="华文细黑" w:eastAsia="华文细黑" w:cs="华文细黑"/>
          <w:color w:val="auto"/>
          <w:sz w:val="24"/>
          <w:szCs w:val="24"/>
        </w:rPr>
        <w:t>。涉及采购变更，必须由</w:t>
      </w:r>
      <w:r>
        <w:rPr>
          <w:rFonts w:hint="eastAsia" w:ascii="华文细黑" w:hAnsi="华文细黑" w:eastAsia="华文细黑" w:cs="华文细黑"/>
          <w:color w:val="auto"/>
          <w:sz w:val="24"/>
          <w:szCs w:val="24"/>
          <w:lang w:val="en-US" w:eastAsia="zh-CN"/>
        </w:rPr>
        <w:t>院方</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4. 供应商应派遣有从事同类工作3年以上实践经验的技术人员进行空调机组、风管等拆除及安装工作，安装人员必须持有国家相关部分颁发的作业证等，持证上岗。施工人员必须服从院方的管理，在院区内所产生的一切人身安全责任和事故由供应商自行处理和负责，院方不承担责任。 </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空调机组、风管的连接及安装必须牢固、可靠，安装必须符合国家及行业相关标准，设备调试、运行正常。</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符合《中华人民共和国政府采购法》第二十二条规定条件；必须具备</w:t>
      </w:r>
      <w:r>
        <w:rPr>
          <w:rFonts w:hint="eastAsia" w:ascii="华文细黑" w:hAnsi="华文细黑" w:eastAsia="华文细黑" w:cs="华文细黑"/>
          <w:color w:val="auto"/>
          <w:sz w:val="24"/>
          <w:szCs w:val="24"/>
          <w:lang w:val="en-US" w:eastAsia="zh-CN"/>
        </w:rPr>
        <w:t>符合本项目招标需求</w:t>
      </w:r>
      <w:r>
        <w:rPr>
          <w:rFonts w:hint="eastAsia" w:ascii="华文细黑" w:hAnsi="华文细黑" w:eastAsia="华文细黑" w:cs="华文细黑"/>
          <w:color w:val="auto"/>
          <w:sz w:val="24"/>
          <w:szCs w:val="24"/>
        </w:rPr>
        <w:t>的经营资质</w:t>
      </w:r>
      <w:r>
        <w:rPr>
          <w:rFonts w:hint="eastAsia" w:ascii="华文细黑" w:hAnsi="华文细黑" w:eastAsia="华文细黑" w:cs="华文细黑"/>
          <w:color w:val="auto"/>
          <w:sz w:val="24"/>
          <w:szCs w:val="24"/>
          <w:lang w:val="en-US"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 响应文件分</w:t>
      </w:r>
      <w:r>
        <w:rPr>
          <w:rFonts w:hint="eastAsia" w:ascii="华文细黑" w:hAnsi="华文细黑" w:eastAsia="华文细黑" w:cs="华文细黑"/>
          <w:color w:val="auto"/>
          <w:sz w:val="24"/>
          <w:szCs w:val="24"/>
          <w:lang w:val="en-US" w:eastAsia="zh-CN"/>
        </w:rPr>
        <w:t>报价文件、</w:t>
      </w:r>
      <w:r>
        <w:rPr>
          <w:rFonts w:hint="eastAsia" w:ascii="华文细黑" w:hAnsi="华文细黑" w:eastAsia="华文细黑" w:cs="华文细黑"/>
          <w:color w:val="auto"/>
          <w:sz w:val="24"/>
          <w:szCs w:val="24"/>
        </w:rPr>
        <w:t>技术文件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可合订编制</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按本文件第二条第1款表格内所列内容报价；（2）采购到货</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商务文件至少应包括以下内容：证明其为合格供应商和所提供的为合格产品的有关资格证明文件，招标文件要求提供的其他资料等（均需加盖公章）：（1）法人授权委托书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）所有资质及认证文件；（</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技术文件至少应包括以下内容：针对本项目的技术和服务投标方案，招标文件要求提供的其他资料等（均需加盖公章）：（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）项目负责人简历表；（</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综合评标法，评分细则详见附件。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lang w:val="en-US" w:eastAsia="zh-CN"/>
        </w:rPr>
        <w:t>本次报价总价不得超过9.7万元，超过9.7万元作无效标处理。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院方在合同签订后向中标人支付合同总价的20%作为预付款，具体根据院方财务制度为准；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待工程竣工验收合格后，院方向中标人付至合同总价的80%，具体根据院方财务制度为准；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委托第三方进行审计，审价结果经中标人确认签字后，院方根据审计核定价，在收到尾款全额发票，扣留审计审定价的1.5%质量保证金后，付清余款，具体根据院方财务制度为准。施工水电费按照审计审定总价的7‰，在审计时扣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质量保证期满（质量保证期为贰年，从竣工验收合格之日算起），院方经再次验收，发现无质量问题，或有问题得到解决后，无息退还中标人质量保证金，具体根据院方财务制度为准；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★特别说明：由于本项目位于医院内，施工期间必须保证正常的医疗秩序，院方可能会根据医院实际运营的需要发暂停施工通知，中标人必须无条件遵守和执行，不得以此为由要求增加工程费用。</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23</w:t>
      </w:r>
      <w:r>
        <w:rPr>
          <w:rFonts w:hint="eastAsia" w:ascii="华文细黑" w:hAnsi="华文细黑" w:eastAsia="华文细黑" w:cs="华文细黑"/>
          <w:color w:val="auto"/>
          <w:sz w:val="24"/>
          <w:szCs w:val="24"/>
        </w:rPr>
        <w:t>日（</w:t>
      </w:r>
      <w:r>
        <w:rPr>
          <w:rFonts w:hint="eastAsia" w:ascii="华文细黑" w:hAnsi="华文细黑" w:eastAsia="华文细黑" w:cs="华文细黑"/>
          <w:color w:val="auto"/>
          <w:sz w:val="24"/>
          <w:szCs w:val="24"/>
          <w:lang w:val="en-US" w:eastAsia="zh-CN"/>
        </w:rPr>
        <w:t>周二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10</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2．开标时间</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23</w:t>
      </w:r>
      <w:r>
        <w:rPr>
          <w:rFonts w:hint="eastAsia" w:ascii="华文细黑" w:hAnsi="华文细黑" w:eastAsia="华文细黑" w:cs="华文细黑"/>
          <w:color w:val="auto"/>
          <w:sz w:val="24"/>
          <w:szCs w:val="24"/>
        </w:rPr>
        <w:t>日（</w:t>
      </w:r>
      <w:r>
        <w:rPr>
          <w:rFonts w:hint="eastAsia" w:ascii="华文细黑" w:hAnsi="华文细黑" w:eastAsia="华文细黑" w:cs="华文细黑"/>
          <w:color w:val="auto"/>
          <w:sz w:val="24"/>
          <w:szCs w:val="24"/>
          <w:lang w:val="en-US" w:eastAsia="zh-CN"/>
        </w:rPr>
        <w:t>周二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10</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采用快递方式递交投标文件，必须对投标文件进行密封并在密封处加盖公章，快递费用由投标单位自理，不接受到付件。邮寄地址：杭州市拱墅区半山东路1号浙江省肿瘤医院行政楼40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2020年6月16</w:t>
      </w:r>
      <w:bookmarkStart w:id="1" w:name="_GoBack"/>
      <w:bookmarkEnd w:id="1"/>
      <w:r>
        <w:rPr>
          <w:rFonts w:hint="eastAsia" w:ascii="华文细黑" w:hAnsi="华文细黑" w:eastAsia="华文细黑" w:cs="华文细黑"/>
          <w:color w:val="auto"/>
          <w:sz w:val="24"/>
          <w:szCs w:val="24"/>
          <w:lang w:val="en-US" w:eastAsia="zh-CN"/>
        </w:rPr>
        <w:t>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 w:val="24"/>
          <w:szCs w:val="24"/>
        </w:rPr>
      </w:pPr>
      <w:r>
        <w:rPr>
          <w:rFonts w:hint="eastAsia" w:ascii="华文中宋" w:hAnsi="华文中宋" w:eastAsia="华文中宋" w:cs="华文中宋"/>
          <w:b/>
          <w:sz w:val="24"/>
          <w:szCs w:val="24"/>
        </w:rPr>
        <w:t>附件：</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2.1</w:t>
      </w:r>
      <w:r>
        <w:rPr>
          <w:rFonts w:hint="eastAsia" w:ascii="华文中宋" w:hAnsi="华文中宋" w:eastAsia="华文中宋" w:cs="华文中宋"/>
          <w:b/>
          <w:bCs/>
          <w:szCs w:val="21"/>
          <w:lang w:val="en-US" w:eastAsia="zh-CN"/>
        </w:rPr>
        <w:t>报价</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40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满足招标文件要求且投标价格最低的投标报价为评标基准价，其价格分为满分。各个供应商的投标价与评标基准价相比，计算出投标报价得分。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投标报价得分=(评标基准价／投标报价)×</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0%×100</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注：以上评分保留小数2位。</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w:t>
      </w:r>
      <w:r>
        <w:rPr>
          <w:rFonts w:hint="eastAsia" w:ascii="华文中宋" w:hAnsi="华文中宋" w:eastAsia="华文中宋" w:cs="华文中宋"/>
          <w:b/>
          <w:bCs/>
          <w:szCs w:val="21"/>
          <w:lang w:val="en-US" w:eastAsia="zh-CN"/>
        </w:rPr>
        <w:t>3</w:t>
      </w:r>
      <w:r>
        <w:rPr>
          <w:rFonts w:hint="eastAsia" w:ascii="华文中宋" w:hAnsi="华文中宋" w:eastAsia="华文中宋" w:cs="华文中宋"/>
          <w:b/>
          <w:bCs/>
          <w:szCs w:val="21"/>
        </w:rPr>
        <w:t>技术</w:t>
      </w:r>
      <w:r>
        <w:rPr>
          <w:rFonts w:hint="eastAsia" w:ascii="华文中宋" w:hAnsi="华文中宋" w:eastAsia="华文中宋" w:cs="华文中宋"/>
          <w:b/>
          <w:bCs/>
          <w:szCs w:val="21"/>
          <w:lang w:val="en-US" w:eastAsia="zh-CN"/>
        </w:rPr>
        <w:t>资信</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60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numPr>
          <w:ilvl w:val="0"/>
          <w:numId w:val="2"/>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投标人自2017年1月1日以来（以合同签订时间为准）具有同类项目业绩，每个业绩得2分，加满为止。此项以合同复印件加盖公章作为业绩证明材料。（8分）</w:t>
      </w:r>
    </w:p>
    <w:p>
      <w:pPr>
        <w:keepNext w:val="0"/>
        <w:keepLines w:val="0"/>
        <w:pageBreakBefore w:val="0"/>
        <w:widowControl w:val="0"/>
        <w:numPr>
          <w:ilvl w:val="0"/>
          <w:numId w:val="2"/>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承诺在原有两年质保期基础上增加质保期1年加1分，2年加2分，最高得2分。（2分）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供货空调机组的产品品牌知名度及质量可靠性</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投标人的供货能力及供货包装运输保证</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针对医院的</w:t>
      </w:r>
      <w:r>
        <w:rPr>
          <w:rFonts w:hint="eastAsia" w:ascii="华文中宋" w:hAnsi="华文中宋" w:eastAsia="华文中宋" w:cs="华文中宋"/>
          <w:szCs w:val="21"/>
        </w:rPr>
        <w:t>施工方案及保证措施是否具有针对性、</w:t>
      </w:r>
      <w:r>
        <w:rPr>
          <w:rFonts w:hint="eastAsia" w:ascii="华文中宋" w:hAnsi="华文中宋" w:eastAsia="华文中宋" w:cs="华文中宋"/>
          <w:szCs w:val="21"/>
          <w:lang w:val="en-US" w:eastAsia="zh-CN"/>
        </w:rPr>
        <w:t>是否</w:t>
      </w:r>
      <w:r>
        <w:rPr>
          <w:rFonts w:hint="eastAsia" w:ascii="华文中宋" w:hAnsi="华文中宋" w:eastAsia="华文中宋" w:cs="华文中宋"/>
          <w:szCs w:val="21"/>
        </w:rPr>
        <w:t>科学合理（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）派驻现场的技术管理人员</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施工人员</w:t>
      </w:r>
      <w:r>
        <w:rPr>
          <w:rFonts w:hint="eastAsia" w:ascii="华文中宋" w:hAnsi="华文中宋" w:eastAsia="华文中宋" w:cs="华文中宋"/>
          <w:szCs w:val="21"/>
        </w:rPr>
        <w:t>的专业配置是否合理（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针对本项目的工期进度保证措施是否合理（10分）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8</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针对本项目的优惠条件及其它</w:t>
      </w:r>
      <w:r>
        <w:rPr>
          <w:rFonts w:hint="eastAsia" w:ascii="华文中宋" w:hAnsi="华文中宋" w:eastAsia="华文中宋" w:cs="华文中宋"/>
          <w:szCs w:val="21"/>
        </w:rPr>
        <w:t>承诺。（</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lang w:val="en-US" w:eastAsia="zh-CN"/>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2.2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2.3</w:t>
      </w:r>
      <w:r>
        <w:rPr>
          <w:rFonts w:hint="eastAsia" w:ascii="华文中宋" w:hAnsi="华文中宋" w:eastAsia="华文中宋" w:cs="华文中宋"/>
          <w:szCs w:val="21"/>
        </w:rPr>
        <w:t xml:space="preserve"> 项由各评标专家分别打分，各投标单位的最终评分值取各专家评分的平均值。</w:t>
      </w:r>
      <w:r>
        <w:rPr>
          <w:rFonts w:hint="eastAsia" w:ascii="华文中宋" w:hAnsi="华文中宋" w:eastAsia="华文中宋" w:cs="华文中宋"/>
          <w:szCs w:val="21"/>
          <w:lang w:val="en-US" w:eastAsia="zh-CN"/>
        </w:rPr>
        <w:t>报价分、技术分、商务分</w:t>
      </w:r>
      <w:r>
        <w:rPr>
          <w:rFonts w:hint="eastAsia" w:ascii="华文中宋" w:hAnsi="华文中宋" w:eastAsia="华文中宋" w:cs="华文中宋"/>
          <w:szCs w:val="21"/>
        </w:rPr>
        <w:t>得分相加后为各投标单位的总得分。总得分最高和次高的投标单位为第一、第二中标候选单位。总得分相同则按商务报价得分的高低顺序排名次，高的为第一中标候选人。</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1"/>
      </w:rPr>
    </w:pPr>
    <w:r>
      <w:fldChar w:fldCharType="begin"/>
    </w:r>
    <w:r>
      <w:rPr>
        <w:rStyle w:val="11"/>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1"/>
      </w:rPr>
      <w:instrText xml:space="preserve"> PAGE </w:instrText>
    </w:r>
    <w:r>
      <w:fldChar w:fldCharType="separate"/>
    </w:r>
    <w:r>
      <w:rPr>
        <w:rStyle w:val="11"/>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C4D7F"/>
    <w:multiLevelType w:val="singleLevel"/>
    <w:tmpl w:val="9EFC4D7F"/>
    <w:lvl w:ilvl="0" w:tentative="0">
      <w:start w:val="5"/>
      <w:numFmt w:val="decimal"/>
      <w:suff w:val="space"/>
      <w:lvlText w:val="%1."/>
      <w:lvlJc w:val="left"/>
    </w:lvl>
  </w:abstractNum>
  <w:abstractNum w:abstractNumId="1">
    <w:nsid w:val="C015C547"/>
    <w:multiLevelType w:val="singleLevel"/>
    <w:tmpl w:val="C015C54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22E527F"/>
    <w:rsid w:val="06401223"/>
    <w:rsid w:val="07C904D2"/>
    <w:rsid w:val="07CD72E2"/>
    <w:rsid w:val="08A94A13"/>
    <w:rsid w:val="096A41CA"/>
    <w:rsid w:val="09AC7B34"/>
    <w:rsid w:val="0AC9476D"/>
    <w:rsid w:val="0E424BB4"/>
    <w:rsid w:val="13AA5AD0"/>
    <w:rsid w:val="1DF07351"/>
    <w:rsid w:val="1E755027"/>
    <w:rsid w:val="21F1676A"/>
    <w:rsid w:val="221723E0"/>
    <w:rsid w:val="25F76C1E"/>
    <w:rsid w:val="26212EF7"/>
    <w:rsid w:val="27622B4F"/>
    <w:rsid w:val="27CF45C4"/>
    <w:rsid w:val="2AE65005"/>
    <w:rsid w:val="2BF96F6F"/>
    <w:rsid w:val="2D6B50D0"/>
    <w:rsid w:val="31E32748"/>
    <w:rsid w:val="347D0A86"/>
    <w:rsid w:val="353324D4"/>
    <w:rsid w:val="36477320"/>
    <w:rsid w:val="368339AB"/>
    <w:rsid w:val="370A30F9"/>
    <w:rsid w:val="38EF7149"/>
    <w:rsid w:val="38FC7F3D"/>
    <w:rsid w:val="3A140A17"/>
    <w:rsid w:val="3B5E66AF"/>
    <w:rsid w:val="3BF63F09"/>
    <w:rsid w:val="403D2FF3"/>
    <w:rsid w:val="40C07F15"/>
    <w:rsid w:val="464D3366"/>
    <w:rsid w:val="48730FDA"/>
    <w:rsid w:val="49D32A72"/>
    <w:rsid w:val="49D83158"/>
    <w:rsid w:val="4AAC6732"/>
    <w:rsid w:val="55433303"/>
    <w:rsid w:val="57A65A0D"/>
    <w:rsid w:val="57E906EE"/>
    <w:rsid w:val="58774EA9"/>
    <w:rsid w:val="60555B0C"/>
    <w:rsid w:val="64C17567"/>
    <w:rsid w:val="64D96C47"/>
    <w:rsid w:val="64EC31D0"/>
    <w:rsid w:val="66846EB0"/>
    <w:rsid w:val="67564F5E"/>
    <w:rsid w:val="67832C8C"/>
    <w:rsid w:val="69995803"/>
    <w:rsid w:val="6A350B0E"/>
    <w:rsid w:val="6BBB0499"/>
    <w:rsid w:val="6E8C65C5"/>
    <w:rsid w:val="72262380"/>
    <w:rsid w:val="72F25736"/>
    <w:rsid w:val="7B5F4326"/>
    <w:rsid w:val="7D161986"/>
    <w:rsid w:val="7F153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1">
    <w:name w:val="page number"/>
    <w:basedOn w:val="10"/>
    <w:qFormat/>
    <w:uiPriority w:val="0"/>
  </w:style>
  <w:style w:type="paragraph" w:customStyle="1" w:styleId="12">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2018-07-17T01:54:00Z</cp:lastPrinted>
  <dcterms:modified xsi:type="dcterms:W3CDTF">2020-06-16T06:42:38Z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