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color w:val="auto"/>
          <w:sz w:val="84"/>
          <w14:shadow w14:blurRad="50800" w14:dist="38100" w14:dir="2700000" w14:sx="100000" w14:sy="100000" w14:kx="0" w14:ky="0" w14:algn="tl">
            <w14:srgbClr w14:val="000000">
              <w14:alpha w14:val="60000"/>
            </w14:srgbClr>
          </w14:shadow>
        </w:rPr>
      </w:pPr>
      <w:r>
        <w:rPr>
          <w:rFonts w:hint="eastAsia" w:ascii="宋体" w:hAnsi="宋体" w:cs="宋体"/>
          <w:color w:val="auto"/>
          <w:sz w:val="84"/>
          <w14:shadow w14:blurRad="50800" w14:dist="38100" w14:dir="2700000" w14:sx="100000" w14:sy="100000" w14:kx="0" w14:ky="0" w14:algn="tl">
            <w14:srgbClr w14:val="000000">
              <w14:alpha w14:val="60000"/>
            </w14:srgbClr>
          </w14:shadow>
        </w:rPr>
        <w:t>招 标 文 件</w:t>
      </w:r>
    </w:p>
    <w:p>
      <w:pPr>
        <w:ind w:firstLine="600"/>
        <w:rPr>
          <w:rFonts w:ascii="宋体" w:hAnsi="宋体" w:cs="宋体"/>
          <w:sz w:val="32"/>
        </w:rPr>
      </w:pPr>
    </w:p>
    <w:p>
      <w:pPr>
        <w:ind w:firstLine="600"/>
        <w:rPr>
          <w:rFonts w:ascii="宋体" w:hAnsi="宋体" w:cs="宋体"/>
          <w:sz w:val="32"/>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rPr>
          <w:rFonts w:ascii="宋体" w:hAnsi="宋体" w:cs="宋体"/>
          <w:sz w:val="44"/>
          <w:szCs w:val="44"/>
          <w:u w:val="single"/>
          <w14:shadow w14:blurRad="50800" w14:dist="38100" w14:dir="2700000" w14:sx="100000" w14:sy="100000" w14:kx="0" w14:ky="0" w14:algn="tl">
            <w14:srgbClr w14:val="000000">
              <w14:alpha w14:val="60000"/>
            </w14:srgbClr>
          </w14:shadow>
        </w:rPr>
      </w:pPr>
    </w:p>
    <w:p>
      <w:pPr>
        <w:widowControl/>
        <w:spacing w:line="408" w:lineRule="atLeast"/>
        <w:ind w:firstLine="320"/>
        <w:jc w:val="center"/>
        <w:rPr>
          <w:rFonts w:cs="宋体" w:asciiTheme="majorEastAsia" w:hAnsiTheme="majorEastAsia" w:eastAsiaTheme="majorEastAsia"/>
          <w:b/>
          <w:bCs/>
          <w:color w:val="auto"/>
          <w:kern w:val="0"/>
          <w:sz w:val="44"/>
          <w:szCs w:val="44"/>
          <w:u w:val="single"/>
        </w:rPr>
      </w:pPr>
      <w:r>
        <w:rPr>
          <w:rFonts w:hint="eastAsia" w:cs="宋体" w:asciiTheme="majorEastAsia" w:hAnsiTheme="majorEastAsia" w:eastAsiaTheme="majorEastAsia"/>
          <w:b/>
          <w:bCs/>
          <w:color w:val="auto"/>
          <w:kern w:val="0"/>
          <w:sz w:val="44"/>
          <w:szCs w:val="44"/>
          <w:u w:val="single"/>
        </w:rPr>
        <w:t>浙江省肿瘤医院室外消防给水管网设计项目</w:t>
      </w:r>
    </w:p>
    <w:p>
      <w:pPr>
        <w:ind w:right="5525"/>
        <w:rPr>
          <w:rFonts w:ascii="宋体" w:hAnsi="宋体" w:cs="宋体"/>
          <w:color w:val="auto"/>
          <w:sz w:val="32"/>
          <w14:shadow w14:blurRad="50800" w14:dist="38100" w14:dir="2700000" w14:sx="100000" w14:sy="100000" w14:kx="0" w14:ky="0" w14:algn="tl">
            <w14:srgbClr w14:val="000000">
              <w14:alpha w14:val="60000"/>
            </w14:srgbClr>
          </w14:shadow>
        </w:rPr>
      </w:pPr>
    </w:p>
    <w:p>
      <w:pPr>
        <w:spacing w:before="240"/>
        <w:ind w:firstLine="600"/>
        <w:rPr>
          <w:rFonts w:ascii="宋体" w:hAnsi="宋体" w:cs="宋体"/>
          <w:color w:val="auto"/>
          <w14:shadow w14:blurRad="50800" w14:dist="38100" w14:dir="2700000" w14:sx="100000" w14:sy="100000" w14:kx="0" w14:ky="0" w14:algn="tl">
            <w14:srgbClr w14:val="000000">
              <w14:alpha w14:val="60000"/>
            </w14:srgbClr>
          </w14:shadow>
        </w:rPr>
      </w:pPr>
    </w:p>
    <w:p>
      <w:pPr>
        <w:spacing w:before="240"/>
        <w:ind w:firstLine="600"/>
        <w:rPr>
          <w:rFonts w:ascii="宋体" w:hAnsi="宋体" w:cs="宋体"/>
          <w:color w:val="auto"/>
          <w14:shadow w14:blurRad="50800" w14:dist="38100" w14:dir="2700000" w14:sx="100000" w14:sy="100000" w14:kx="0" w14:ky="0" w14:algn="tl">
            <w14:srgbClr w14:val="000000">
              <w14:alpha w14:val="60000"/>
            </w14:srgbClr>
          </w14:shadow>
        </w:rPr>
      </w:pPr>
    </w:p>
    <w:p>
      <w:pPr>
        <w:spacing w:before="240"/>
        <w:rPr>
          <w:rFonts w:ascii="宋体" w:hAnsi="宋体" w:cs="宋体"/>
          <w:color w:val="auto"/>
          <w14:shadow w14:blurRad="50800" w14:dist="38100" w14:dir="2700000" w14:sx="100000" w14:sy="100000" w14:kx="0" w14:ky="0" w14:algn="tl">
            <w14:srgbClr w14:val="000000">
              <w14:alpha w14:val="60000"/>
            </w14:srgbClr>
          </w14:shadow>
        </w:rPr>
      </w:pPr>
    </w:p>
    <w:p>
      <w:pPr>
        <w:spacing w:before="240"/>
        <w:ind w:firstLine="600"/>
        <w:rPr>
          <w:rFonts w:ascii="宋体" w:hAnsi="宋体" w:cs="宋体"/>
          <w:color w:val="auto"/>
          <w14:shadow w14:blurRad="50800" w14:dist="38100" w14:dir="2700000" w14:sx="100000" w14:sy="100000" w14:kx="0" w14:ky="0" w14:algn="tl">
            <w14:srgbClr w14:val="000000">
              <w14:alpha w14:val="60000"/>
            </w14:srgbClr>
          </w14:shadow>
        </w:rPr>
      </w:pPr>
    </w:p>
    <w:p>
      <w:pPr>
        <w:jc w:val="center"/>
        <w:rPr>
          <w:rFonts w:ascii="宋体" w:hAnsi="宋体" w:cs="宋体"/>
          <w:color w:val="auto"/>
          <w:sz w:val="32"/>
          <w14:shadow w14:blurRad="50800" w14:dist="38100" w14:dir="2700000" w14:sx="100000" w14:sy="100000" w14:kx="0" w14:ky="0" w14:algn="tl">
            <w14:srgbClr w14:val="000000">
              <w14:alpha w14:val="60000"/>
            </w14:srgbClr>
          </w14:shadow>
        </w:rPr>
      </w:pPr>
      <w:r>
        <w:rPr>
          <w:rFonts w:hint="eastAsia" w:ascii="宋体" w:hAnsi="宋体" w:cs="宋体"/>
          <w:color w:val="auto"/>
          <w:sz w:val="32"/>
          <w14:shadow w14:blurRad="50800" w14:dist="38100" w14:dir="2700000" w14:sx="100000" w14:sy="100000" w14:kx="0" w14:ky="0" w14:algn="tl">
            <w14:srgbClr w14:val="000000">
              <w14:alpha w14:val="60000"/>
            </w14:srgbClr>
          </w14:shadow>
        </w:rPr>
        <w:t>浙江省肿瘤医院</w:t>
      </w:r>
    </w:p>
    <w:p>
      <w:pPr>
        <w:jc w:val="center"/>
        <w:rPr>
          <w:rFonts w:ascii="宋体" w:hAnsi="宋体" w:cs="宋体"/>
          <w:color w:val="auto"/>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cs="宋体"/>
          <w:color w:val="auto"/>
          <w:sz w:val="32"/>
          <w14:shadow w14:blurRad="50800" w14:dist="38100" w14:dir="2700000" w14:sx="100000" w14:sy="100000" w14:kx="0" w14:ky="0" w14:algn="tl">
            <w14:srgbClr w14:val="000000">
              <w14:alpha w14:val="60000"/>
            </w14:srgbClr>
          </w14:shadow>
        </w:rPr>
        <w:t>二○二○年伍月</w:t>
      </w:r>
    </w:p>
    <w:p>
      <w:pPr>
        <w:widowControl/>
        <w:spacing w:line="408" w:lineRule="atLeast"/>
        <w:ind w:firstLine="320"/>
        <w:jc w:val="center"/>
        <w:rPr>
          <w:rFonts w:cs="宋体" w:asciiTheme="majorEastAsia" w:hAnsiTheme="majorEastAsia" w:eastAsiaTheme="majorEastAsia"/>
          <w:b/>
          <w:bCs/>
          <w:color w:val="auto"/>
          <w:kern w:val="0"/>
          <w:sz w:val="36"/>
          <w:szCs w:val="36"/>
        </w:rPr>
      </w:pPr>
      <w:bookmarkStart w:id="0" w:name="_GoBack"/>
      <w:r>
        <w:rPr>
          <w:rFonts w:hint="eastAsia" w:cs="宋体" w:asciiTheme="majorEastAsia" w:hAnsiTheme="majorEastAsia" w:eastAsiaTheme="majorEastAsia"/>
          <w:b/>
          <w:bCs/>
          <w:color w:val="auto"/>
          <w:kern w:val="0"/>
          <w:sz w:val="36"/>
          <w:szCs w:val="36"/>
        </w:rPr>
        <w:t>浙江省肿瘤医院室外消防给水管网设计项目</w:t>
      </w:r>
    </w:p>
    <w:bookmarkEnd w:id="0"/>
    <w:p>
      <w:pPr>
        <w:keepNext w:val="0"/>
        <w:keepLines w:val="0"/>
        <w:pageBreakBefore w:val="0"/>
        <w:widowControl/>
        <w:kinsoku/>
        <w:wordWrap/>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我院拟采取公开招标议价谈判方式，完成浙江省肿瘤医院室外消防给水管网设计项目招标，特此将有关事项公告如下：</w:t>
      </w:r>
    </w:p>
    <w:p>
      <w:pPr>
        <w:keepNext w:val="0"/>
        <w:keepLines w:val="0"/>
        <w:pageBreakBefore w:val="0"/>
        <w:widowControl/>
        <w:kinsoku/>
        <w:wordWrap/>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一、项目概况和质量保证</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 项目名称：浙江省肿瘤医院室外消防给水管网设计项目。</w:t>
      </w:r>
    </w:p>
    <w:p>
      <w:pPr>
        <w:keepNext w:val="0"/>
        <w:keepLines w:val="0"/>
        <w:pageBreakBefore w:val="0"/>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2. 项目概况：现总用地面积为5.5万㎡（不含行政楼），现有总建筑面积为14.45万㎡，核定床位1500张，实际开放床位1982张。</w:t>
      </w:r>
    </w:p>
    <w:p>
      <w:pPr>
        <w:keepNext w:val="0"/>
        <w:keepLines w:val="0"/>
        <w:pageBreakBefore w:val="0"/>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sz w:val="24"/>
          <w:szCs w:val="24"/>
        </w:rPr>
        <w:t>医院总体规划情况介绍：</w:t>
      </w:r>
    </w:p>
    <w:p>
      <w:pPr>
        <w:keepNext w:val="0"/>
        <w:keepLines w:val="0"/>
        <w:pageBreakBefore w:val="0"/>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一期：医学</w:t>
      </w:r>
      <w:r>
        <w:rPr>
          <w:rFonts w:hint="eastAsia" w:cs="宋体" w:asciiTheme="majorEastAsia" w:hAnsiTheme="majorEastAsia" w:eastAsiaTheme="majorEastAsia"/>
          <w:color w:val="auto"/>
          <w:kern w:val="0"/>
          <w:sz w:val="24"/>
          <w:szCs w:val="24"/>
          <w:lang w:val="en-US" w:eastAsia="zh-CN"/>
        </w:rPr>
        <w:t>中心</w:t>
      </w:r>
      <w:r>
        <w:rPr>
          <w:rFonts w:hint="eastAsia" w:cs="宋体" w:asciiTheme="majorEastAsia" w:hAnsiTheme="majorEastAsia" w:eastAsiaTheme="majorEastAsia"/>
          <w:color w:val="auto"/>
          <w:kern w:val="0"/>
          <w:sz w:val="24"/>
          <w:szCs w:val="24"/>
        </w:rPr>
        <w:t>大楼：拟建于院区东南侧地块，地上部分2层（局部3层），地下1层（含1层夹层），总建筑面积1.4万㎡，地上7600㎡；科教大楼：拟建于院区西北部地块，地上12层，地下3层，总建筑面积2.87万㎡，地上2.03万㎡。</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二期：门诊医技大楼：拟建于立体车库和门诊公园区块，地上最高10层，地下3层，总建筑面积4.2万㎡，地上2.5万㎡。</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三期：外科病房大楼：拟建于现有8号楼和9号楼周边，地上最高12层，地下3层，总建筑面积9.3万㎡，地上6.1万㎡；综合保障大楼：现有13号楼拆除重建，新建大楼地上4层，地下3层，总建筑面积9600㎡，地上6000㎡。</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三期规划建成后，医院总用地面积为6.5万㎡（不含行政楼），总建筑面积为26.8万㎡，容积率为2.9，绿地率为30％，建筑密度为45％。按90㎡/床的标准配备，床位数可达2978张：</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3. 改造范围：院区范围内室外消火栓系统，室内消火栓、自动喷水灭火系统的室外管网提升改造；</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4. 质量保证：必须符合《综合医院建设标准》建标110-2008、《综合医院建筑设计规范》</w:t>
      </w:r>
      <w:r>
        <w:rPr>
          <w:rFonts w:cs="宋体" w:asciiTheme="majorEastAsia" w:hAnsiTheme="majorEastAsia" w:eastAsiaTheme="majorEastAsia"/>
          <w:color w:val="auto"/>
          <w:kern w:val="0"/>
          <w:sz w:val="24"/>
          <w:szCs w:val="24"/>
        </w:rPr>
        <w:t>51039-2014</w:t>
      </w:r>
      <w:r>
        <w:rPr>
          <w:rFonts w:hint="eastAsia" w:cs="宋体" w:asciiTheme="majorEastAsia" w:hAnsiTheme="majorEastAsia" w:eastAsiaTheme="majorEastAsia"/>
          <w:color w:val="auto"/>
          <w:kern w:val="0"/>
          <w:sz w:val="24"/>
          <w:szCs w:val="24"/>
        </w:rPr>
        <w:t>、《建筑设计防火规范》GB50016-20</w:t>
      </w:r>
      <w:r>
        <w:rPr>
          <w:rFonts w:cs="宋体" w:asciiTheme="majorEastAsia" w:hAnsiTheme="majorEastAsia" w:eastAsiaTheme="majorEastAsia"/>
          <w:color w:val="auto"/>
          <w:kern w:val="0"/>
          <w:sz w:val="24"/>
          <w:szCs w:val="24"/>
        </w:rPr>
        <w:t>14</w:t>
      </w:r>
      <w:r>
        <w:rPr>
          <w:rFonts w:hint="eastAsia" w:cs="宋体" w:asciiTheme="majorEastAsia" w:hAnsiTheme="majorEastAsia" w:eastAsiaTheme="majorEastAsia"/>
          <w:color w:val="auto"/>
          <w:kern w:val="0"/>
          <w:sz w:val="24"/>
          <w:szCs w:val="24"/>
        </w:rPr>
        <w:t>、《消防给水及消火栓系统技术规范》GB50</w:t>
      </w:r>
      <w:r>
        <w:rPr>
          <w:rFonts w:cs="宋体" w:asciiTheme="majorEastAsia" w:hAnsiTheme="majorEastAsia" w:eastAsiaTheme="majorEastAsia"/>
          <w:color w:val="auto"/>
          <w:kern w:val="0"/>
          <w:sz w:val="24"/>
          <w:szCs w:val="24"/>
        </w:rPr>
        <w:t>974</w:t>
      </w:r>
      <w:r>
        <w:rPr>
          <w:rFonts w:hint="eastAsia" w:cs="宋体" w:asciiTheme="majorEastAsia" w:hAnsiTheme="majorEastAsia" w:eastAsiaTheme="majorEastAsia"/>
          <w:color w:val="auto"/>
          <w:kern w:val="0"/>
          <w:sz w:val="24"/>
          <w:szCs w:val="24"/>
        </w:rPr>
        <w:t>-20</w:t>
      </w:r>
      <w:r>
        <w:rPr>
          <w:rFonts w:cs="宋体" w:asciiTheme="majorEastAsia" w:hAnsiTheme="majorEastAsia" w:eastAsiaTheme="majorEastAsia"/>
          <w:color w:val="auto"/>
          <w:kern w:val="0"/>
          <w:sz w:val="24"/>
          <w:szCs w:val="24"/>
        </w:rPr>
        <w:t>14</w:t>
      </w:r>
      <w:r>
        <w:rPr>
          <w:rFonts w:hint="eastAsia" w:cs="宋体" w:asciiTheme="majorEastAsia" w:hAnsiTheme="majorEastAsia" w:eastAsiaTheme="majorEastAsia"/>
          <w:color w:val="auto"/>
          <w:kern w:val="0"/>
          <w:sz w:val="24"/>
          <w:szCs w:val="24"/>
        </w:rPr>
        <w:t>等国家相关规范设计要求，管道布置、走向和接口预留要考虑医院总体规划的需要。</w:t>
      </w:r>
    </w:p>
    <w:p>
      <w:pPr>
        <w:pStyle w:val="2"/>
      </w:pPr>
    </w:p>
    <w:p>
      <w:pPr>
        <w:keepNext w:val="0"/>
        <w:keepLines w:val="0"/>
        <w:pageBreakBefore w:val="0"/>
        <w:widowControl/>
        <w:kinsoku/>
        <w:wordWrap/>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二、服务内容</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 浙江省肿瘤医院室外消防给水管网设计项目，初步设计、施工图设计（含8套纸质图纸）、设计调整、设备设施选型配合、施工图会审、施工配合、竣工图绘制配合、验收配合和工程期间的其他相关服务等内容。</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2. 设计费总价包干，方案未经院方确认前，方案调整不二次计价。</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3. 项目设计负责人在项目过程中必须全程参与，标前交流、应标、方案设计、图纸深化、施工、验收等过程，不得随意安排他人替代。</w:t>
      </w:r>
    </w:p>
    <w:p>
      <w:pPr>
        <w:keepNext w:val="0"/>
        <w:keepLines w:val="0"/>
        <w:pageBreakBefore w:val="0"/>
        <w:widowControl/>
        <w:kinsoku/>
        <w:wordWrap/>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4. 设计周期要求</w:t>
      </w:r>
    </w:p>
    <w:tbl>
      <w:tblPr>
        <w:tblStyle w:val="10"/>
        <w:tblW w:w="8522" w:type="dxa"/>
        <w:jc w:val="center"/>
        <w:tblCellSpacing w:w="0" w:type="dxa"/>
        <w:tblLayout w:type="autofit"/>
        <w:tblCellMar>
          <w:top w:w="15" w:type="dxa"/>
          <w:left w:w="15" w:type="dxa"/>
          <w:bottom w:w="15" w:type="dxa"/>
          <w:right w:w="15" w:type="dxa"/>
        </w:tblCellMar>
      </w:tblPr>
      <w:tblGrid>
        <w:gridCol w:w="2840"/>
        <w:gridCol w:w="2841"/>
        <w:gridCol w:w="2841"/>
      </w:tblGrid>
      <w:tr>
        <w:tblPrEx>
          <w:tblCellMar>
            <w:top w:w="15" w:type="dxa"/>
            <w:left w:w="15" w:type="dxa"/>
            <w:bottom w:w="15" w:type="dxa"/>
            <w:right w:w="15" w:type="dxa"/>
          </w:tblCellMar>
        </w:tblPrEx>
        <w:trPr>
          <w:tblCellSpacing w:w="0" w:type="dxa"/>
          <w:jc w:val="center"/>
        </w:trPr>
        <w:tc>
          <w:tcPr>
            <w:tcW w:w="2840"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序号</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内容</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设计周期</w:t>
            </w:r>
          </w:p>
        </w:tc>
      </w:tr>
      <w:tr>
        <w:tblPrEx>
          <w:tblCellMar>
            <w:top w:w="15" w:type="dxa"/>
            <w:left w:w="15" w:type="dxa"/>
            <w:bottom w:w="15" w:type="dxa"/>
            <w:right w:w="15" w:type="dxa"/>
          </w:tblCellMar>
        </w:tblPrEx>
        <w:trPr>
          <w:tblCellSpacing w:w="0" w:type="dxa"/>
          <w:jc w:val="center"/>
        </w:trPr>
        <w:tc>
          <w:tcPr>
            <w:tcW w:w="2840"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1</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初步设计</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7天</w:t>
            </w:r>
          </w:p>
        </w:tc>
      </w:tr>
      <w:tr>
        <w:tblPrEx>
          <w:tblCellMar>
            <w:top w:w="15" w:type="dxa"/>
            <w:left w:w="15" w:type="dxa"/>
            <w:bottom w:w="15" w:type="dxa"/>
            <w:right w:w="15" w:type="dxa"/>
          </w:tblCellMar>
        </w:tblPrEx>
        <w:trPr>
          <w:tblCellSpacing w:w="0" w:type="dxa"/>
          <w:jc w:val="center"/>
        </w:trPr>
        <w:tc>
          <w:tcPr>
            <w:tcW w:w="2840"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2</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施工图设计</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14天</w:t>
            </w:r>
          </w:p>
        </w:tc>
      </w:tr>
      <w:tr>
        <w:tblPrEx>
          <w:tblCellMar>
            <w:top w:w="15" w:type="dxa"/>
            <w:left w:w="15" w:type="dxa"/>
            <w:bottom w:w="15" w:type="dxa"/>
            <w:right w:w="15" w:type="dxa"/>
          </w:tblCellMar>
        </w:tblPrEx>
        <w:trPr>
          <w:tblCellSpacing w:w="0" w:type="dxa"/>
          <w:jc w:val="center"/>
        </w:trPr>
        <w:tc>
          <w:tcPr>
            <w:tcW w:w="2840"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3</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总设计天数</w:t>
            </w:r>
          </w:p>
        </w:tc>
        <w:tc>
          <w:tcPr>
            <w:tcW w:w="2841" w:type="dxa"/>
            <w:tcBorders>
              <w:top w:val="single" w:color="auto" w:sz="8" w:space="0"/>
              <w:left w:val="single" w:color="auto" w:sz="8" w:space="0"/>
              <w:bottom w:val="single" w:color="auto" w:sz="8" w:space="0"/>
              <w:right w:val="single" w:color="auto" w:sz="8" w:space="0"/>
            </w:tcBorders>
            <w:vAlign w:val="center"/>
          </w:tcPr>
          <w:p>
            <w:pPr>
              <w:widowControl/>
              <w:spacing w:line="380" w:lineRule="atLeas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21</w:t>
            </w:r>
            <w:r>
              <w:rPr>
                <w:rFonts w:hint="eastAsia" w:cs="宋体" w:asciiTheme="majorEastAsia" w:hAnsiTheme="majorEastAsia" w:eastAsiaTheme="majorEastAsia"/>
                <w:color w:val="auto"/>
                <w:kern w:val="0"/>
                <w:sz w:val="24"/>
                <w:szCs w:val="24"/>
              </w:rPr>
              <w:t>天</w:t>
            </w:r>
          </w:p>
        </w:tc>
      </w:tr>
    </w:tbl>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三、供应商资格条件</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 符合《中华人民共和国政府采购法》第二十二条规定条件，必须具备本次招标服务的经营资质；</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2. 近三年内有从事类似项目经营的业绩；</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3. 具有工程设计建筑行业（建筑工程）乙级及以上资质；</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4. 拟派项目总设计师具有给排水专业高级职称；</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5. 本项目不接受联合体投标</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四、响应文件编制要求</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 响应文件分报价文件、技术文件、商务文件，不得少于叁份</w:t>
      </w:r>
      <w:r>
        <w:rPr>
          <w:rFonts w:hint="eastAsia" w:cs="宋体" w:asciiTheme="majorEastAsia" w:hAnsiTheme="majorEastAsia" w:eastAsiaTheme="majorEastAsia"/>
          <w:color w:val="auto"/>
          <w:kern w:val="0"/>
          <w:sz w:val="24"/>
          <w:szCs w:val="24"/>
          <w:lang w:eastAsia="zh-CN"/>
        </w:rPr>
        <w:t>（</w:t>
      </w:r>
      <w:r>
        <w:rPr>
          <w:rFonts w:hint="eastAsia" w:cs="宋体" w:asciiTheme="majorEastAsia" w:hAnsiTheme="majorEastAsia" w:eastAsiaTheme="majorEastAsia"/>
          <w:color w:val="auto"/>
          <w:kern w:val="0"/>
          <w:sz w:val="24"/>
          <w:szCs w:val="24"/>
          <w:lang w:val="en-US" w:eastAsia="zh-CN"/>
        </w:rPr>
        <w:t>可合并装订</w:t>
      </w:r>
      <w:r>
        <w:rPr>
          <w:rFonts w:hint="eastAsia" w:cs="宋体" w:asciiTheme="majorEastAsia" w:hAnsiTheme="majorEastAsia" w:eastAsiaTheme="majorEastAsia"/>
          <w:color w:val="auto"/>
          <w:kern w:val="0"/>
          <w:sz w:val="24"/>
          <w:szCs w:val="24"/>
          <w:lang w:eastAsia="zh-CN"/>
        </w:rPr>
        <w:t>）</w:t>
      </w:r>
      <w:r>
        <w:rPr>
          <w:rFonts w:hint="eastAsia" w:cs="宋体" w:asciiTheme="majorEastAsia" w:hAnsiTheme="majorEastAsia" w:eastAsiaTheme="majorEastAsia"/>
          <w:color w:val="auto"/>
          <w:kern w:val="0"/>
          <w:sz w:val="24"/>
          <w:szCs w:val="24"/>
        </w:rPr>
        <w:t>。</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2. 报价文件至少应包括以下内容（均需加盖公章）：（1）按本文件内所列</w:t>
      </w:r>
      <w:r>
        <w:rPr>
          <w:rFonts w:hint="eastAsia" w:cs="宋体" w:asciiTheme="majorEastAsia" w:hAnsiTheme="majorEastAsia" w:eastAsiaTheme="majorEastAsia"/>
          <w:color w:val="auto"/>
          <w:kern w:val="0"/>
          <w:sz w:val="24"/>
          <w:szCs w:val="24"/>
          <w:lang w:val="en-US" w:eastAsia="zh-CN"/>
        </w:rPr>
        <w:t>采购</w:t>
      </w:r>
      <w:r>
        <w:rPr>
          <w:rFonts w:hint="eastAsia" w:cs="宋体" w:asciiTheme="majorEastAsia" w:hAnsiTheme="majorEastAsia" w:eastAsiaTheme="majorEastAsia"/>
          <w:color w:val="auto"/>
          <w:kern w:val="0"/>
          <w:sz w:val="24"/>
          <w:szCs w:val="24"/>
        </w:rPr>
        <w:t>内容报价；（2）响应周期及相应优惠条件等；（3）中标方需要说明的其他报价说明。</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五、评标办法</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本次招标采用综合评标法，详见附件2。</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六、报价要求</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本次报价总价不得超过9.</w:t>
      </w:r>
      <w:r>
        <w:rPr>
          <w:rFonts w:cs="宋体" w:asciiTheme="majorEastAsia" w:hAnsiTheme="majorEastAsia" w:eastAsiaTheme="majorEastAsia"/>
          <w:color w:val="auto"/>
          <w:kern w:val="0"/>
          <w:sz w:val="24"/>
          <w:szCs w:val="24"/>
        </w:rPr>
        <w:t>9</w:t>
      </w:r>
      <w:r>
        <w:rPr>
          <w:rFonts w:hint="eastAsia" w:cs="宋体" w:asciiTheme="majorEastAsia" w:hAnsiTheme="majorEastAsia" w:eastAsiaTheme="majorEastAsia"/>
          <w:color w:val="auto"/>
          <w:kern w:val="0"/>
          <w:sz w:val="24"/>
          <w:szCs w:val="24"/>
        </w:rPr>
        <w:t>万元，超过9.</w:t>
      </w:r>
      <w:r>
        <w:rPr>
          <w:rFonts w:cs="宋体" w:asciiTheme="majorEastAsia" w:hAnsiTheme="majorEastAsia" w:eastAsiaTheme="majorEastAsia"/>
          <w:color w:val="auto"/>
          <w:kern w:val="0"/>
          <w:sz w:val="24"/>
          <w:szCs w:val="24"/>
        </w:rPr>
        <w:t>9</w:t>
      </w:r>
      <w:r>
        <w:rPr>
          <w:rFonts w:hint="eastAsia" w:cs="宋体" w:asciiTheme="majorEastAsia" w:hAnsiTheme="majorEastAsia" w:eastAsiaTheme="majorEastAsia"/>
          <w:color w:val="auto"/>
          <w:kern w:val="0"/>
          <w:sz w:val="24"/>
          <w:szCs w:val="24"/>
        </w:rPr>
        <w:t>万元作无效标处理。</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七、合同签订</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 中标人须</w:t>
      </w:r>
      <w:r>
        <w:rPr>
          <w:rFonts w:hint="eastAsia" w:cs="宋体" w:asciiTheme="majorEastAsia" w:hAnsiTheme="majorEastAsia" w:eastAsiaTheme="majorEastAsia"/>
          <w:color w:val="auto"/>
          <w:kern w:val="0"/>
          <w:sz w:val="24"/>
          <w:szCs w:val="24"/>
          <w:lang w:val="en-US" w:eastAsia="zh-CN"/>
        </w:rPr>
        <w:t>按我院要求时间内签订</w:t>
      </w:r>
      <w:r>
        <w:rPr>
          <w:rFonts w:hint="eastAsia" w:cs="宋体" w:asciiTheme="majorEastAsia" w:hAnsiTheme="majorEastAsia" w:eastAsiaTheme="majorEastAsia"/>
          <w:color w:val="auto"/>
          <w:kern w:val="0"/>
          <w:sz w:val="24"/>
          <w:szCs w:val="24"/>
        </w:rPr>
        <w:t>采购合同，否则，将视为自动放弃本项目的所有权利，取消中标资格。</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2. 合同签订前，我院将对合同内容进行审查，如发现与采购结果和投标承诺内容不一致的，取消中标资格。</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3. 中标人若拖延、拒签合同的,将取消中标资格。</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八、付款方式</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 按合同约定付款，付款以转账支票形式支付。</w:t>
      </w:r>
    </w:p>
    <w:p>
      <w:pPr>
        <w:keepNext w:val="0"/>
        <w:keepLines w:val="0"/>
        <w:pageBreakBefore w:val="0"/>
        <w:widowControl/>
        <w:kinsoku/>
        <w:overflowPunct/>
        <w:topLinePunct w:val="0"/>
        <w:autoSpaceDE/>
        <w:autoSpaceDN/>
        <w:bidi w:val="0"/>
        <w:adjustRightInd/>
        <w:snapToGrid/>
        <w:spacing w:line="480" w:lineRule="atLeast"/>
        <w:ind w:firstLine="380"/>
        <w:textAlignment w:val="auto"/>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b/>
          <w:bCs/>
          <w:color w:val="auto"/>
          <w:kern w:val="0"/>
          <w:sz w:val="24"/>
          <w:szCs w:val="24"/>
        </w:rPr>
        <w:t>九、投标截止时间、开标时间及地点</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 递交投标文件截止时间：2020年6月4日（周四）</w:t>
      </w:r>
      <w:r>
        <w:rPr>
          <w:rFonts w:hint="eastAsia" w:cs="宋体" w:asciiTheme="majorEastAsia" w:hAnsiTheme="majorEastAsia" w:eastAsiaTheme="majorEastAsia"/>
          <w:color w:val="auto"/>
          <w:kern w:val="0"/>
          <w:sz w:val="24"/>
          <w:szCs w:val="24"/>
          <w:lang w:val="en-US" w:eastAsia="zh-CN"/>
        </w:rPr>
        <w:t>9：00</w:t>
      </w:r>
      <w:r>
        <w:rPr>
          <w:rFonts w:hint="eastAsia" w:cs="宋体" w:asciiTheme="majorEastAsia" w:hAnsiTheme="majorEastAsia" w:eastAsiaTheme="majorEastAsia"/>
          <w:color w:val="auto"/>
          <w:kern w:val="0"/>
          <w:sz w:val="24"/>
          <w:szCs w:val="24"/>
        </w:rPr>
        <w:t>，逾期不再接受任何形式的报名。</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hint="default" w:cs="宋体" w:asciiTheme="majorEastAsia" w:hAnsiTheme="majorEastAsia" w:eastAsiaTheme="majorEastAsia"/>
          <w:color w:val="auto"/>
          <w:kern w:val="0"/>
          <w:sz w:val="24"/>
          <w:szCs w:val="24"/>
          <w:lang w:val="en-US" w:eastAsia="zh-CN"/>
        </w:rPr>
      </w:pPr>
      <w:r>
        <w:rPr>
          <w:rFonts w:hint="eastAsia" w:cs="宋体" w:asciiTheme="majorEastAsia" w:hAnsiTheme="majorEastAsia" w:eastAsiaTheme="majorEastAsia"/>
          <w:color w:val="auto"/>
          <w:kern w:val="0"/>
          <w:sz w:val="24"/>
          <w:szCs w:val="24"/>
        </w:rPr>
        <w:t>2．开标时间：2020年6月4日（周四）</w:t>
      </w:r>
      <w:r>
        <w:rPr>
          <w:rFonts w:hint="eastAsia" w:cs="宋体" w:asciiTheme="majorEastAsia" w:hAnsiTheme="majorEastAsia" w:eastAsiaTheme="majorEastAsia"/>
          <w:color w:val="auto"/>
          <w:kern w:val="0"/>
          <w:sz w:val="24"/>
          <w:szCs w:val="24"/>
          <w:lang w:val="en-US" w:eastAsia="zh-CN"/>
        </w:rPr>
        <w:t>9：00</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3．投标地点：浙江省肿瘤医院行政楼106室</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4. 开标地点：浙江省肿瘤医院行政楼415室</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5. 采用快递方式递交投标文件，必须对投标文件进行密封并在密封处加盖公章，快递费用由投标单位自理，不接受到付件。邮寄地址：杭州市拱墅区半山东路1号浙江省肿瘤医院行政楼106室。</w:t>
      </w:r>
    </w:p>
    <w:p>
      <w:pPr>
        <w:pStyle w:val="5"/>
        <w:keepNext w:val="0"/>
        <w:keepLines w:val="0"/>
        <w:pageBreakBefore w:val="0"/>
        <w:tabs>
          <w:tab w:val="left" w:pos="0"/>
        </w:tabs>
        <w:kinsoku/>
        <w:wordWrap w:val="0"/>
        <w:overflowPunct/>
        <w:topLinePunct w:val="0"/>
        <w:autoSpaceDE/>
        <w:autoSpaceDN/>
        <w:bidi w:val="0"/>
        <w:adjustRightInd/>
        <w:snapToGrid/>
        <w:spacing w:after="0" w:line="480" w:lineRule="atLeast"/>
        <w:ind w:left="0" w:leftChars="0" w:firstLine="480" w:firstLineChars="200"/>
        <w:textAlignment w:val="auto"/>
        <w:rPr>
          <w:rFonts w:ascii="华文细黑" w:hAnsi="华文细黑" w:eastAsia="华文细黑" w:cs="华文细黑"/>
          <w:color w:val="auto"/>
          <w:sz w:val="24"/>
          <w:szCs w:val="24"/>
        </w:rPr>
      </w:pP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 xml:space="preserve">                                               </w:t>
      </w:r>
      <w:r>
        <w:rPr>
          <w:rFonts w:hint="eastAsia" w:cs="宋体" w:asciiTheme="majorEastAsia" w:hAnsiTheme="majorEastAsia" w:eastAsiaTheme="majorEastAsia"/>
          <w:color w:val="auto"/>
          <w:kern w:val="0"/>
          <w:sz w:val="24"/>
          <w:szCs w:val="24"/>
          <w:lang w:val="en-US" w:eastAsia="zh-CN"/>
        </w:rPr>
        <w:t xml:space="preserve"> </w:t>
      </w:r>
      <w:r>
        <w:rPr>
          <w:rFonts w:hint="eastAsia" w:cs="宋体" w:asciiTheme="majorEastAsia" w:hAnsiTheme="majorEastAsia" w:eastAsiaTheme="majorEastAsia"/>
          <w:color w:val="auto"/>
          <w:kern w:val="0"/>
          <w:sz w:val="24"/>
          <w:szCs w:val="24"/>
        </w:rPr>
        <w:t xml:space="preserve">浙江省肿瘤医院    </w:t>
      </w:r>
    </w:p>
    <w:p>
      <w:pPr>
        <w:keepNext w:val="0"/>
        <w:keepLines w:val="0"/>
        <w:pageBreakBefore w:val="0"/>
        <w:widowControl/>
        <w:kinsoku/>
        <w:overflowPunct/>
        <w:topLinePunct w:val="0"/>
        <w:autoSpaceDE/>
        <w:autoSpaceDN/>
        <w:bidi w:val="0"/>
        <w:adjustRightInd/>
        <w:snapToGrid/>
        <w:spacing w:line="480" w:lineRule="atLeast"/>
        <w:ind w:firstLine="480"/>
        <w:textAlignment w:val="auto"/>
        <w:rPr>
          <w:rFonts w:hint="eastAsia"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 xml:space="preserve">                                                2020年5月2</w:t>
      </w:r>
      <w:r>
        <w:rPr>
          <w:rFonts w:hint="eastAsia" w:cs="宋体" w:asciiTheme="majorEastAsia" w:hAnsiTheme="majorEastAsia" w:eastAsiaTheme="majorEastAsia"/>
          <w:color w:val="auto"/>
          <w:kern w:val="0"/>
          <w:sz w:val="24"/>
          <w:szCs w:val="24"/>
          <w:lang w:val="en-US" w:eastAsia="zh-CN"/>
        </w:rPr>
        <w:t>6</w:t>
      </w:r>
      <w:r>
        <w:rPr>
          <w:rFonts w:hint="eastAsia" w:cs="宋体" w:asciiTheme="majorEastAsia" w:hAnsiTheme="majorEastAsia" w:eastAsiaTheme="majorEastAsia"/>
          <w:color w:val="auto"/>
          <w:kern w:val="0"/>
          <w:sz w:val="24"/>
          <w:szCs w:val="24"/>
        </w:rPr>
        <w:t xml:space="preserve">日 </w:t>
      </w:r>
    </w:p>
    <w:p>
      <w:pPr>
        <w:rPr>
          <w:rFonts w:ascii="华文细黑" w:hAnsi="华文细黑" w:eastAsia="华文细黑" w:cs="华文细黑"/>
          <w:sz w:val="24"/>
          <w:szCs w:val="24"/>
        </w:rPr>
      </w:pPr>
      <w:r>
        <w:rPr>
          <w:rFonts w:hint="eastAsia" w:ascii="华文细黑" w:hAnsi="华文细黑" w:eastAsia="华文细黑" w:cs="华文细黑"/>
          <w:sz w:val="24"/>
          <w:szCs w:val="24"/>
        </w:rPr>
        <w:br w:type="page"/>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ind w:firstLine="240"/>
      </w:pPr>
    </w:p>
    <w:p>
      <w:pPr>
        <w:pStyle w:val="2"/>
        <w:ind w:firstLine="240"/>
      </w:pPr>
    </w:p>
    <w:p>
      <w:pPr>
        <w:pStyle w:val="2"/>
        <w:ind w:firstLine="240"/>
      </w:pPr>
    </w:p>
    <w:p>
      <w:pPr>
        <w:pStyle w:val="2"/>
        <w:ind w:firstLine="240"/>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5"/>
        <w:tabs>
          <w:tab w:val="left" w:pos="0"/>
        </w:tabs>
        <w:wordWrap w:val="0"/>
        <w:spacing w:after="0" w:line="440" w:lineRule="exact"/>
        <w:ind w:left="0" w:leftChars="0"/>
        <w:rPr>
          <w:rFonts w:ascii="华文细黑" w:hAnsi="华文细黑" w:eastAsia="华文细黑" w:cs="华文细黑"/>
          <w:sz w:val="24"/>
          <w:szCs w:val="24"/>
        </w:rPr>
      </w:pPr>
    </w:p>
    <w:p>
      <w:pPr>
        <w:pStyle w:val="5"/>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br w:type="page"/>
      </w:r>
    </w:p>
    <w:p>
      <w:pPr>
        <w:spacing w:line="52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附件2：</w:t>
      </w:r>
    </w:p>
    <w:p>
      <w:pPr>
        <w:spacing w:line="52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2.1价格分</w:t>
      </w:r>
      <w:r>
        <w:rPr>
          <w:rFonts w:ascii="华文中宋" w:hAnsi="华文中宋" w:eastAsia="华文中宋" w:cs="华文中宋"/>
          <w:b/>
          <w:bCs/>
          <w:szCs w:val="21"/>
        </w:rPr>
        <w:t>30</w:t>
      </w:r>
      <w:r>
        <w:rPr>
          <w:rFonts w:hint="eastAsia" w:ascii="华文中宋" w:hAnsi="华文中宋" w:eastAsia="华文中宋" w:cs="华文中宋"/>
          <w:b/>
          <w:bCs/>
          <w:szCs w:val="21"/>
        </w:rPr>
        <w:t>分：</w:t>
      </w:r>
    </w:p>
    <w:p>
      <w:pPr>
        <w:spacing w:line="520" w:lineRule="exact"/>
        <w:rPr>
          <w:rFonts w:ascii="华文中宋" w:hAnsi="华文中宋" w:eastAsia="华文中宋" w:cs="华文中宋"/>
          <w:color w:val="auto"/>
          <w:szCs w:val="21"/>
        </w:rPr>
      </w:pPr>
      <w:r>
        <w:rPr>
          <w:rFonts w:hint="eastAsia" w:ascii="华文中宋" w:hAnsi="华文中宋" w:eastAsia="华文中宋" w:cs="华文中宋"/>
          <w:color w:val="auto"/>
          <w:szCs w:val="21"/>
        </w:rPr>
        <w:t>（1）取所有有效投标人中满足招标文件要求，有效报价的算术平均值为基准价（有效报价3家及以下直接平均，4家及以上去高低平均）。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（2）根据投标人的评标价与评标基准价对比，投标人的投标报价得分=(评标基准价／投标报价)×价格权值×100。</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以上报价评分不足一个百分点时，保留小数2位。</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2.2技术资信分</w:t>
      </w:r>
      <w:r>
        <w:rPr>
          <w:rFonts w:ascii="华文中宋" w:hAnsi="华文中宋" w:eastAsia="华文中宋" w:cs="华文中宋"/>
          <w:b/>
          <w:bCs/>
          <w:szCs w:val="21"/>
        </w:rPr>
        <w:t>70</w:t>
      </w:r>
      <w:r>
        <w:rPr>
          <w:rFonts w:hint="eastAsia" w:ascii="华文中宋" w:hAnsi="华文中宋" w:eastAsia="华文中宋" w:cs="华文中宋"/>
          <w:b/>
          <w:bCs/>
          <w:szCs w:val="21"/>
        </w:rPr>
        <w:t>分</w:t>
      </w:r>
    </w:p>
    <w:p>
      <w:pPr>
        <w:spacing w:line="500" w:lineRule="exact"/>
        <w:ind w:firstLine="723"/>
        <w:jc w:val="center"/>
        <w:rPr>
          <w:rFonts w:ascii="方正小标宋_GBK" w:hAnsi="宋体"/>
          <w:b/>
          <w:bCs/>
          <w:sz w:val="28"/>
          <w:szCs w:val="28"/>
        </w:rPr>
      </w:pPr>
      <w:r>
        <w:rPr>
          <w:rFonts w:hint="eastAsia" w:ascii="方正小标宋_GBK" w:hAnsi="方正小标宋_GBK"/>
          <w:b/>
          <w:bCs/>
          <w:sz w:val="28"/>
          <w:szCs w:val="28"/>
        </w:rPr>
        <w:t>评分细则</w:t>
      </w:r>
    </w:p>
    <w:tbl>
      <w:tblPr>
        <w:tblStyle w:val="10"/>
        <w:tblW w:w="9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7"/>
        <w:gridCol w:w="1353"/>
        <w:gridCol w:w="6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7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评分项目</w:t>
            </w:r>
          </w:p>
        </w:tc>
        <w:tc>
          <w:tcPr>
            <w:tcW w:w="1353" w:type="dxa"/>
            <w:tcBorders>
              <w:top w:val="single" w:color="000000" w:sz="4" w:space="0"/>
              <w:left w:val="nil"/>
              <w:bottom w:val="single" w:color="000000" w:sz="4" w:space="0"/>
              <w:right w:val="single" w:color="000000" w:sz="4" w:space="0"/>
            </w:tcBorders>
            <w:vAlign w:val="center"/>
          </w:tcPr>
          <w:p>
            <w:pPr>
              <w:jc w:val="center"/>
            </w:pPr>
            <w:r>
              <w:rPr>
                <w:rFonts w:hint="eastAsia"/>
              </w:rPr>
              <w:t>分值</w:t>
            </w:r>
          </w:p>
        </w:tc>
        <w:tc>
          <w:tcPr>
            <w:tcW w:w="6565" w:type="dxa"/>
            <w:tcBorders>
              <w:top w:val="single" w:color="000000" w:sz="4" w:space="0"/>
              <w:left w:val="nil"/>
              <w:bottom w:val="single" w:color="000000" w:sz="4" w:space="0"/>
              <w:right w:val="single" w:color="000000" w:sz="4" w:space="0"/>
            </w:tcBorders>
            <w:vAlign w:val="center"/>
          </w:tcPr>
          <w:p>
            <w:pPr>
              <w:jc w:val="center"/>
            </w:pPr>
            <w:r>
              <w:rPr>
                <w:rFonts w:hint="eastAsi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727"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企业资质</w:t>
            </w:r>
          </w:p>
        </w:tc>
        <w:tc>
          <w:tcPr>
            <w:tcW w:w="1353" w:type="dxa"/>
            <w:tcBorders>
              <w:top w:val="single" w:color="000000" w:sz="4" w:space="0"/>
              <w:left w:val="nil"/>
              <w:bottom w:val="single" w:color="auto" w:sz="4" w:space="0"/>
              <w:right w:val="single" w:color="000000" w:sz="4" w:space="0"/>
            </w:tcBorders>
            <w:vAlign w:val="center"/>
          </w:tcPr>
          <w:p>
            <w:pPr>
              <w:jc w:val="center"/>
            </w:pPr>
            <w:r>
              <w:rPr>
                <w:rFonts w:hint="eastAsia"/>
              </w:rPr>
              <w:t>10分</w:t>
            </w:r>
          </w:p>
        </w:tc>
        <w:tc>
          <w:tcPr>
            <w:tcW w:w="6565" w:type="dxa"/>
            <w:tcBorders>
              <w:top w:val="single" w:color="000000" w:sz="4" w:space="0"/>
              <w:left w:val="nil"/>
              <w:bottom w:val="single" w:color="auto" w:sz="4" w:space="0"/>
              <w:right w:val="single" w:color="000000" w:sz="4" w:space="0"/>
            </w:tcBorders>
            <w:vAlign w:val="center"/>
          </w:tcPr>
          <w:p>
            <w:pPr>
              <w:jc w:val="center"/>
            </w:pPr>
            <w:r>
              <w:rPr>
                <w:rFonts w:hint="eastAsia"/>
              </w:rPr>
              <w:t>投标单位具有工程设计建筑行业（建筑工程）甲级得10分；具有工程设计建筑行业（建筑工程）乙级得5分；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17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诚信情况</w:t>
            </w:r>
          </w:p>
        </w:tc>
        <w:tc>
          <w:tcPr>
            <w:tcW w:w="1353" w:type="dxa"/>
            <w:tcBorders>
              <w:top w:val="single" w:color="auto" w:sz="4" w:space="0"/>
              <w:left w:val="nil"/>
              <w:bottom w:val="single" w:color="auto" w:sz="4" w:space="0"/>
              <w:right w:val="single" w:color="000000" w:sz="4" w:space="0"/>
            </w:tcBorders>
            <w:vAlign w:val="center"/>
          </w:tcPr>
          <w:p>
            <w:pPr>
              <w:jc w:val="center"/>
            </w:pPr>
            <w:r>
              <w:rPr>
                <w:rFonts w:hint="eastAsia"/>
              </w:rPr>
              <w:t>3分</w:t>
            </w:r>
          </w:p>
        </w:tc>
        <w:tc>
          <w:tcPr>
            <w:tcW w:w="6565" w:type="dxa"/>
            <w:tcBorders>
              <w:top w:val="single" w:color="auto" w:sz="4" w:space="0"/>
              <w:left w:val="nil"/>
              <w:bottom w:val="single" w:color="auto" w:sz="4" w:space="0"/>
              <w:right w:val="single" w:color="000000" w:sz="4" w:space="0"/>
            </w:tcBorders>
            <w:vAlign w:val="center"/>
          </w:tcPr>
          <w:p>
            <w:pPr>
              <w:jc w:val="center"/>
            </w:pPr>
            <w:r>
              <w:rPr>
                <w:rFonts w:hint="eastAsia"/>
              </w:rPr>
              <w:t>具有的AAA级信用等级证书，且在有效期内的，得3分。</w:t>
            </w:r>
          </w:p>
          <w:p>
            <w:pPr>
              <w:jc w:val="center"/>
            </w:pPr>
            <w:r>
              <w:rPr>
                <w:rFonts w:hint="eastAsia"/>
              </w:rPr>
              <w:t>具有的AA级信用等级证书，且在有效期内的，得2分</w:t>
            </w:r>
          </w:p>
          <w:p>
            <w:pPr>
              <w:jc w:val="center"/>
            </w:pPr>
            <w:r>
              <w:rPr>
                <w:rFonts w:hint="eastAsia"/>
              </w:rPr>
              <w:t>具有的A级信用等级证书，且在有效期内的，得1分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7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ISO系列认证</w:t>
            </w:r>
          </w:p>
        </w:tc>
        <w:tc>
          <w:tcPr>
            <w:tcW w:w="1353" w:type="dxa"/>
            <w:tcBorders>
              <w:top w:val="single" w:color="auto" w:sz="4" w:space="0"/>
              <w:left w:val="nil"/>
              <w:bottom w:val="single" w:color="auto" w:sz="4" w:space="0"/>
              <w:right w:val="single" w:color="000000" w:sz="4" w:space="0"/>
            </w:tcBorders>
            <w:vAlign w:val="center"/>
          </w:tcPr>
          <w:p>
            <w:pPr>
              <w:jc w:val="center"/>
            </w:pPr>
            <w:r>
              <w:rPr>
                <w:rFonts w:hint="eastAsia"/>
              </w:rPr>
              <w:t>6分</w:t>
            </w:r>
          </w:p>
        </w:tc>
        <w:tc>
          <w:tcPr>
            <w:tcW w:w="6565" w:type="dxa"/>
            <w:tcBorders>
              <w:top w:val="single" w:color="auto" w:sz="4" w:space="0"/>
              <w:left w:val="nil"/>
              <w:bottom w:val="single" w:color="auto" w:sz="4" w:space="0"/>
              <w:right w:val="single" w:color="000000" w:sz="4" w:space="0"/>
            </w:tcBorders>
            <w:vAlign w:val="center"/>
          </w:tcPr>
          <w:p>
            <w:pPr>
              <w:jc w:val="center"/>
            </w:pPr>
            <w:r>
              <w:rPr>
                <w:rFonts w:hint="eastAsia"/>
              </w:rPr>
              <w:t>投标单位具有质量管理体系认证证书的得2分；</w:t>
            </w:r>
          </w:p>
          <w:p>
            <w:pPr>
              <w:jc w:val="center"/>
            </w:pPr>
            <w:r>
              <w:rPr>
                <w:rFonts w:hint="eastAsia"/>
              </w:rPr>
              <w:t>投标单位具有职业健康安全管理体系认证证书的得2分；</w:t>
            </w:r>
          </w:p>
          <w:p>
            <w:pPr>
              <w:jc w:val="center"/>
            </w:pPr>
            <w:r>
              <w:rPr>
                <w:rFonts w:hint="eastAsia"/>
              </w:rPr>
              <w:t>投标单位具有环境管理体系认证证书的得2分。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727"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企业所在地</w:t>
            </w:r>
          </w:p>
        </w:tc>
        <w:tc>
          <w:tcPr>
            <w:tcW w:w="1353" w:type="dxa"/>
            <w:tcBorders>
              <w:top w:val="single" w:color="auto" w:sz="4" w:space="0"/>
              <w:left w:val="nil"/>
              <w:bottom w:val="single" w:color="auto" w:sz="4" w:space="0"/>
              <w:right w:val="single" w:color="000000" w:sz="4" w:space="0"/>
            </w:tcBorders>
            <w:vAlign w:val="center"/>
          </w:tcPr>
          <w:p>
            <w:pPr>
              <w:jc w:val="center"/>
            </w:pPr>
            <w:r>
              <w:rPr>
                <w:rFonts w:hint="eastAsia"/>
              </w:rPr>
              <w:t>6分</w:t>
            </w:r>
          </w:p>
        </w:tc>
        <w:tc>
          <w:tcPr>
            <w:tcW w:w="6565" w:type="dxa"/>
            <w:tcBorders>
              <w:top w:val="single" w:color="auto" w:sz="4" w:space="0"/>
              <w:left w:val="nil"/>
              <w:bottom w:val="single" w:color="auto" w:sz="4" w:space="0"/>
              <w:right w:val="single" w:color="000000" w:sz="4" w:space="0"/>
            </w:tcBorders>
            <w:vAlign w:val="center"/>
          </w:tcPr>
          <w:p>
            <w:pPr>
              <w:jc w:val="center"/>
            </w:pPr>
            <w:r>
              <w:rPr>
                <w:rFonts w:hint="eastAsia"/>
              </w:rPr>
              <w:t>1、投标单位本部位于杭州市范围内的得6分，投标单位在杭州市范围内设有工商注册登记的分支机构并且本部位于浙江省范围内的得3分,投标单位本部位于浙江省范围外的得1分，否则不得分。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727"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项目组成员情况</w:t>
            </w:r>
          </w:p>
        </w:tc>
        <w:tc>
          <w:tcPr>
            <w:tcW w:w="1353" w:type="dxa"/>
            <w:tcBorders>
              <w:top w:val="single" w:color="auto" w:sz="4" w:space="0"/>
              <w:left w:val="nil"/>
              <w:bottom w:val="single" w:color="000000" w:sz="4" w:space="0"/>
              <w:right w:val="single" w:color="000000" w:sz="4" w:space="0"/>
            </w:tcBorders>
            <w:vAlign w:val="center"/>
          </w:tcPr>
          <w:p>
            <w:pPr>
              <w:jc w:val="center"/>
            </w:pPr>
            <w:r>
              <w:rPr>
                <w:rFonts w:hint="eastAsia"/>
              </w:rPr>
              <w:t>9分</w:t>
            </w:r>
          </w:p>
        </w:tc>
        <w:tc>
          <w:tcPr>
            <w:tcW w:w="6565" w:type="dxa"/>
            <w:tcBorders>
              <w:top w:val="single" w:color="auto" w:sz="4" w:space="0"/>
              <w:left w:val="nil"/>
              <w:bottom w:val="single" w:color="000000" w:sz="4" w:space="0"/>
              <w:right w:val="single" w:color="000000" w:sz="4" w:space="0"/>
            </w:tcBorders>
            <w:vAlign w:val="center"/>
          </w:tcPr>
          <w:p>
            <w:pPr>
              <w:jc w:val="center"/>
            </w:pPr>
            <w:r>
              <w:rPr>
                <w:rFonts w:hint="eastAsia"/>
              </w:rPr>
              <w:t>1、项目负责人具有给排水专业具有高级工程师职称，同时具有注册执业资格的得6分。给排水专业高级工程师职称的得3分，中级工程师职称的得2分；最高得6分。</w:t>
            </w:r>
          </w:p>
          <w:p>
            <w:pPr>
              <w:jc w:val="center"/>
            </w:pPr>
            <w:r>
              <w:rPr>
                <w:rFonts w:hint="eastAsia"/>
              </w:rPr>
              <w:t>2、拟投入本项目设计人员(项目负责人除外)，专业负责人（给排水、结构、造价）齐全的得3分，要求每个专业负责人具备工程师三年（含）以上职称。少一人扣1分。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727"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设计业绩</w:t>
            </w:r>
          </w:p>
        </w:tc>
        <w:tc>
          <w:tcPr>
            <w:tcW w:w="1353" w:type="dxa"/>
            <w:tcBorders>
              <w:top w:val="single" w:color="auto" w:sz="4" w:space="0"/>
              <w:left w:val="nil"/>
              <w:bottom w:val="single" w:color="auto" w:sz="4" w:space="0"/>
              <w:right w:val="single" w:color="000000" w:sz="4" w:space="0"/>
            </w:tcBorders>
            <w:vAlign w:val="center"/>
          </w:tcPr>
          <w:p>
            <w:pPr>
              <w:jc w:val="center"/>
            </w:pPr>
            <w:r>
              <w:rPr>
                <w:rFonts w:hint="eastAsia"/>
              </w:rPr>
              <w:t>16分</w:t>
            </w:r>
          </w:p>
        </w:tc>
        <w:tc>
          <w:tcPr>
            <w:tcW w:w="6565" w:type="dxa"/>
            <w:tcBorders>
              <w:top w:val="single" w:color="auto" w:sz="4" w:space="0"/>
              <w:left w:val="nil"/>
              <w:bottom w:val="single" w:color="auto" w:sz="4" w:space="0"/>
              <w:right w:val="single" w:color="000000" w:sz="4" w:space="0"/>
            </w:tcBorders>
            <w:vAlign w:val="center"/>
          </w:tcPr>
          <w:p>
            <w:pPr>
              <w:jc w:val="center"/>
            </w:pPr>
            <w:r>
              <w:rPr>
                <w:rFonts w:hint="eastAsia"/>
              </w:rPr>
              <w:t>1 、投标单位2017年1月1日以来，承担过类似杭州市范围内给排水、雨污分流改造工程的每项得3分，最多得6分；</w:t>
            </w:r>
          </w:p>
          <w:p>
            <w:pPr>
              <w:jc w:val="center"/>
            </w:pPr>
            <w:r>
              <w:rPr>
                <w:rFonts w:hint="eastAsia"/>
              </w:rPr>
              <w:t>2  、投标单位2017年1月1日以来，承担过改造工程的每项得2分，最多得4分</w:t>
            </w:r>
          </w:p>
          <w:p>
            <w:pPr>
              <w:jc w:val="center"/>
            </w:pPr>
            <w:r>
              <w:rPr>
                <w:rFonts w:hint="eastAsia"/>
              </w:rPr>
              <w:t>3、投标单位2014年1月1日以来，获得过省市级设计项目奖项的，每项得2分，最多得6分。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727"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设计进度保证措施，后续服务保证措施</w:t>
            </w:r>
          </w:p>
        </w:tc>
        <w:tc>
          <w:tcPr>
            <w:tcW w:w="1353" w:type="dxa"/>
            <w:tcBorders>
              <w:top w:val="single" w:color="auto" w:sz="4" w:space="0"/>
              <w:left w:val="nil"/>
              <w:bottom w:val="single" w:color="auto" w:sz="4" w:space="0"/>
              <w:right w:val="single" w:color="000000" w:sz="4" w:space="0"/>
            </w:tcBorders>
            <w:vAlign w:val="center"/>
          </w:tcPr>
          <w:p>
            <w:pPr>
              <w:jc w:val="center"/>
            </w:pPr>
            <w:r>
              <w:rPr>
                <w:rFonts w:hint="eastAsia"/>
              </w:rPr>
              <w:t>20分</w:t>
            </w:r>
          </w:p>
        </w:tc>
        <w:tc>
          <w:tcPr>
            <w:tcW w:w="6565" w:type="dxa"/>
            <w:tcBorders>
              <w:top w:val="single" w:color="auto" w:sz="4" w:space="0"/>
              <w:left w:val="nil"/>
              <w:bottom w:val="single" w:color="auto" w:sz="4" w:space="0"/>
              <w:right w:val="single" w:color="000000" w:sz="4" w:space="0"/>
            </w:tcBorders>
            <w:vAlign w:val="center"/>
          </w:tcPr>
          <w:p>
            <w:pPr>
              <w:jc w:val="center"/>
            </w:pPr>
            <w:r>
              <w:rPr>
                <w:rFonts w:hint="eastAsia"/>
              </w:rPr>
              <w:t>设计质量保证措施，设计进度保证措施，投资费用控制措施，后续服务保证措施，符合招标文件要求的。得4-20分。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7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合计</w:t>
            </w:r>
          </w:p>
        </w:tc>
        <w:tc>
          <w:tcPr>
            <w:tcW w:w="1353" w:type="dxa"/>
            <w:tcBorders>
              <w:top w:val="single" w:color="000000" w:sz="4" w:space="0"/>
              <w:left w:val="nil"/>
              <w:bottom w:val="single" w:color="000000" w:sz="4" w:space="0"/>
              <w:right w:val="single" w:color="000000" w:sz="4" w:space="0"/>
            </w:tcBorders>
            <w:vAlign w:val="center"/>
          </w:tcPr>
          <w:p>
            <w:pPr>
              <w:jc w:val="center"/>
            </w:pPr>
            <w:r>
              <w:t>70</w:t>
            </w:r>
            <w:r>
              <w:rPr>
                <w:rFonts w:hint="eastAsia"/>
              </w:rPr>
              <w:t>分</w:t>
            </w:r>
          </w:p>
        </w:tc>
        <w:tc>
          <w:tcPr>
            <w:tcW w:w="6565" w:type="dxa"/>
            <w:tcBorders>
              <w:top w:val="single" w:color="000000" w:sz="4" w:space="0"/>
              <w:left w:val="nil"/>
              <w:bottom w:val="single" w:color="000000" w:sz="4" w:space="0"/>
              <w:right w:val="single" w:color="000000" w:sz="4" w:space="0"/>
            </w:tcBorders>
            <w:vAlign w:val="center"/>
          </w:tcPr>
          <w:p>
            <w:pPr>
              <w:jc w:val="center"/>
            </w:pPr>
          </w:p>
        </w:tc>
      </w:tr>
    </w:tbl>
    <w:p>
      <w:pPr>
        <w:spacing w:line="520" w:lineRule="exact"/>
        <w:rPr>
          <w:rFonts w:ascii="华文中宋" w:hAnsi="华文中宋" w:eastAsia="华文中宋" w:cs="华文中宋"/>
          <w:szCs w:val="21"/>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B95E97-D363-44C2-9E54-8433EAB5D04B}"/>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华文细黑">
    <w:panose1 w:val="02010600040101010101"/>
    <w:charset w:val="86"/>
    <w:family w:val="auto"/>
    <w:pitch w:val="default"/>
    <w:sig w:usb0="00000287" w:usb1="080F0000" w:usb2="00000000" w:usb3="00000000" w:csb0="0004009F" w:csb1="DFD70000"/>
    <w:embedRegular r:id="rId2" w:fontKey="{E5B16060-0D21-4072-9B04-77B4C3733055}"/>
  </w:font>
  <w:font w:name="华文中宋">
    <w:panose1 w:val="02010600040101010101"/>
    <w:charset w:val="86"/>
    <w:family w:val="auto"/>
    <w:pitch w:val="default"/>
    <w:sig w:usb0="00000287" w:usb1="080F0000" w:usb2="00000000" w:usb3="00000000" w:csb0="0004009F" w:csb1="DFD70000"/>
    <w:embedRegular r:id="rId3" w:fontKey="{CA8BC5C7-C0F7-48E9-8B86-112EF5421540}"/>
  </w:font>
  <w:font w:name="方正小标宋_GBK">
    <w:panose1 w:val="02000000000000000000"/>
    <w:charset w:val="86"/>
    <w:family w:val="auto"/>
    <w:pitch w:val="default"/>
    <w:sig w:usb0="A00002BF" w:usb1="38CF7CFA" w:usb2="00082016" w:usb3="00000000" w:csb0="00040001" w:csb1="00000000"/>
    <w:embedRegular r:id="rId4" w:fontKey="{A613D479-9E19-42DD-8132-443E166B92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3"/>
      </w:rPr>
    </w:pPr>
    <w:r>
      <w:fldChar w:fldCharType="begin"/>
    </w:r>
    <w:r>
      <w:rPr>
        <w:rStyle w:val="13"/>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005418B"/>
    <w:rsid w:val="001611DA"/>
    <w:rsid w:val="001701CC"/>
    <w:rsid w:val="0025284B"/>
    <w:rsid w:val="002A34EF"/>
    <w:rsid w:val="002C5851"/>
    <w:rsid w:val="00446153"/>
    <w:rsid w:val="004C2FD8"/>
    <w:rsid w:val="00501DA3"/>
    <w:rsid w:val="005A3F39"/>
    <w:rsid w:val="005D176B"/>
    <w:rsid w:val="0064350D"/>
    <w:rsid w:val="006E58D3"/>
    <w:rsid w:val="00813176"/>
    <w:rsid w:val="00824127"/>
    <w:rsid w:val="008F1538"/>
    <w:rsid w:val="00A07361"/>
    <w:rsid w:val="00AF3F81"/>
    <w:rsid w:val="00AF5603"/>
    <w:rsid w:val="00B732D9"/>
    <w:rsid w:val="00DC2FF0"/>
    <w:rsid w:val="00F4230D"/>
    <w:rsid w:val="00FA6DB7"/>
    <w:rsid w:val="00FB7D17"/>
    <w:rsid w:val="045A69FF"/>
    <w:rsid w:val="04FD7220"/>
    <w:rsid w:val="07C904D2"/>
    <w:rsid w:val="07CD72E2"/>
    <w:rsid w:val="09AC7B34"/>
    <w:rsid w:val="0DE52386"/>
    <w:rsid w:val="0E810BFA"/>
    <w:rsid w:val="13AA5AD0"/>
    <w:rsid w:val="13B15B0E"/>
    <w:rsid w:val="1B0D63C3"/>
    <w:rsid w:val="1E755027"/>
    <w:rsid w:val="1ED25A33"/>
    <w:rsid w:val="25F76C1E"/>
    <w:rsid w:val="26212EF7"/>
    <w:rsid w:val="26532A41"/>
    <w:rsid w:val="27622B4F"/>
    <w:rsid w:val="28EB21F4"/>
    <w:rsid w:val="2BF96F6F"/>
    <w:rsid w:val="2D6B50D0"/>
    <w:rsid w:val="307B7BB9"/>
    <w:rsid w:val="344D1170"/>
    <w:rsid w:val="347D0A86"/>
    <w:rsid w:val="363D7475"/>
    <w:rsid w:val="374B4BDB"/>
    <w:rsid w:val="381A32A5"/>
    <w:rsid w:val="38EF7149"/>
    <w:rsid w:val="38FC7F3D"/>
    <w:rsid w:val="3A140A17"/>
    <w:rsid w:val="3A31539F"/>
    <w:rsid w:val="3CAE164A"/>
    <w:rsid w:val="3F16338A"/>
    <w:rsid w:val="3FFC6A00"/>
    <w:rsid w:val="42664F74"/>
    <w:rsid w:val="46B50530"/>
    <w:rsid w:val="473D7ACF"/>
    <w:rsid w:val="49D32A72"/>
    <w:rsid w:val="4A0506BB"/>
    <w:rsid w:val="4AAC6732"/>
    <w:rsid w:val="540E29ED"/>
    <w:rsid w:val="54CA6D7C"/>
    <w:rsid w:val="561E5F7C"/>
    <w:rsid w:val="56E64E4F"/>
    <w:rsid w:val="57E906EE"/>
    <w:rsid w:val="5A5446FE"/>
    <w:rsid w:val="5FF16950"/>
    <w:rsid w:val="65864BA4"/>
    <w:rsid w:val="66CA234F"/>
    <w:rsid w:val="672E6658"/>
    <w:rsid w:val="67564F5E"/>
    <w:rsid w:val="67832C8C"/>
    <w:rsid w:val="6B465587"/>
    <w:rsid w:val="715E4369"/>
    <w:rsid w:val="73D30424"/>
    <w:rsid w:val="76361192"/>
    <w:rsid w:val="78B40D1F"/>
    <w:rsid w:val="7C8843C4"/>
    <w:rsid w:val="7D161986"/>
    <w:rsid w:val="7F5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列表段落1"/>
    <w:basedOn w:val="1"/>
    <w:uiPriority w:val="0"/>
    <w:pPr>
      <w:spacing w:before="100" w:beforeAutospacing="1" w:after="100" w:afterAutospacing="1"/>
      <w:ind w:left="432" w:firstLine="480"/>
    </w:pPr>
    <w:rPr>
      <w:rFonts w:ascii="Calibri" w:hAnsi="Calibri"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594</Words>
  <Characters>3386</Characters>
  <Lines>28</Lines>
  <Paragraphs>7</Paragraphs>
  <TotalTime>5</TotalTime>
  <ScaleCrop>false</ScaleCrop>
  <LinksUpToDate>false</LinksUpToDate>
  <CharactersWithSpaces>3973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2020-04-30T02:05:00Z</cp:lastPrinted>
  <dcterms:modified xsi:type="dcterms:W3CDTF">2020-05-26T07:25:24Z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