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 标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中国科学院大学附属肿瘤医院（浙江省肿瘤医院）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床头柜</w:t>
      </w:r>
      <w:r>
        <w:rPr>
          <w:rFonts w:hint="eastAsia"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维修项目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中国科学院大学附属肿瘤医院（浙江省肿瘤医院）</w:t>
      </w:r>
    </w:p>
    <w:p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二○二○年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spacing w:before="0" w:beforeAutospacing="0" w:after="0" w:afterAutospacing="0" w:line="440" w:lineRule="exact"/>
        <w:ind w:left="360" w:hanging="360" w:hangingChars="100"/>
        <w:jc w:val="center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中国科学院大学附属肿瘤医院（浙江省肿瘤医院）</w:t>
      </w:r>
    </w:p>
    <w:p>
      <w:pPr>
        <w:pStyle w:val="3"/>
        <w:spacing w:before="0" w:beforeAutospacing="0" w:after="0" w:afterAutospacing="0" w:line="440" w:lineRule="exact"/>
        <w:ind w:left="360" w:hanging="360" w:hangingChars="100"/>
        <w:jc w:val="center"/>
        <w:rPr>
          <w:rFonts w:ascii="华文细黑" w:hAnsi="华文细黑" w:eastAsia="华文细黑" w:cs="华文细黑"/>
          <w:color w:val="auto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eastAsia="zh-CN"/>
        </w:rPr>
        <w:t>床头柜维修项目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我院拟采取公开招标议价谈判方式，完成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中国科学院大学附属肿瘤医院（浙江省肿瘤医院）床头柜维修项目</w:t>
      </w:r>
      <w:r>
        <w:rPr>
          <w:rFonts w:hint="eastAsia" w:ascii="华文细黑" w:hAnsi="华文细黑" w:eastAsia="华文细黑" w:cs="华文细黑"/>
          <w:sz w:val="24"/>
          <w:szCs w:val="24"/>
        </w:rPr>
        <w:t>招标，现将有关事项公告如下：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一、项目名称和质量保证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中国科学院大学附属肿瘤医院（浙江省肿瘤医院）床头柜维修项目</w:t>
      </w:r>
      <w:r>
        <w:rPr>
          <w:rFonts w:hint="eastAsia" w:ascii="华文细黑" w:hAnsi="华文细黑" w:eastAsia="华文细黑" w:cs="华文细黑"/>
          <w:sz w:val="24"/>
          <w:szCs w:val="24"/>
        </w:rPr>
        <w:t>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质量保证：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（1）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</w:t>
      </w:r>
      <w:r>
        <w:rPr>
          <w:rFonts w:hint="eastAsia" w:ascii="华文细黑" w:hAnsi="华文细黑" w:eastAsia="华文细黑" w:cs="华文细黑"/>
          <w:sz w:val="24"/>
          <w:szCs w:val="24"/>
        </w:rPr>
        <w:t>所供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是全新的、未使用过的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，同时应保证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的各项功能和技术指标达到投标文件和国家相关标准。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（2）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维修符合正常使用功能和院方要求，</w:t>
      </w:r>
      <w:r>
        <w:rPr>
          <w:rFonts w:hint="eastAsia" w:ascii="华文细黑" w:hAnsi="华文细黑" w:eastAsia="华文细黑" w:cs="华文细黑"/>
          <w:sz w:val="24"/>
          <w:szCs w:val="24"/>
        </w:rPr>
        <w:t>质保期不得少于24个月（含人工及配件维修）。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二、服务内容</w:t>
      </w:r>
    </w:p>
    <w:p>
      <w:pPr>
        <w:spacing w:line="400" w:lineRule="exact"/>
        <w:ind w:left="-426" w:right="-340" w:rightChars="-162" w:firstLine="480" w:firstLineChars="200"/>
        <w:rPr>
          <w:rFonts w:ascii="华文细黑" w:hAnsi="华文细黑" w:eastAsia="华文细黑" w:cs="华文细黑"/>
          <w:bCs/>
          <w:kern w:val="0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  <w:lang w:val="en-US" w:eastAsia="zh-CN"/>
        </w:rPr>
        <w:t>维修内容、</w:t>
      </w:r>
      <w:r>
        <w:rPr>
          <w:rFonts w:hint="eastAsia" w:ascii="华文细黑" w:hAnsi="华文细黑" w:eastAsia="华文细黑" w:cs="华文细黑"/>
          <w:bCs/>
          <w:kern w:val="0"/>
          <w:sz w:val="24"/>
          <w:szCs w:val="24"/>
        </w:rPr>
        <w:t>数量、单价及合同分项价格、总价：</w:t>
      </w:r>
    </w:p>
    <w:tbl>
      <w:tblPr>
        <w:tblStyle w:val="10"/>
        <w:tblpPr w:leftFromText="180" w:rightFromText="180" w:vertAnchor="text" w:horzAnchor="page" w:tblpX="1740" w:tblpY="17"/>
        <w:tblOverlap w:val="never"/>
        <w:tblW w:w="861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13"/>
        <w:gridCol w:w="2310"/>
        <w:gridCol w:w="1362"/>
        <w:gridCol w:w="784"/>
        <w:gridCol w:w="970"/>
        <w:gridCol w:w="77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6" w:hRule="atLeast"/>
        </w:trPr>
        <w:tc>
          <w:tcPr>
            <w:tcW w:w="241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样式</w:t>
            </w:r>
          </w:p>
        </w:tc>
        <w:tc>
          <w:tcPr>
            <w:tcW w:w="231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货物名称</w:t>
            </w:r>
          </w:p>
        </w:tc>
        <w:tc>
          <w:tcPr>
            <w:tcW w:w="1362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材质</w:t>
            </w:r>
          </w:p>
        </w:tc>
        <w:tc>
          <w:tcPr>
            <w:tcW w:w="784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数量（块）</w:t>
            </w:r>
          </w:p>
        </w:tc>
        <w:tc>
          <w:tcPr>
            <w:tcW w:w="970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单价</w:t>
            </w:r>
          </w:p>
        </w:tc>
        <w:tc>
          <w:tcPr>
            <w:tcW w:w="771" w:type="dxa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73" w:hRule="atLeast"/>
        </w:trPr>
        <w:tc>
          <w:tcPr>
            <w:tcW w:w="2413" w:type="dxa"/>
            <w:tcBorders>
              <w:top w:val="single" w:color="auto" w:sz="6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201930</wp:posOffset>
                  </wp:positionV>
                  <wp:extent cx="1376045" cy="1033145"/>
                  <wp:effectExtent l="0" t="0" r="14605" b="14605"/>
                  <wp:wrapTopAndBottom/>
                  <wp:docPr id="1" name="图片 1" descr="270970f943a7babc0946269f2c0c1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0970f943a7babc0946269f2c0c1f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床头柜面板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（</w:t>
            </w: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约430mm*480mm，尺寸以现场测量为准</w:t>
            </w: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）</w:t>
            </w:r>
          </w:p>
        </w:tc>
        <w:tc>
          <w:tcPr>
            <w:tcW w:w="136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ABS材质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（</w:t>
            </w:r>
            <w:r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  <w:t>厚度4mm</w:t>
            </w:r>
            <w:r>
              <w:rPr>
                <w:rFonts w:hint="eastAsia" w:ascii="华文细黑" w:hAnsi="华文细黑" w:eastAsia="华文细黑" w:cs="华文细黑"/>
                <w:szCs w:val="21"/>
                <w:lang w:eastAsia="zh-CN"/>
              </w:rPr>
              <w:t>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800</w:t>
            </w:r>
          </w:p>
        </w:tc>
        <w:tc>
          <w:tcPr>
            <w:tcW w:w="97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8610" w:type="dxa"/>
            <w:gridSpan w:val="6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报价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（人民币大写）</w:t>
            </w:r>
            <w:r>
              <w:rPr>
                <w:rFonts w:hint="eastAsia" w:ascii="华文细黑" w:hAnsi="华文细黑" w:eastAsia="华文细黑" w:cs="华文细黑"/>
                <w:szCs w:val="21"/>
                <w:u w:val="single"/>
              </w:rPr>
              <w:t>人民币          元整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细黑" w:hAnsi="华文细黑" w:eastAsia="华文细黑" w:cs="华文细黑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 xml:space="preserve">  （人民币小写）¥ </w:t>
            </w:r>
            <w:r>
              <w:rPr>
                <w:rFonts w:hint="eastAsia" w:ascii="华文细黑" w:hAnsi="华文细黑" w:eastAsia="华文细黑" w:cs="华文细黑"/>
                <w:szCs w:val="21"/>
                <w:u w:val="single"/>
              </w:rPr>
              <w:t xml:space="preserve">      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元</w:t>
            </w: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2.合同价格包含一切税费、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材料</w:t>
      </w:r>
      <w:r>
        <w:rPr>
          <w:rFonts w:hint="eastAsia" w:ascii="华文细黑" w:hAnsi="华文细黑" w:eastAsia="华文细黑" w:cs="华文细黑"/>
          <w:sz w:val="24"/>
          <w:szCs w:val="24"/>
        </w:rPr>
        <w:t>费、运杂费、保险费、装卸落地费、保管费、货物仓储费、二次搬运费（搬运至各区域所发生的全部费用）、检测验收费（有关法律法规规定的货物进场、材料和成品抽检、最终检测及验收费）及质保期内维护保养等完成本项目所需的所有费用等，实行固定单价（单价按投标报价）包干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3.因实际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维修数量</w:t>
      </w:r>
      <w:r>
        <w:rPr>
          <w:rFonts w:hint="eastAsia" w:ascii="华文细黑" w:hAnsi="华文细黑" w:eastAsia="华文细黑" w:cs="华文细黑"/>
          <w:sz w:val="24"/>
          <w:szCs w:val="24"/>
        </w:rPr>
        <w:t>需要调整时，合同总价按结算时实际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维修清单</w:t>
      </w:r>
      <w:r>
        <w:rPr>
          <w:rFonts w:hint="eastAsia" w:ascii="华文细黑" w:hAnsi="华文细黑" w:eastAsia="华文细黑" w:cs="华文细黑"/>
          <w:sz w:val="24"/>
          <w:szCs w:val="24"/>
        </w:rPr>
        <w:t>数量为准。涉及采购变更，必须由医院书面确认后方可作为结算的依据。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4.中标人在批量生产前需要提供样品，由甲方确认后方可进行制作。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三、供应商资格条件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1.符合《中华人民共和国政府采购法》第二十二条规定条件；必须具备本次招标货物或服务的经营资质；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2.近三年内有从事上述项目经营的业绩；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3.本项目不接受联合体投标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响应文件分报价文件、技术文件、商务文件，不得少于叁份。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报价文件至少应包括以下内容（均需加盖公章）：（1）按本文件第二条第1款表格内所列内容报价；（2）采购到货响应周期及相应优惠条件等；（3）中标方需要说明的其他报价说明。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3. 商务文件至少应包括以下内容：证明其为合格中标方和所提供的为合格产品的有关资格证明文件，招标文件要求提供的其他资料等（均需加盖公章）：（1）投标企业法人授权委托书；（2）受委托人的身份证复印件；（3）企业法人营业执照；（4）所有资质及认证文件；（5）主要业绩证明；（6）中标方认为需要的其他商务文件或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技术文件至少应包括以下内容：针对本项目的技术和服务投标方案，招标文件要求提供的其他资料等（均需加盖公章）：（1）项目负责人简历表；（2）拟派本项目人员技术力量配备情况；（3）中标方应提供的技术资料；（4）中标方需要说明的其他文件和说明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五、报价文件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1.按本文件第二条第1款表格内所列内容报价。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维修供货</w:t>
      </w:r>
      <w:r>
        <w:rPr>
          <w:rFonts w:hint="eastAsia" w:ascii="华文细黑" w:hAnsi="华文细黑" w:eastAsia="华文细黑" w:cs="华文细黑"/>
          <w:sz w:val="24"/>
          <w:szCs w:val="24"/>
        </w:rPr>
        <w:t>响应周期及相应优惠条件等。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六、评标办法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default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本次招标采用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综合评标法，价格45分，技术资信55分（详见附件1）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七、报价要求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本次报价总价不得超过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8.4</w:t>
      </w:r>
      <w:r>
        <w:rPr>
          <w:rFonts w:hint="eastAsia" w:ascii="华文细黑" w:hAnsi="华文细黑" w:eastAsia="华文细黑" w:cs="华文细黑"/>
          <w:sz w:val="24"/>
          <w:szCs w:val="24"/>
        </w:rPr>
        <w:t>万元。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八、合同签订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1.中标人须在7个工作日内，与我院签订采购合同，否则，将视为自动放弃本项目的所有权利，取消中标资格。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合同签订前，我院将对合同内容进行审查，如发现与采购结果和投标承诺内容不一致的，取消中标资格。中标人若拖延、拒签合同的,将取消中标资格。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九、付款方式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按合同约定付款，付款以转账支票形式支付。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十、投标截止时间、开标时间及地点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递交投标文件截止时间：20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17</w:t>
      </w:r>
      <w:r>
        <w:rPr>
          <w:rFonts w:hint="eastAsia" w:ascii="华文细黑" w:hAnsi="华文细黑" w:eastAsia="华文细黑" w:cs="华文细黑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sz w:val="24"/>
          <w:szCs w:val="24"/>
        </w:rPr>
        <w:t>0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2．开标时间：20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17</w:t>
      </w:r>
      <w:r>
        <w:rPr>
          <w:rFonts w:hint="eastAsia" w:ascii="华文细黑" w:hAnsi="华文细黑" w:eastAsia="华文细黑" w:cs="华文细黑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sz w:val="24"/>
          <w:szCs w:val="24"/>
        </w:rPr>
        <w:t>）14：00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3．投标地点：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中国科学院大学附属肿瘤医院（浙江省肿瘤医院）</w:t>
      </w:r>
      <w:r>
        <w:rPr>
          <w:rFonts w:hint="eastAsia" w:ascii="华文细黑" w:hAnsi="华文细黑" w:eastAsia="华文细黑" w:cs="华文细黑"/>
          <w:sz w:val="24"/>
          <w:szCs w:val="24"/>
        </w:rPr>
        <w:t>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402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4. 开标地点：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中国科学院大学附属肿瘤医院（浙江</w:t>
      </w:r>
      <w:bookmarkStart w:id="0" w:name="_GoBack"/>
      <w:bookmarkEnd w:id="0"/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省肿瘤医院）</w:t>
      </w:r>
      <w:r>
        <w:rPr>
          <w:rFonts w:hint="eastAsia" w:ascii="华文细黑" w:hAnsi="华文细黑" w:eastAsia="华文细黑" w:cs="华文细黑"/>
          <w:sz w:val="24"/>
          <w:szCs w:val="24"/>
        </w:rPr>
        <w:t>行政楼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415</w:t>
      </w:r>
      <w:r>
        <w:rPr>
          <w:rFonts w:hint="eastAsia" w:ascii="华文细黑" w:hAnsi="华文细黑" w:eastAsia="华文细黑" w:cs="华文细黑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十一、联系方式：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联系人：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sz w:val="24"/>
          <w:szCs w:val="24"/>
        </w:rPr>
        <w:t>先生    联系电话：0571-88122528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中国科学院大学附属肿瘤医院（浙江省肿瘤医院）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华文细黑" w:hAnsi="华文细黑" w:eastAsia="华文细黑" w:cs="华文细黑"/>
          <w:sz w:val="24"/>
          <w:szCs w:val="24"/>
        </w:rPr>
        <w:t xml:space="preserve">                                                   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sz w:val="24"/>
          <w:szCs w:val="24"/>
        </w:rPr>
        <w:t>20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20</w:t>
      </w:r>
      <w:r>
        <w:rPr>
          <w:rFonts w:hint="eastAsia" w:ascii="华文细黑" w:hAnsi="华文细黑" w:eastAsia="华文细黑" w:cs="华文细黑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01</w:t>
      </w:r>
      <w:r>
        <w:rPr>
          <w:rFonts w:hint="eastAsia" w:ascii="华文细黑" w:hAnsi="华文细黑" w:eastAsia="华文细黑" w:cs="华文细黑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10</w:t>
      </w:r>
      <w:r>
        <w:rPr>
          <w:rFonts w:hint="eastAsia" w:ascii="华文细黑" w:hAnsi="华文细黑" w:eastAsia="华文细黑" w:cs="华文细黑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  <w:t>中国科学院大学附属肿瘤医院（浙江省肿瘤医院）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  <w:t>床头柜维修项目（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技术资信分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细黑" w:hAnsi="华文细黑" w:eastAsia="华文细黑" w:cs="华文细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sz w:val="22"/>
          <w:szCs w:val="22"/>
          <w:lang w:val="en-US" w:eastAsia="zh-CN"/>
        </w:rPr>
        <w:t>单位：</w:t>
      </w:r>
    </w:p>
    <w:tbl>
      <w:tblPr>
        <w:tblStyle w:val="10"/>
        <w:tblW w:w="10353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918"/>
        <w:gridCol w:w="4009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1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  <w:t>评分内容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  <w:t>评分因素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技术评分标准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（0-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分）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实施过程中方案措施10分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针对本项目提供的施工方案，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合理全面得8-10分，较好的得5-7分，一般的得0-4分。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拟派项目团队成员情况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合理全面得8-10分，较好的得5-7分，一般的得0-4分。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产品样式5分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提供效果图或这样品，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分，较好的得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分，一般的得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产品的可维护性5分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提供效果图或这样品，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分，较好的得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分，一般的得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质保期情况6分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在2年质保期的基础上每增加6个月得3分，上限6分。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维修服务响应时间承诺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及方案10分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合理全面得8-10分，较好的得5-7分，一般的得0-4分。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合理化建议9分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针对本项目提供的合理化建议，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合理全面得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分，较好的得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-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分，一般的得0-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分。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35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1"/>
                <w:szCs w:val="21"/>
                <w:lang w:val="en-US" w:eastAsia="zh-CN"/>
              </w:rPr>
              <w:t>总分（55分）：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华文细黑" w:hAnsi="华文细黑" w:eastAsia="华文细黑" w:cs="华文细黑"/>
          <w:b/>
          <w:color w:val="000000"/>
          <w:kern w:val="0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hint="eastAsia" w:ascii="华文细黑" w:hAnsi="华文细黑" w:eastAsia="华文细黑" w:cs="华文细黑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b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hint="eastAsia" w:ascii="华文细黑" w:hAnsi="华文细黑" w:eastAsia="华文细黑" w:cs="华文细黑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华文细黑" w:hAnsi="华文细黑" w:eastAsia="华文细黑" w:cs="华文细黑"/>
          <w:b/>
          <w:color w:val="000000"/>
          <w:kern w:val="0"/>
          <w:sz w:val="32"/>
          <w:szCs w:val="32"/>
          <w:lang w:val="zh-CN"/>
        </w:rPr>
        <w:t>法人授权委托书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 w:cs="华文细黑"/>
          <w:color w:val="FF0000"/>
          <w:kern w:val="0"/>
          <w:sz w:val="24"/>
        </w:rPr>
      </w:pPr>
      <w:r>
        <w:rPr>
          <w:rFonts w:hint="eastAsia" w:ascii="华文细黑" w:hAnsi="华文细黑" w:eastAsia="华文细黑" w:cs="华文细黑"/>
          <w:color w:val="000000"/>
          <w:sz w:val="24"/>
          <w:u w:val="single"/>
          <w:lang w:val="en-US" w:eastAsia="zh-CN"/>
        </w:rPr>
        <w:t>中国科学院大学附属肿瘤医院（</w:t>
      </w:r>
      <w:r>
        <w:rPr>
          <w:rFonts w:hint="eastAsia" w:ascii="华文细黑" w:hAnsi="华文细黑" w:eastAsia="华文细黑" w:cs="华文细黑"/>
          <w:color w:val="000000"/>
          <w:sz w:val="24"/>
          <w:u w:val="single"/>
        </w:rPr>
        <w:t>浙江省肿瘤医院</w:t>
      </w:r>
      <w:r>
        <w:rPr>
          <w:rFonts w:hint="eastAsia" w:ascii="华文细黑" w:hAnsi="华文细黑" w:eastAsia="华文细黑" w:cs="华文细黑"/>
          <w:color w:val="000000"/>
          <w:sz w:val="24"/>
          <w:u w:val="single"/>
          <w:lang w:val="en-US" w:eastAsia="zh-CN"/>
        </w:rPr>
        <w:t>）</w:t>
      </w:r>
      <w:r>
        <w:rPr>
          <w:rFonts w:hint="eastAsia" w:ascii="华文细黑" w:hAnsi="华文细黑" w:eastAsia="华文细黑" w:cs="华文细黑"/>
          <w:color w:val="000000"/>
          <w:sz w:val="24"/>
        </w:rPr>
        <w:t>：</w:t>
      </w:r>
    </w:p>
    <w:p>
      <w:pPr>
        <w:adjustRightInd w:val="0"/>
        <w:snapToGrid w:val="0"/>
        <w:spacing w:line="360" w:lineRule="auto"/>
        <w:ind w:firstLine="576"/>
        <w:rPr>
          <w:rFonts w:hint="eastAsia" w:ascii="华文细黑" w:hAnsi="华文细黑" w:eastAsia="华文细黑" w:cs="华文细黑"/>
          <w:color w:val="000000"/>
          <w:kern w:val="0"/>
          <w:sz w:val="24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兹委派我公司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先生/女士(其在本公司的职务是：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 xml:space="preserve"> ，联系电话：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身份证号码：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  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手机：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传真：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u w:val="single"/>
          <w:lang w:val="zh-CN"/>
        </w:rPr>
        <w:t xml:space="preserve">         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)代表我公司全权处理本次议价</w:t>
      </w:r>
      <w:r>
        <w:rPr>
          <w:rFonts w:hint="eastAsia" w:ascii="华文细黑" w:hAnsi="华文细黑" w:eastAsia="华文细黑" w:cs="华文细黑"/>
          <w:kern w:val="0"/>
          <w:sz w:val="24"/>
          <w:lang w:val="zh-CN"/>
        </w:rPr>
        <w:t>采购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的一切事项，若最终成交则全权代表本公司签订相关合同，并负责处理合同履行等事宜。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 xml:space="preserve">    本委托书有效期：自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</w:rPr>
        <w:t xml:space="preserve">  </w:t>
      </w: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 xml:space="preserve">   年 月  日起至    年  月  日止。</w:t>
      </w:r>
    </w:p>
    <w:p>
      <w:pPr>
        <w:adjustRightInd w:val="0"/>
        <w:snapToGrid w:val="0"/>
        <w:spacing w:line="360" w:lineRule="auto"/>
        <w:ind w:firstLine="240" w:firstLineChars="100"/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特此告知。</w:t>
      </w:r>
    </w:p>
    <w:p>
      <w:pPr>
        <w:pStyle w:val="9"/>
        <w:ind w:firstLine="240"/>
        <w:rPr>
          <w:rFonts w:hint="eastAsia" w:ascii="华文细黑" w:hAnsi="华文细黑" w:eastAsia="华文细黑" w:cs="华文细黑"/>
        </w:rPr>
      </w:pPr>
    </w:p>
    <w:p>
      <w:pPr>
        <w:pStyle w:val="9"/>
        <w:ind w:firstLine="240"/>
        <w:rPr>
          <w:rFonts w:hint="eastAsia" w:ascii="华文细黑" w:hAnsi="华文细黑" w:eastAsia="华文细黑" w:cs="华文细黑"/>
        </w:rPr>
      </w:pPr>
    </w:p>
    <w:p>
      <w:pPr>
        <w:pStyle w:val="9"/>
        <w:ind w:firstLine="240"/>
        <w:rPr>
          <w:rFonts w:hint="eastAsia" w:ascii="华文细黑" w:hAnsi="华文细黑" w:eastAsia="华文细黑" w:cs="华文细黑"/>
        </w:rPr>
      </w:pPr>
    </w:p>
    <w:p>
      <w:pPr>
        <w:pStyle w:val="9"/>
        <w:ind w:firstLine="240"/>
        <w:rPr>
          <w:rFonts w:hint="eastAsia" w:ascii="华文细黑" w:hAnsi="华文细黑" w:eastAsia="华文细黑" w:cs="华文细黑"/>
        </w:rPr>
      </w:pP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 w:cs="华文细黑"/>
          <w:color w:val="000000"/>
          <w:kern w:val="0"/>
          <w:sz w:val="24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 xml:space="preserve">                                                  供应商名称(公章)：</w:t>
      </w:r>
    </w:p>
    <w:p>
      <w:pPr>
        <w:adjustRightInd w:val="0"/>
        <w:snapToGrid w:val="0"/>
        <w:spacing w:line="360" w:lineRule="auto"/>
        <w:rPr>
          <w:rFonts w:hint="eastAsia" w:ascii="华文细黑" w:hAnsi="华文细黑" w:eastAsia="华文细黑" w:cs="华文细黑"/>
          <w:color w:val="000000"/>
          <w:kern w:val="0"/>
          <w:sz w:val="24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 xml:space="preserve">                                                  法定代表人(签章)：</w:t>
      </w:r>
    </w:p>
    <w:p>
      <w:pPr>
        <w:wordWrap w:val="0"/>
        <w:adjustRightInd w:val="0"/>
        <w:snapToGrid w:val="0"/>
        <w:spacing w:line="360" w:lineRule="auto"/>
        <w:ind w:right="120"/>
        <w:jc w:val="right"/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</w:pPr>
      <w:r>
        <w:rPr>
          <w:rFonts w:hint="eastAsia" w:ascii="华文细黑" w:hAnsi="华文细黑" w:eastAsia="华文细黑" w:cs="华文细黑"/>
          <w:color w:val="000000"/>
          <w:kern w:val="0"/>
          <w:sz w:val="24"/>
          <w:lang w:val="zh-CN"/>
        </w:rPr>
        <w:t>签发日期：   年  月   日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="华文细黑" w:hAnsi="华文细黑" w:eastAsia="华文细黑" w:cs="华文细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7F3D"/>
    <w:rsid w:val="001563FA"/>
    <w:rsid w:val="003A198F"/>
    <w:rsid w:val="007E6D8C"/>
    <w:rsid w:val="00B5525D"/>
    <w:rsid w:val="00B731D7"/>
    <w:rsid w:val="074F22F7"/>
    <w:rsid w:val="07C904D2"/>
    <w:rsid w:val="07CD72E2"/>
    <w:rsid w:val="09AC7B34"/>
    <w:rsid w:val="0AF54109"/>
    <w:rsid w:val="13AA5AD0"/>
    <w:rsid w:val="177E5DD6"/>
    <w:rsid w:val="1B7A6B7E"/>
    <w:rsid w:val="1E755027"/>
    <w:rsid w:val="25F76C1E"/>
    <w:rsid w:val="26212EF7"/>
    <w:rsid w:val="27622B4F"/>
    <w:rsid w:val="2BD4031D"/>
    <w:rsid w:val="2BF96F6F"/>
    <w:rsid w:val="2D6B50D0"/>
    <w:rsid w:val="347D0A86"/>
    <w:rsid w:val="374C61CB"/>
    <w:rsid w:val="38EF7149"/>
    <w:rsid w:val="38FC7F3D"/>
    <w:rsid w:val="3A140A17"/>
    <w:rsid w:val="49D32A72"/>
    <w:rsid w:val="4AAC6732"/>
    <w:rsid w:val="545023A1"/>
    <w:rsid w:val="57E906EE"/>
    <w:rsid w:val="584E642D"/>
    <w:rsid w:val="59982E95"/>
    <w:rsid w:val="5A8C1B73"/>
    <w:rsid w:val="5CCA6D56"/>
    <w:rsid w:val="65863336"/>
    <w:rsid w:val="67564F5E"/>
    <w:rsid w:val="67832C8C"/>
    <w:rsid w:val="6DBE673B"/>
    <w:rsid w:val="71452D90"/>
    <w:rsid w:val="7D16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qFormat/>
    <w:uiPriority w:val="99"/>
    <w:pPr>
      <w:ind w:firstLine="420" w:firstLineChars="100"/>
    </w:p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1272</Characters>
  <Lines>10</Lines>
  <Paragraphs>2</Paragraphs>
  <TotalTime>17</TotalTime>
  <ScaleCrop>false</ScaleCrop>
  <LinksUpToDate>false</LinksUpToDate>
  <CharactersWithSpaces>1492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2019-05-30T01:16:00Z</dcterms:created>
  <dc:creator>Hami猫不迷糊</dc:creator>
  <cp:lastModifiedBy>Administrator</cp:lastModifiedBy>
  <cp:lastPrinted>2020-01-10T09:07:00Z</cp:lastPrinted>
  <dcterms:modified xsi:type="dcterms:W3CDTF">2020-01-10T14:03:00Z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