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44"/>
          <w:szCs w:val="44"/>
          <w14:shadow w14:blurRad="50800" w14:dist="38100" w14:dir="2700000" w14:sx="100000" w14:sy="100000" w14:kx="0" w14:ky="0" w14:algn="tl">
            <w14:srgbClr w14:val="000000">
              <w14:alpha w14:val="60000"/>
            </w14:srgbClr>
          </w14:shadow>
        </w:rPr>
      </w:pPr>
      <w:r>
        <w:rPr>
          <w:rFonts w:hint="eastAsia" w:ascii="宋体" w:hAnsi="宋体" w:cs="宋体"/>
          <w:sz w:val="44"/>
          <w:szCs w:val="44"/>
          <w:u w:val="single"/>
          <w:lang w:eastAsia="zh-CN"/>
          <w14:shadow w14:blurRad="50800" w14:dist="38100" w14:dir="2700000" w14:sx="100000" w14:sy="100000" w14:kx="0" w14:ky="0" w14:algn="tl">
            <w14:srgbClr w14:val="000000">
              <w14:alpha w14:val="60000"/>
            </w14:srgbClr>
          </w14:shadow>
        </w:rPr>
        <w:t>中国科学院大学附属肿瘤医院（浙江省肿瘤医院）</w:t>
      </w:r>
      <w:r>
        <w:rPr>
          <w:rFonts w:hint="eastAsia" w:ascii="宋体" w:hAnsi="宋体" w:cs="宋体"/>
          <w:sz w:val="44"/>
          <w:szCs w:val="44"/>
          <w:u w:val="single"/>
          <w:lang w:val="en-US" w:eastAsia="zh-CN"/>
          <w14:shadow w14:blurRad="50800" w14:dist="38100" w14:dir="2700000" w14:sx="100000" w14:sy="100000" w14:kx="0" w14:ky="0" w14:algn="tl">
            <w14:srgbClr w14:val="000000">
              <w14:alpha w14:val="60000"/>
            </w14:srgbClr>
          </w14:shadow>
        </w:rPr>
        <w:t>10号楼6楼研究所多联机组采购项目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cs="宋体"/>
          <w:sz w:val="32"/>
          <w:lang w:eastAsia="zh-CN"/>
          <w14:shadow w14:blurRad="50800" w14:dist="38100" w14:dir="2700000" w14:sx="100000" w14:sy="100000" w14:kx="0" w14:ky="0" w14:algn="tl">
            <w14:srgbClr w14:val="000000">
              <w14:alpha w14:val="60000"/>
            </w14:srgbClr>
          </w14:shadow>
        </w:rPr>
        <w:t>中国科学院大学附属肿瘤医院（</w:t>
      </w: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32"/>
          <w:lang w:eastAsia="zh-CN"/>
          <w14:shadow w14:blurRad="50800" w14:dist="38100" w14:dir="2700000" w14:sx="100000" w14:sy="100000" w14:kx="0" w14:ky="0" w14:algn="tl">
            <w14:srgbClr w14:val="000000">
              <w14:alpha w14:val="60000"/>
            </w14:srgbClr>
          </w14:shadow>
        </w:rPr>
        <w:t>）</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417"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20" w:hangingChars="100"/>
        <w:jc w:val="center"/>
        <w:textAlignment w:val="auto"/>
        <w:outlineLvl w:val="9"/>
        <w:rPr>
          <w:rFonts w:hint="eastAsia" w:ascii="华文细黑" w:hAnsi="华文细黑" w:eastAsia="华文细黑" w:cs="华文细黑"/>
          <w:b/>
          <w:bCs/>
          <w:sz w:val="32"/>
          <w:szCs w:val="32"/>
          <w:lang w:val="en-US" w:eastAsia="zh-CN"/>
        </w:rPr>
      </w:pPr>
      <w:r>
        <w:rPr>
          <w:rFonts w:hint="eastAsia" w:ascii="华文细黑" w:hAnsi="华文细黑" w:eastAsia="华文细黑" w:cs="华文细黑"/>
          <w:b/>
          <w:bCs/>
          <w:sz w:val="32"/>
          <w:szCs w:val="32"/>
          <w:lang w:val="zh-CN"/>
        </w:rPr>
        <w:t>中国科学院大学附属肿瘤医院（浙江省肿瘤医院）</w:t>
      </w:r>
      <w:r>
        <w:rPr>
          <w:rFonts w:hint="eastAsia" w:ascii="华文细黑" w:hAnsi="华文细黑" w:eastAsia="华文细黑" w:cs="华文细黑"/>
          <w:b/>
          <w:bCs/>
          <w:sz w:val="32"/>
          <w:szCs w:val="32"/>
          <w:lang w:val="en-US" w:eastAsia="zh-CN"/>
        </w:rPr>
        <w:t xml:space="preserve">        10号楼6楼研究所多联机组采购项目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10号楼6楼研究所多联机组采购项目</w:t>
      </w:r>
      <w:r>
        <w:rPr>
          <w:rFonts w:hint="eastAsia" w:ascii="华文细黑" w:hAnsi="华文细黑" w:eastAsia="华文细黑" w:cs="华文细黑"/>
          <w:color w:val="auto"/>
          <w:sz w:val="24"/>
          <w:szCs w:val="24"/>
        </w:rPr>
        <w:t>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10号楼6楼研究所多联机组采购项目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（3）供应商除提供货物外，还应随货物向院方提供交付货物的出厂合格证、质量检验报告、厂家营业执照复印件、生产许可证复印件、授权经销合同复印件等相关资料（复印件均需加盖供应单位红章）。</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keepNext w:val="0"/>
        <w:keepLines w:val="0"/>
        <w:pageBreakBefore w:val="0"/>
        <w:widowControl w:val="0"/>
        <w:kinsoku/>
        <w:wordWrap/>
        <w:overflowPunct/>
        <w:topLinePunct w:val="0"/>
        <w:autoSpaceDE/>
        <w:autoSpaceDN/>
        <w:bidi w:val="0"/>
        <w:adjustRightInd/>
        <w:snapToGrid/>
        <w:spacing w:after="157" w:afterLines="50" w:line="400" w:lineRule="exact"/>
        <w:ind w:left="-425" w:right="-340" w:rightChars="-162" w:firstLine="480" w:firstLineChars="200"/>
        <w:textAlignment w:val="auto"/>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 xml:space="preserve">1. </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9"/>
        <w:tblpPr w:leftFromText="180" w:rightFromText="180" w:vertAnchor="text" w:horzAnchor="page" w:tblpX="1134" w:tblpY="17"/>
        <w:tblOverlap w:val="never"/>
        <w:tblW w:w="9850" w:type="dxa"/>
        <w:tblInd w:w="0" w:type="dxa"/>
        <w:tblLayout w:type="fixed"/>
        <w:tblCellMar>
          <w:top w:w="0" w:type="dxa"/>
          <w:left w:w="30" w:type="dxa"/>
          <w:bottom w:w="0" w:type="dxa"/>
          <w:right w:w="30" w:type="dxa"/>
        </w:tblCellMar>
      </w:tblPr>
      <w:tblGrid>
        <w:gridCol w:w="667"/>
        <w:gridCol w:w="2785"/>
        <w:gridCol w:w="1177"/>
        <w:gridCol w:w="2051"/>
        <w:gridCol w:w="1035"/>
        <w:gridCol w:w="1050"/>
        <w:gridCol w:w="1085"/>
      </w:tblGrid>
      <w:tr>
        <w:tblPrEx>
          <w:tblLayout w:type="fixed"/>
          <w:tblCellMar>
            <w:top w:w="0" w:type="dxa"/>
            <w:left w:w="30" w:type="dxa"/>
            <w:bottom w:w="0" w:type="dxa"/>
            <w:right w:w="30" w:type="dxa"/>
          </w:tblCellMar>
        </w:tblPrEx>
        <w:trPr>
          <w:trHeight w:val="406" w:hRule="atLeast"/>
        </w:trPr>
        <w:tc>
          <w:tcPr>
            <w:tcW w:w="66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2785"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117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eastAsia="zh-CN"/>
              </w:rPr>
            </w:pPr>
            <w:r>
              <w:rPr>
                <w:rFonts w:hint="eastAsia" w:ascii="华文细黑" w:hAnsi="华文细黑" w:eastAsia="华文细黑" w:cs="华文细黑"/>
                <w:sz w:val="21"/>
                <w:szCs w:val="21"/>
              </w:rPr>
              <w:t>数量</w:t>
            </w:r>
            <w:r>
              <w:rPr>
                <w:rFonts w:hint="eastAsia" w:ascii="华文细黑" w:hAnsi="华文细黑" w:eastAsia="华文细黑" w:cs="华文细黑"/>
                <w:sz w:val="21"/>
                <w:szCs w:val="21"/>
                <w:lang w:eastAsia="zh-CN"/>
              </w:rPr>
              <w:t>（台）</w:t>
            </w:r>
          </w:p>
        </w:tc>
        <w:tc>
          <w:tcPr>
            <w:tcW w:w="2051"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1035"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1050"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c>
          <w:tcPr>
            <w:tcW w:w="1085"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备注</w:t>
            </w:r>
          </w:p>
        </w:tc>
      </w:tr>
      <w:tr>
        <w:tblPrEx>
          <w:tblLayout w:type="fixed"/>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278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空调多联机组室外机</w:t>
            </w:r>
          </w:p>
        </w:tc>
        <w:tc>
          <w:tcPr>
            <w:tcW w:w="117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品牌：海尔、格力、美的或同档次品牌</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tcBorders>
              <w:top w:val="single" w:color="auto" w:sz="6" w:space="0"/>
              <w:left w:val="single" w:color="auto" w:sz="4" w:space="0"/>
              <w:bottom w:val="single" w:color="000000"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r>
        <w:tblPrEx>
          <w:tblLayout w:type="fixed"/>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278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eastAsia="zh-CN"/>
              </w:rPr>
            </w:pPr>
            <w:r>
              <w:rPr>
                <w:rFonts w:hint="eastAsia" w:ascii="华文细黑" w:hAnsi="华文细黑" w:eastAsia="华文细黑" w:cs="华文细黑"/>
                <w:sz w:val="21"/>
                <w:szCs w:val="21"/>
                <w:lang w:eastAsia="zh-CN"/>
              </w:rPr>
              <w:t>空调多联机组室内机</w:t>
            </w:r>
          </w:p>
        </w:tc>
        <w:tc>
          <w:tcPr>
            <w:tcW w:w="117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default"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7</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品牌：海尔、格力、美的或同档次品牌</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tcBorders>
              <w:top w:val="single" w:color="000000" w:sz="4"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cantSplit/>
          <w:trHeight w:val="445" w:hRule="atLeast"/>
        </w:trPr>
        <w:tc>
          <w:tcPr>
            <w:tcW w:w="8765"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投标总价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c>
          <w:tcPr>
            <w:tcW w:w="1085" w:type="dxa"/>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bl>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合同价格为货物到达</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指定地点价格，包含一切税费、货物费、运杂费、保险费、装卸落地费、保管费、备品备件专用工具、货物仓储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实行固定单价包干</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最终按实结算。</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院方</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供应商将货物在院方指定时间运到院方指定的地点以后通知院方进行验收，若货物与进货数目不相符，或有损坏，或者货物的包装、品种、规格、质量等不符合规定，院方有权拒收全部或部分货物，供应商必须按照院方要求收回或补齐，供应商实际交货时间以供应商最终补齐货物时间为准。参与交货验收的单位在货物清单上共同签字，并填写交货验收合格证明，此合格证明为供应商交货的凭证，也是供应商申请付款的必要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供应商在交货的同时应向院方提供空调厂家授权经销合同，产品合格证，备案证等相关资料，否则院方有权拒收货物。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 对供应商所提供的产品，院方有权随机抽样送检，如送检产品质量不符合相应国家或者行业标准，院方有权对供应商提出索赔。产品质量必须通过国家检测机构相关部门验收标准为准。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7. 供应商应派遣有从事同类工作3年以上实践经验的技术人员进行空调多联机组的安装工作，安装人员必须持有国家相关部分颁发的作业证等，持证上岗。安装人员必须服从院方的管理，在院区内所产生的一切人身安全责任和事故由供应商自行处理和负责，院方不承担责任。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8. 空调多联机组连接及安装必须牢固、可靠，安装必须符合国家及行业相关标准。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符合《中华人民共和国政府采购法》第二十二条规定条件；必须具备本次招标货物或服务的经营资质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r>
        <w:rPr>
          <w:rFonts w:hint="eastAsia" w:ascii="华文细黑" w:hAnsi="华文细黑" w:eastAsia="华文细黑" w:cs="华文细黑"/>
          <w:color w:val="auto"/>
          <w:sz w:val="24"/>
          <w:szCs w:val="24"/>
          <w:lang w:eastAsia="zh-CN"/>
        </w:rPr>
        <w:t>，需提供相关</w:t>
      </w:r>
      <w:r>
        <w:rPr>
          <w:rFonts w:hint="eastAsia" w:ascii="华文细黑" w:hAnsi="华文细黑" w:eastAsia="华文细黑" w:cs="华文细黑"/>
          <w:color w:val="auto"/>
          <w:sz w:val="24"/>
          <w:szCs w:val="24"/>
          <w:lang w:val="en-US" w:eastAsia="zh-CN"/>
        </w:rPr>
        <w:t>合同复印件（加盖公章）</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响应文件分</w:t>
      </w:r>
      <w:r>
        <w:rPr>
          <w:rFonts w:hint="eastAsia" w:ascii="华文细黑" w:hAnsi="华文细黑" w:eastAsia="华文细黑" w:cs="华文细黑"/>
          <w:color w:val="auto"/>
          <w:sz w:val="24"/>
          <w:szCs w:val="24"/>
          <w:lang w:val="en-US" w:eastAsia="zh-CN"/>
        </w:rPr>
        <w:t>报价文件、</w:t>
      </w:r>
      <w:r>
        <w:rPr>
          <w:rFonts w:hint="eastAsia" w:ascii="华文细黑" w:hAnsi="华文细黑" w:eastAsia="华文细黑" w:cs="华文细黑"/>
          <w:color w:val="auto"/>
          <w:sz w:val="24"/>
          <w:szCs w:val="24"/>
        </w:rPr>
        <w:t>技术文件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商务文件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按本文件第二条第1款表格内所列内容报价；（2）采购到货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商务文件至少应包括以下内容：证明其为合格供应商和所提供的为合格产品的有关资格证明文件，招标文件要求提供的其他资料等（均需加盖公章）：（1）法人授权委托书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）所有资质及认证文件；（</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技术文件至少应包括以下内容：针对本项目的技术和服务投标方案，招标文件要求提供的其他资料等（均需加盖公章）：（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本次报价总价不得超过9.8万元，超过9.8万元作无效标处理。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所有货物以各批次实际采购数量分批次进行结算，货物到现场安装验收合格完毕，</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在收到该批次货款有效票据后十五个工作日内支付至该批次货款结算总价的95%；留该批次结算总价的5%作为质量保证金。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（1）双方签署的最终验收合格报告</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（2）相应金额的发票。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质量保证金：自验收合格后满</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年，售后服务良好，无质量和服务问题，原额（无息）退还质量保证金。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8</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19</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eastAsia="zh-CN"/>
        </w:rPr>
        <w:t>一</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2．开标时间：201</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8</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eastAsia="zh-CN"/>
        </w:rPr>
        <w:t>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3．投标地点：浙江省肿瘤医院行政楼40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4. 开标地点：浙江省肿瘤医院行政楼</w:t>
      </w:r>
      <w:r>
        <w:rPr>
          <w:rFonts w:hint="eastAsia" w:ascii="华文细黑" w:hAnsi="华文细黑" w:eastAsia="华文细黑" w:cs="华文细黑"/>
          <w:color w:val="auto"/>
          <w:sz w:val="24"/>
          <w:szCs w:val="24"/>
          <w:lang w:val="en-US" w:eastAsia="zh-CN"/>
        </w:rPr>
        <w:t>411</w:t>
      </w:r>
      <w:r>
        <w:rPr>
          <w:rFonts w:hint="eastAsia" w:ascii="华文细黑" w:hAnsi="华文细黑" w:eastAsia="华文细黑" w:cs="华文细黑"/>
          <w:color w:val="auto"/>
          <w:sz w:val="24"/>
          <w:szCs w:val="24"/>
        </w:rPr>
        <w:t>室</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2019年8月12日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br w:type="page"/>
      </w: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0%×100</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spacing w:line="520" w:lineRule="exact"/>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2.2商务分10分：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投标人自2016年7月1日以来（以合同签订时间为准）具有同类空调多联机组供货项目业绩，每个业绩得2分，加满为止。此项以合同复印件加盖公章作为业绩证明材料。（6分）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具有ISO9001：2000国际质量管理体系认证和中国节能产品认证每项得1分，最高得2分。（2分）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承诺在原有两</w:t>
      </w:r>
      <w:bookmarkStart w:id="0" w:name="_GoBack"/>
      <w:bookmarkEnd w:id="0"/>
      <w:r>
        <w:rPr>
          <w:rFonts w:hint="eastAsia" w:ascii="华文中宋" w:hAnsi="华文中宋" w:eastAsia="华文中宋" w:cs="华文中宋"/>
          <w:szCs w:val="21"/>
          <w:lang w:val="en-US" w:eastAsia="zh-CN"/>
        </w:rPr>
        <w:t>年质保期基础上增加质保期1年加1分，2年加2分，最高得2分。（2分）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技术分</w:t>
      </w:r>
      <w:r>
        <w:rPr>
          <w:rFonts w:hint="eastAsia" w:ascii="华文中宋" w:hAnsi="华文中宋" w:eastAsia="华文中宋" w:cs="华文中宋"/>
          <w:b/>
          <w:bCs/>
          <w:szCs w:val="21"/>
          <w:lang w:val="en-US" w:eastAsia="zh-CN"/>
        </w:rPr>
        <w:t>50</w:t>
      </w:r>
      <w:r>
        <w:rPr>
          <w:rFonts w:hint="eastAsia" w:ascii="华文中宋" w:hAnsi="华文中宋" w:eastAsia="华文中宋" w:cs="华文中宋"/>
          <w:b/>
          <w:bCs/>
          <w:szCs w:val="21"/>
        </w:rPr>
        <w:t>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w:t>
      </w:r>
      <w:r>
        <w:rPr>
          <w:rFonts w:hint="eastAsia" w:ascii="华文中宋" w:hAnsi="华文中宋" w:eastAsia="华文中宋" w:cs="华文中宋"/>
          <w:szCs w:val="21"/>
          <w:lang w:eastAsia="zh-CN"/>
        </w:rPr>
        <w:t>，</w:t>
      </w:r>
      <w:r>
        <w:rPr>
          <w:rFonts w:hint="eastAsia" w:ascii="华文中宋" w:hAnsi="华文中宋" w:eastAsia="华文中宋" w:cs="华文中宋"/>
          <w:szCs w:val="21"/>
        </w:rPr>
        <w:t xml:space="preserve">各投标人的得分允许一致。        </w:t>
      </w:r>
    </w:p>
    <w:p>
      <w:pPr>
        <w:spacing w:line="52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产品的品牌知名度及质量可靠性</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r>
        <w:rPr>
          <w:rFonts w:hint="eastAsia" w:ascii="华文中宋" w:hAnsi="华文中宋" w:eastAsia="华文中宋" w:cs="华文中宋"/>
          <w:szCs w:val="21"/>
          <w:lang w:eastAsia="zh-CN"/>
        </w:rPr>
        <w:t>。</w:t>
      </w:r>
    </w:p>
    <w:p>
      <w:pPr>
        <w:spacing w:line="52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产品技术、投标人生产能力及供货包装运输保证</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r>
        <w:rPr>
          <w:rFonts w:hint="eastAsia" w:ascii="华文中宋" w:hAnsi="华文中宋" w:eastAsia="华文中宋" w:cs="华文中宋"/>
          <w:szCs w:val="21"/>
          <w:lang w:eastAsia="zh-CN"/>
        </w:rPr>
        <w:t>。</w:t>
      </w:r>
    </w:p>
    <w:p>
      <w:pPr>
        <w:spacing w:line="52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针对医院的</w:t>
      </w:r>
      <w:r>
        <w:rPr>
          <w:rFonts w:hint="eastAsia" w:ascii="华文中宋" w:hAnsi="华文中宋" w:eastAsia="华文中宋" w:cs="华文中宋"/>
          <w:szCs w:val="21"/>
        </w:rPr>
        <w:t>施工方案及保证措施是否具有针对性、</w:t>
      </w:r>
      <w:r>
        <w:rPr>
          <w:rFonts w:hint="eastAsia" w:ascii="华文中宋" w:hAnsi="华文中宋" w:eastAsia="华文中宋" w:cs="华文中宋"/>
          <w:szCs w:val="21"/>
          <w:lang w:val="en-US" w:eastAsia="zh-CN"/>
        </w:rPr>
        <w:t>是否</w:t>
      </w:r>
      <w:r>
        <w:rPr>
          <w:rFonts w:hint="eastAsia" w:ascii="华文中宋" w:hAnsi="华文中宋" w:eastAsia="华文中宋" w:cs="华文中宋"/>
          <w:szCs w:val="21"/>
        </w:rPr>
        <w:t>科学合理（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r>
        <w:rPr>
          <w:rFonts w:hint="eastAsia" w:ascii="华文中宋" w:hAnsi="华文中宋" w:eastAsia="华文中宋" w:cs="华文中宋"/>
          <w:szCs w:val="21"/>
          <w:lang w:eastAsia="zh-CN"/>
        </w:rPr>
        <w:t>。</w:t>
      </w:r>
    </w:p>
    <w:p>
      <w:pPr>
        <w:spacing w:line="52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）派驻现场的技术管理人员</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施工人员</w:t>
      </w:r>
      <w:r>
        <w:rPr>
          <w:rFonts w:hint="eastAsia" w:ascii="华文中宋" w:hAnsi="华文中宋" w:eastAsia="华文中宋" w:cs="华文中宋"/>
          <w:szCs w:val="21"/>
        </w:rPr>
        <w:t>的专业配置是否合理（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r>
        <w:rPr>
          <w:rFonts w:hint="eastAsia" w:ascii="华文中宋" w:hAnsi="华文中宋" w:eastAsia="华文中宋" w:cs="华文中宋"/>
          <w:szCs w:val="21"/>
          <w:lang w:eastAsia="zh-CN"/>
        </w:rPr>
        <w:t>。</w:t>
      </w:r>
    </w:p>
    <w:p>
      <w:pPr>
        <w:spacing w:line="520" w:lineRule="exact"/>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）售后</w:t>
      </w:r>
      <w:r>
        <w:rPr>
          <w:rFonts w:hint="eastAsia" w:ascii="华文中宋" w:hAnsi="华文中宋" w:eastAsia="华文中宋" w:cs="华文中宋"/>
          <w:szCs w:val="21"/>
          <w:lang w:val="en-US" w:eastAsia="zh-CN"/>
        </w:rPr>
        <w:t>技术服务及</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r>
        <w:rPr>
          <w:rFonts w:hint="eastAsia" w:ascii="华文中宋" w:hAnsi="华文中宋" w:eastAsia="华文中宋" w:cs="华文中宋"/>
          <w:szCs w:val="21"/>
          <w:lang w:eastAsia="zh-CN"/>
        </w:rPr>
        <w:t>。</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520" w:lineRule="exact"/>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1"/>
      </w:rPr>
    </w:pPr>
    <w:r>
      <w:fldChar w:fldCharType="begin"/>
    </w:r>
    <w:r>
      <w:rPr>
        <w:rStyle w:val="11"/>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1"/>
      </w:rPr>
      <w:instrText xml:space="preserve"> PAGE </w:instrText>
    </w:r>
    <w:r>
      <w:fldChar w:fldCharType="separate"/>
    </w:r>
    <w:r>
      <w:rPr>
        <w:rStyle w:val="11"/>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5C547"/>
    <w:multiLevelType w:val="singleLevel"/>
    <w:tmpl w:val="C015C5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4A55601"/>
    <w:rsid w:val="07C904D2"/>
    <w:rsid w:val="07CD72E2"/>
    <w:rsid w:val="09AC7B34"/>
    <w:rsid w:val="0E424BB4"/>
    <w:rsid w:val="13AA5AD0"/>
    <w:rsid w:val="1DF07351"/>
    <w:rsid w:val="1E755027"/>
    <w:rsid w:val="25F76C1E"/>
    <w:rsid w:val="26212EF7"/>
    <w:rsid w:val="27622B4F"/>
    <w:rsid w:val="2BF96F6F"/>
    <w:rsid w:val="2D6B50D0"/>
    <w:rsid w:val="347D0A86"/>
    <w:rsid w:val="353324D4"/>
    <w:rsid w:val="35E41148"/>
    <w:rsid w:val="36477320"/>
    <w:rsid w:val="38EF7149"/>
    <w:rsid w:val="38FC7F3D"/>
    <w:rsid w:val="3A140A17"/>
    <w:rsid w:val="464D3366"/>
    <w:rsid w:val="49D32A72"/>
    <w:rsid w:val="4AAC6732"/>
    <w:rsid w:val="4DF20526"/>
    <w:rsid w:val="57E906EE"/>
    <w:rsid w:val="58774EA9"/>
    <w:rsid w:val="64C17567"/>
    <w:rsid w:val="64E80303"/>
    <w:rsid w:val="64EC31D0"/>
    <w:rsid w:val="6692771C"/>
    <w:rsid w:val="67564F5E"/>
    <w:rsid w:val="67832C8C"/>
    <w:rsid w:val="6BBB0499"/>
    <w:rsid w:val="758E6E2E"/>
    <w:rsid w:val="75C3381F"/>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page number"/>
    <w:basedOn w:val="10"/>
    <w:qFormat/>
    <w:uiPriority w:val="0"/>
  </w:style>
  <w:style w:type="paragraph" w:customStyle="1" w:styleId="12">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　　　　　　　　</cp:lastModifiedBy>
  <cp:lastPrinted>2018-07-17T01:54:00Z</cp:lastPrinted>
  <dcterms:modified xsi:type="dcterms:W3CDTF">2019-08-13T08:04:58Z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