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浙江省肿瘤医院连廊下改造设计项目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陆</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浙江省肿瘤医院连廊下改造设计项目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浙江省肿瘤医院连廊下改造设计项目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浙江省肿瘤医院连廊下改造设计项目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连廊下改造设计项目，具体包括方案设计（含估算编制）及优化、初步设计、效果图设计、施工图设计（含8套纸质图纸）、设计调整、设备设施选型配合、施工图会审、施工配合、竣工图绘制配合、验收配合和工程期间的其他相关服务等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序号</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内容</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1</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方案优化</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2</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初步设计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3</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施工图设计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4</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总设计天数</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28天</w:t>
            </w:r>
          </w:p>
        </w:tc>
      </w:tr>
    </w:tbl>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具有建筑装饰工程设计专项类乙级或建筑工程设计乙级资质或工程设计综合类乙级及以上资质；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拟派项目总设计师具有中级及以上职称的一级或二级注册建筑师；</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本次报价总价不得超过9.9万元，超过9.9万元作无效标处理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二</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三</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402</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联系方式：联系人：</w:t>
      </w:r>
      <w:r>
        <w:rPr>
          <w:rFonts w:hint="eastAsia" w:ascii="华文细黑" w:hAnsi="华文细黑" w:eastAsia="华文细黑" w:cs="华文细黑"/>
          <w:color w:val="auto"/>
          <w:sz w:val="24"/>
          <w:szCs w:val="24"/>
          <w:lang w:val="en-US" w:eastAsia="zh-CN"/>
        </w:rPr>
        <w:t>杨</w:t>
      </w:r>
      <w:r>
        <w:rPr>
          <w:rFonts w:hint="eastAsia" w:ascii="华文细黑" w:hAnsi="华文细黑" w:eastAsia="华文细黑" w:cs="华文细黑"/>
          <w:color w:val="auto"/>
          <w:sz w:val="24"/>
          <w:szCs w:val="24"/>
        </w:rPr>
        <w:t>先生    联系电话：0571-881225</w:t>
      </w:r>
      <w:r>
        <w:rPr>
          <w:rFonts w:hint="eastAsia" w:ascii="华文细黑" w:hAnsi="华文细黑" w:eastAsia="华文细黑" w:cs="华文细黑"/>
          <w:color w:val="auto"/>
          <w:sz w:val="24"/>
          <w:szCs w:val="24"/>
          <w:lang w:val="en-US" w:eastAsia="zh-CN"/>
        </w:rPr>
        <w:t>32</w:t>
      </w:r>
      <w:bookmarkStart w:id="0" w:name="_GoBack"/>
      <w:bookmarkEnd w:id="0"/>
      <w:r>
        <w:rPr>
          <w:rFonts w:hint="eastAsia" w:ascii="华文细黑" w:hAnsi="华文细黑" w:eastAsia="华文细黑" w:cs="华文细黑"/>
          <w:color w:val="auto"/>
          <w:sz w:val="24"/>
          <w:szCs w:val="24"/>
          <w:lang w:val="en-US" w:eastAsia="zh-CN"/>
        </w:rPr>
        <w:t xml:space="preserve">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2019年6月25日</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w:t>
      </w:r>
      <w:r>
        <w:rPr>
          <w:rFonts w:hint="eastAsia" w:ascii="华文中宋" w:hAnsi="华文中宋" w:eastAsia="华文中宋" w:cs="华文中宋"/>
          <w:b/>
          <w:bCs/>
          <w:sz w:val="21"/>
          <w:szCs w:val="21"/>
          <w:lang w:eastAsia="zh-CN"/>
        </w:rPr>
        <w:t>价格</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70</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color w:val="auto"/>
          <w:sz w:val="21"/>
          <w:szCs w:val="21"/>
        </w:rPr>
        <w:t>、总平面布局（0～5分）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6</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8</w:t>
      </w:r>
      <w:r>
        <w:rPr>
          <w:rFonts w:hint="eastAsia" w:ascii="华文中宋" w:hAnsi="华文中宋" w:eastAsia="华文中宋" w:cs="华文中宋"/>
          <w:b w:val="0"/>
          <w:bCs w:val="0"/>
          <w:color w:val="auto"/>
          <w:sz w:val="21"/>
          <w:szCs w:val="21"/>
        </w:rPr>
        <w:t>、重点、难点分析（0～5分）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0"/>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95"/>
        <w:gridCol w:w="687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38"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795"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6870"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597"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设计理念（0～8分）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设计理念新颖得6-8分；合理得3-6分；一般得0-3分；  </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r>
              <w:rPr>
                <w:rFonts w:hint="eastAsia" w:ascii="华文中宋" w:hAnsi="华文中宋" w:eastAsia="华文中宋" w:cs="华文中宋"/>
                <w:sz w:val="21"/>
                <w:szCs w:val="21"/>
                <w:highlight w:val="none"/>
                <w:lang w:val="en-US" w:eastAsia="zh-CN"/>
              </w:rPr>
              <w:t>；</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2.自2015年以来具有类似项目且单项合同设计费金额在10万元及以上的相关业绩，每提供一个得1分，5分加满为止。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9703"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5A69FF"/>
    <w:rsid w:val="07C904D2"/>
    <w:rsid w:val="07CD72E2"/>
    <w:rsid w:val="09AC7B34"/>
    <w:rsid w:val="0DE52386"/>
    <w:rsid w:val="0E810BFA"/>
    <w:rsid w:val="13AA5AD0"/>
    <w:rsid w:val="13B15B0E"/>
    <w:rsid w:val="1B0D63C3"/>
    <w:rsid w:val="1E755027"/>
    <w:rsid w:val="1ED25A33"/>
    <w:rsid w:val="25F76C1E"/>
    <w:rsid w:val="26212EF7"/>
    <w:rsid w:val="26532A41"/>
    <w:rsid w:val="27622B4F"/>
    <w:rsid w:val="2BF96F6F"/>
    <w:rsid w:val="2D6B50D0"/>
    <w:rsid w:val="307B7BB9"/>
    <w:rsid w:val="347D0A86"/>
    <w:rsid w:val="381A32A5"/>
    <w:rsid w:val="38EF7149"/>
    <w:rsid w:val="38FC7F3D"/>
    <w:rsid w:val="3A140A17"/>
    <w:rsid w:val="3CAE164A"/>
    <w:rsid w:val="3F16338A"/>
    <w:rsid w:val="3FFC6A00"/>
    <w:rsid w:val="42664F74"/>
    <w:rsid w:val="46B50530"/>
    <w:rsid w:val="473D7ACF"/>
    <w:rsid w:val="49D32A72"/>
    <w:rsid w:val="4A0506BB"/>
    <w:rsid w:val="4AAC6732"/>
    <w:rsid w:val="540E29ED"/>
    <w:rsid w:val="54CA6D7C"/>
    <w:rsid w:val="561E5F7C"/>
    <w:rsid w:val="56E64E4F"/>
    <w:rsid w:val="57E906EE"/>
    <w:rsid w:val="5A5446FE"/>
    <w:rsid w:val="5FF16950"/>
    <w:rsid w:val="65864BA4"/>
    <w:rsid w:val="66CA234F"/>
    <w:rsid w:val="672E6658"/>
    <w:rsid w:val="67564F5E"/>
    <w:rsid w:val="67832C8C"/>
    <w:rsid w:val="6B465587"/>
    <w:rsid w:val="715E4369"/>
    <w:rsid w:val="73D30424"/>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2</TotalTime>
  <ScaleCrop>false</ScaleCrop>
  <LinksUpToDate>false</LinksUpToDate>
  <CharactersWithSpaces>4079</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殛歪</cp:lastModifiedBy>
  <cp:lastPrinted>2019-06-26T02:25:51Z</cp:lastPrinted>
  <dcterms:modified xsi:type="dcterms:W3CDTF">2019-06-26T05:40:21Z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