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 标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浙江省肿瘤医院陪客椅软包维修项目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二○一九年五月</w:t>
      </w:r>
    </w:p>
    <w:p>
      <w:pPr>
        <w:pStyle w:val="3"/>
        <w:spacing w:before="0" w:beforeAutospacing="0" w:after="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color w:val="auto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eastAsia="zh-CN"/>
        </w:rPr>
        <w:t>陪客椅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软包维修项目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我院拟采取公开招标议价谈判方式，完成浙江省肿瘤医院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陪客椅</w:t>
      </w:r>
      <w:r>
        <w:rPr>
          <w:rFonts w:hint="eastAsia" w:ascii="华文细黑" w:hAnsi="华文细黑" w:eastAsia="华文细黑" w:cs="华文细黑"/>
          <w:sz w:val="24"/>
          <w:szCs w:val="24"/>
        </w:rPr>
        <w:t>软包维修项目招标，现将有关事项公告如下：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一、项目名称和质量保证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项目名称：浙江省肿瘤医院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陪客椅</w:t>
      </w:r>
      <w:r>
        <w:rPr>
          <w:rFonts w:hint="eastAsia" w:ascii="华文细黑" w:hAnsi="华文细黑" w:eastAsia="华文细黑" w:cs="华文细黑"/>
          <w:sz w:val="24"/>
          <w:szCs w:val="24"/>
        </w:rPr>
        <w:t>软包维修项目。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质量保证：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（1）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</w:t>
      </w:r>
      <w:r>
        <w:rPr>
          <w:rFonts w:hint="eastAsia" w:ascii="华文细黑" w:hAnsi="华文细黑" w:eastAsia="华文细黑" w:cs="华文细黑"/>
          <w:sz w:val="24"/>
          <w:szCs w:val="24"/>
        </w:rPr>
        <w:t>所供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是全新的、未使用过的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，同时应保证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的各项功能和技术指标达到投标文件和国家相关标准。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（2）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维修符合正常使用功能和院方要求，</w:t>
      </w:r>
      <w:r>
        <w:rPr>
          <w:rFonts w:hint="eastAsia" w:ascii="华文细黑" w:hAnsi="华文细黑" w:eastAsia="华文细黑" w:cs="华文细黑"/>
          <w:sz w:val="24"/>
          <w:szCs w:val="24"/>
        </w:rPr>
        <w:t>质保期不得少于24个月（含人工及配件维修）。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二、服务内容</w:t>
      </w:r>
    </w:p>
    <w:p>
      <w:pPr>
        <w:spacing w:line="400" w:lineRule="exact"/>
        <w:ind w:left="-426" w:right="-340" w:rightChars="-162" w:firstLine="480" w:firstLineChars="200"/>
        <w:rPr>
          <w:rFonts w:ascii="华文细黑" w:hAnsi="华文细黑" w:eastAsia="华文细黑" w:cs="华文细黑"/>
          <w:bCs/>
          <w:kern w:val="0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  <w:lang w:val="en-US" w:eastAsia="zh-CN"/>
        </w:rPr>
        <w:t>维修内容、</w:t>
      </w: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数量、单价及合同分项价格、总价：</w:t>
      </w:r>
    </w:p>
    <w:tbl>
      <w:tblPr>
        <w:tblStyle w:val="9"/>
        <w:tblpPr w:leftFromText="180" w:rightFromText="180" w:vertAnchor="text" w:horzAnchor="page" w:tblpX="1740" w:tblpY="17"/>
        <w:tblOverlap w:val="never"/>
        <w:tblW w:w="861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"/>
        <w:gridCol w:w="2706"/>
        <w:gridCol w:w="1416"/>
        <w:gridCol w:w="933"/>
        <w:gridCol w:w="1000"/>
        <w:gridCol w:w="1017"/>
        <w:gridCol w:w="94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6" w:hRule="atLeast"/>
        </w:trPr>
        <w:tc>
          <w:tcPr>
            <w:tcW w:w="59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序号</w:t>
            </w:r>
          </w:p>
        </w:tc>
        <w:tc>
          <w:tcPr>
            <w:tcW w:w="2706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货物名称</w:t>
            </w:r>
          </w:p>
        </w:tc>
        <w:tc>
          <w:tcPr>
            <w:tcW w:w="1416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材质</w:t>
            </w:r>
          </w:p>
        </w:tc>
        <w:tc>
          <w:tcPr>
            <w:tcW w:w="933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数量（块）</w:t>
            </w:r>
          </w:p>
        </w:tc>
        <w:tc>
          <w:tcPr>
            <w:tcW w:w="100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单价（元）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总价（元）</w:t>
            </w:r>
          </w:p>
        </w:tc>
        <w:tc>
          <w:tcPr>
            <w:tcW w:w="941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597" w:type="dxa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陪客椅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软包头部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PU皮革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408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597" w:type="dxa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陪客椅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软包背部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PU皮革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338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597" w:type="dxa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陪客椅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软包坐垫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PU皮革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427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8610" w:type="dxa"/>
            <w:gridSpan w:val="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报价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（人民币大写）</w:t>
            </w:r>
            <w:r>
              <w:rPr>
                <w:rFonts w:hint="eastAsia" w:ascii="华文细黑" w:hAnsi="华文细黑" w:eastAsia="华文细黑" w:cs="华文细黑"/>
                <w:szCs w:val="21"/>
                <w:u w:val="single"/>
              </w:rPr>
              <w:t>人民币          元整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 xml:space="preserve">  （人民币小写）¥ </w:t>
            </w:r>
            <w:r>
              <w:rPr>
                <w:rFonts w:hint="eastAsia" w:ascii="华文细黑" w:hAnsi="华文细黑" w:eastAsia="华文细黑" w:cs="华文细黑"/>
                <w:szCs w:val="21"/>
                <w:u w:val="single"/>
              </w:rPr>
              <w:t xml:space="preserve">      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元</w:t>
            </w: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2.合同价格为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包含所有陪客椅的维修费</w:t>
      </w:r>
      <w:r>
        <w:rPr>
          <w:rFonts w:hint="eastAsia" w:ascii="华文细黑" w:hAnsi="华文细黑" w:eastAsia="华文细黑" w:cs="华文细黑"/>
          <w:sz w:val="24"/>
          <w:szCs w:val="24"/>
        </w:rPr>
        <w:t>，包含一切税费、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费、运杂费、保险费、装卸落地费、保管费、货物仓储费、二次搬运费（搬运至各区域所发生的全部费用）、检测验收费（有关法律法规规定的货物进场、材料和成品抽检、最终检测及验收费）及质保期内维护保养等完成本项目所需的所有费用等，实行固定单价（单价按投标报价）包干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3.因实际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维修数量</w:t>
      </w:r>
      <w:r>
        <w:rPr>
          <w:rFonts w:hint="eastAsia" w:ascii="华文细黑" w:hAnsi="华文细黑" w:eastAsia="华文细黑" w:cs="华文细黑"/>
          <w:sz w:val="24"/>
          <w:szCs w:val="24"/>
        </w:rPr>
        <w:t>需要调整时，合同总价按结算时实际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维修清单</w:t>
      </w:r>
      <w:r>
        <w:rPr>
          <w:rFonts w:hint="eastAsia" w:ascii="华文细黑" w:hAnsi="华文细黑" w:eastAsia="华文细黑" w:cs="华文细黑"/>
          <w:sz w:val="24"/>
          <w:szCs w:val="24"/>
        </w:rPr>
        <w:t>数量为准。涉及采购变更，必须由医院书面确认后方可作为结算的依据。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三、供应商资格条件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1.符合《中华人民共和国政府采购法》第二十二条规定条件；必须具备本次招标货物或服务的经营资质；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2.近三年内有从事上述项目经营的业绩；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3.本项目不接受联合体投标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响应文件分商务文件和技术文件。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商务文件包含完成本项目所需的全部报价及其他相关服务承诺、优惠条件。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技术文件包含公司简介、企业法人营业执照、法人代表及委托代理人身份证复印件、法人授权委托书、资质证书复印件（复印件需加盖单位公章）等相关证明材料；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五、报价文件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1.按本文件第二条第1款表格内所列内容报价。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维修供货</w:t>
      </w:r>
      <w:r>
        <w:rPr>
          <w:rFonts w:hint="eastAsia" w:ascii="华文细黑" w:hAnsi="华文细黑" w:eastAsia="华文细黑" w:cs="华文细黑"/>
          <w:sz w:val="24"/>
          <w:szCs w:val="24"/>
        </w:rPr>
        <w:t>响应周期及相应优惠条件等。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六、评标办法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本次招标采用最低价中标法。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七、报价要求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本次报价总价不得超过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sz w:val="24"/>
          <w:szCs w:val="24"/>
        </w:rPr>
        <w:t>万元。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八、合同签订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合同签订前，我院将对合同内容进行审查，如发现与采购结果和投标承诺内容不一致的，取消中标资格。中标人若拖延、拒签合同的,将取消中标资格。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九、付款方式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按合同约定付款，付款以转账支票形式支付。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十、投标截止时间、开标时间及地点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递交投标文件截止时间：2019年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14</w:t>
      </w:r>
      <w:r>
        <w:rPr>
          <w:rFonts w:hint="eastAsia" w:ascii="华文细黑" w:hAnsi="华文细黑" w:eastAsia="华文细黑" w:cs="华文细黑"/>
          <w:sz w:val="24"/>
          <w:szCs w:val="24"/>
        </w:rPr>
        <w:t>日（周五）14：00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2．开标时间：2019年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14</w:t>
      </w:r>
      <w:r>
        <w:rPr>
          <w:rFonts w:hint="eastAsia" w:ascii="华文细黑" w:hAnsi="华文细黑" w:eastAsia="华文细黑" w:cs="华文细黑"/>
          <w:sz w:val="24"/>
          <w:szCs w:val="24"/>
        </w:rPr>
        <w:t>日（周五）14：00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415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开标地点：浙江省肿瘤医院行政楼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415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十一、联系方式：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联系人：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sz w:val="24"/>
          <w:szCs w:val="24"/>
        </w:rPr>
        <w:t>先生    联系电话：0571-88122528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  浙江省肿瘤医院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2019年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sz w:val="24"/>
          <w:szCs w:val="24"/>
        </w:rPr>
        <w:t>日</w:t>
      </w: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7F3D"/>
    <w:rsid w:val="001563FA"/>
    <w:rsid w:val="003A198F"/>
    <w:rsid w:val="007E6D8C"/>
    <w:rsid w:val="00B5525D"/>
    <w:rsid w:val="00B731D7"/>
    <w:rsid w:val="07C904D2"/>
    <w:rsid w:val="07CD72E2"/>
    <w:rsid w:val="09AC7B34"/>
    <w:rsid w:val="13AA5AD0"/>
    <w:rsid w:val="1E755027"/>
    <w:rsid w:val="25F76C1E"/>
    <w:rsid w:val="26212EF7"/>
    <w:rsid w:val="27622B4F"/>
    <w:rsid w:val="2BF96F6F"/>
    <w:rsid w:val="2D6B50D0"/>
    <w:rsid w:val="347D0A86"/>
    <w:rsid w:val="38EF7149"/>
    <w:rsid w:val="38FC7F3D"/>
    <w:rsid w:val="3A140A17"/>
    <w:rsid w:val="49D32A72"/>
    <w:rsid w:val="4AAC6732"/>
    <w:rsid w:val="57E906EE"/>
    <w:rsid w:val="584E642D"/>
    <w:rsid w:val="5CCA6D56"/>
    <w:rsid w:val="67564F5E"/>
    <w:rsid w:val="67832C8C"/>
    <w:rsid w:val="7D1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2019-05-30T01:16:00Z</dcterms:created>
  <dc:creator>Hami猫不迷糊</dc:creator>
  <cp:lastModifiedBy>Hami猫不迷糊</cp:lastModifiedBy>
  <cp:lastPrinted>2019-06-06T03:18:00Z</cp:lastPrinted>
  <dcterms:modified xsi:type="dcterms:W3CDTF">2019-06-06T04:19:39Z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