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bCs/>
          <w:color w:val="000000"/>
          <w:sz w:val="72"/>
          <w:szCs w:val="72"/>
          <w:lang w:val="zh-CN"/>
        </w:rPr>
      </w:pPr>
    </w:p>
    <w:p>
      <w:pPr>
        <w:spacing w:line="360" w:lineRule="auto"/>
        <w:jc w:val="center"/>
        <w:rPr>
          <w:rFonts w:ascii="宋体" w:hAnsi="宋体"/>
          <w:b/>
          <w:bCs/>
          <w:color w:val="000000"/>
          <w:sz w:val="15"/>
          <w:szCs w:val="15"/>
          <w:lang w:val="zh-CN"/>
        </w:rPr>
      </w:pPr>
    </w:p>
    <w:p>
      <w:pPr>
        <w:autoSpaceDE w:val="0"/>
        <w:autoSpaceDN w:val="0"/>
        <w:adjustRightInd w:val="0"/>
        <w:spacing w:line="360" w:lineRule="auto"/>
        <w:jc w:val="center"/>
        <w:rPr>
          <w:rFonts w:ascii="宋体" w:hAnsi="宋体"/>
          <w:b/>
          <w:color w:val="000000"/>
          <w:sz w:val="72"/>
          <w:szCs w:val="72"/>
        </w:rPr>
      </w:pPr>
      <w:r>
        <w:rPr>
          <w:rFonts w:hint="eastAsia" w:ascii="宋体" w:hAnsi="宋体"/>
          <w:b/>
          <w:color w:val="000000"/>
          <w:sz w:val="72"/>
          <w:szCs w:val="72"/>
        </w:rPr>
        <w:t>浙江省肿瘤医院</w:t>
      </w:r>
    </w:p>
    <w:p>
      <w:pPr>
        <w:jc w:val="center"/>
      </w:pPr>
      <w:r>
        <w:rPr>
          <w:rFonts w:hint="eastAsia" w:ascii="宋体" w:hAnsi="宋体"/>
          <w:b/>
          <w:color w:val="000000"/>
          <w:sz w:val="72"/>
          <w:szCs w:val="72"/>
        </w:rPr>
        <w:t>医用</w:t>
      </w:r>
      <w:r>
        <w:rPr>
          <w:rFonts w:ascii="宋体" w:hAnsi="宋体"/>
          <w:b/>
          <w:color w:val="000000"/>
          <w:sz w:val="72"/>
          <w:szCs w:val="72"/>
        </w:rPr>
        <w:t>耗材</w:t>
      </w:r>
      <w:r>
        <w:rPr>
          <w:rFonts w:hint="eastAsia" w:ascii="宋体" w:hAnsi="宋体"/>
          <w:b/>
          <w:color w:val="000000"/>
          <w:sz w:val="72"/>
          <w:szCs w:val="72"/>
        </w:rPr>
        <w:t>二级库房</w:t>
      </w:r>
      <w:r>
        <w:rPr>
          <w:rFonts w:ascii="宋体" w:hAnsi="宋体"/>
          <w:b/>
          <w:color w:val="000000"/>
          <w:sz w:val="72"/>
          <w:szCs w:val="72"/>
        </w:rPr>
        <w:t>管理</w:t>
      </w:r>
      <w:r>
        <w:rPr>
          <w:rFonts w:hint="eastAsia" w:ascii="宋体" w:hAnsi="宋体"/>
          <w:b/>
          <w:color w:val="000000"/>
          <w:sz w:val="72"/>
          <w:szCs w:val="72"/>
        </w:rPr>
        <w:t>系统升级</w:t>
      </w:r>
      <w:r>
        <w:rPr>
          <w:rFonts w:ascii="宋体" w:hAnsi="宋体"/>
          <w:b/>
          <w:color w:val="000000"/>
          <w:sz w:val="72"/>
          <w:szCs w:val="72"/>
        </w:rPr>
        <w:t>改造</w:t>
      </w:r>
      <w:r>
        <w:rPr>
          <w:rFonts w:hint="eastAsia" w:ascii="宋体" w:hAnsi="宋体"/>
          <w:b/>
          <w:color w:val="000000"/>
          <w:sz w:val="72"/>
          <w:szCs w:val="72"/>
        </w:rPr>
        <w:t>项目</w:t>
      </w:r>
    </w:p>
    <w:p>
      <w:pPr>
        <w:autoSpaceDE w:val="0"/>
        <w:autoSpaceDN w:val="0"/>
        <w:adjustRightInd w:val="0"/>
        <w:spacing w:line="460" w:lineRule="exact"/>
        <w:rPr>
          <w:rFonts w:ascii="宋体" w:hAnsi="宋体"/>
          <w:b/>
          <w:bCs/>
          <w:color w:val="000000"/>
          <w:sz w:val="44"/>
          <w:szCs w:val="44"/>
        </w:rPr>
      </w:pPr>
    </w:p>
    <w:p>
      <w:pPr>
        <w:jc w:val="center"/>
        <w:rPr>
          <w:rFonts w:ascii="宋体" w:hAnsi="宋体"/>
          <w:b/>
          <w:color w:val="000000"/>
          <w:sz w:val="72"/>
          <w:szCs w:val="72"/>
        </w:rPr>
      </w:pPr>
      <w:r>
        <w:rPr>
          <w:rFonts w:hint="eastAsia" w:ascii="宋体" w:hAnsi="宋体"/>
          <w:b/>
          <w:color w:val="000000"/>
          <w:sz w:val="72"/>
          <w:szCs w:val="72"/>
        </w:rPr>
        <w:t>招</w:t>
      </w:r>
      <w:r>
        <w:rPr>
          <w:rFonts w:ascii="宋体" w:hAnsi="宋体"/>
          <w:b/>
          <w:color w:val="000000"/>
          <w:sz w:val="72"/>
          <w:szCs w:val="72"/>
        </w:rPr>
        <w:t xml:space="preserve"> </w:t>
      </w:r>
      <w:r>
        <w:rPr>
          <w:rFonts w:hint="eastAsia" w:ascii="宋体" w:hAnsi="宋体"/>
          <w:b/>
          <w:color w:val="000000"/>
          <w:sz w:val="72"/>
          <w:szCs w:val="72"/>
        </w:rPr>
        <w:t>标</w:t>
      </w:r>
      <w:r>
        <w:rPr>
          <w:rFonts w:ascii="宋体" w:hAnsi="宋体"/>
          <w:b/>
          <w:color w:val="000000"/>
          <w:sz w:val="72"/>
          <w:szCs w:val="72"/>
        </w:rPr>
        <w:t xml:space="preserve"> </w:t>
      </w:r>
      <w:r>
        <w:rPr>
          <w:rFonts w:hint="eastAsia" w:ascii="宋体" w:hAnsi="宋体"/>
          <w:b/>
          <w:color w:val="000000"/>
          <w:sz w:val="72"/>
          <w:szCs w:val="72"/>
        </w:rPr>
        <w:t>文</w:t>
      </w:r>
      <w:r>
        <w:rPr>
          <w:rFonts w:ascii="宋体" w:hAnsi="宋体"/>
          <w:b/>
          <w:color w:val="000000"/>
          <w:sz w:val="72"/>
          <w:szCs w:val="72"/>
        </w:rPr>
        <w:t xml:space="preserve"> </w:t>
      </w:r>
      <w:r>
        <w:rPr>
          <w:rFonts w:hint="eastAsia" w:ascii="宋体" w:hAnsi="宋体"/>
          <w:b/>
          <w:color w:val="000000"/>
          <w:sz w:val="72"/>
          <w:szCs w:val="72"/>
        </w:rPr>
        <w:t>件</w:t>
      </w:r>
    </w:p>
    <w:p>
      <w:pPr>
        <w:autoSpaceDE w:val="0"/>
        <w:autoSpaceDN w:val="0"/>
        <w:adjustRightInd w:val="0"/>
        <w:spacing w:line="460" w:lineRule="exact"/>
        <w:jc w:val="center"/>
        <w:rPr>
          <w:rFonts w:ascii="宋体" w:hAnsi="宋体"/>
          <w:b/>
          <w:bCs/>
          <w:color w:val="000000"/>
          <w:sz w:val="24"/>
          <w:szCs w:val="24"/>
          <w:lang w:val="zh-CN"/>
        </w:rPr>
      </w:pPr>
    </w:p>
    <w:p>
      <w:pPr>
        <w:autoSpaceDE w:val="0"/>
        <w:autoSpaceDN w:val="0"/>
        <w:adjustRightInd w:val="0"/>
        <w:spacing w:line="460" w:lineRule="exact"/>
        <w:jc w:val="center"/>
        <w:rPr>
          <w:lang w:val="zh-CN"/>
        </w:rPr>
      </w:pPr>
    </w:p>
    <w:p>
      <w:pPr>
        <w:jc w:val="center"/>
        <w:rPr>
          <w:rFonts w:ascii="宋体" w:hAnsi="宋体" w:cs="宋体"/>
          <w:b/>
          <w:bCs/>
          <w:sz w:val="32"/>
          <w:szCs w:val="32"/>
        </w:rPr>
      </w:pPr>
      <w:r>
        <w:rPr>
          <w:rFonts w:hint="eastAsia" w:ascii="宋体" w:hAnsi="宋体" w:cs="宋体"/>
          <w:b/>
          <w:bCs/>
          <w:sz w:val="32"/>
          <w:szCs w:val="32"/>
          <w:lang w:val="zh-CN"/>
        </w:rPr>
        <w:t>标书编号：</w:t>
      </w:r>
    </w:p>
    <w:p>
      <w:pPr>
        <w:autoSpaceDE w:val="0"/>
        <w:autoSpaceDN w:val="0"/>
        <w:adjustRightInd w:val="0"/>
        <w:spacing w:line="460" w:lineRule="exact"/>
        <w:jc w:val="center"/>
        <w:rPr>
          <w:lang w:val="zh-CN"/>
        </w:rPr>
      </w:pPr>
    </w:p>
    <w:p>
      <w:pPr>
        <w:autoSpaceDE w:val="0"/>
        <w:autoSpaceDN w:val="0"/>
        <w:adjustRightInd w:val="0"/>
        <w:spacing w:line="460" w:lineRule="exact"/>
        <w:jc w:val="center"/>
        <w:rPr>
          <w:rFonts w:ascii="宋体" w:hAnsi="宋体"/>
          <w:b/>
          <w:bCs/>
          <w:color w:val="000000"/>
          <w:sz w:val="24"/>
          <w:szCs w:val="24"/>
          <w:lang w:val="zh-CN"/>
        </w:rPr>
      </w:pPr>
    </w:p>
    <w:p>
      <w:pPr>
        <w:autoSpaceDE w:val="0"/>
        <w:autoSpaceDN w:val="0"/>
        <w:adjustRightInd w:val="0"/>
        <w:spacing w:line="460" w:lineRule="exact"/>
        <w:jc w:val="center"/>
        <w:rPr>
          <w:rFonts w:ascii="宋体" w:hAnsi="宋体"/>
          <w:b/>
          <w:bCs/>
          <w:color w:val="000000"/>
          <w:sz w:val="24"/>
          <w:szCs w:val="24"/>
          <w:lang w:val="zh-CN"/>
        </w:rPr>
      </w:pPr>
    </w:p>
    <w:p>
      <w:pPr>
        <w:autoSpaceDE w:val="0"/>
        <w:autoSpaceDN w:val="0"/>
        <w:adjustRightInd w:val="0"/>
        <w:spacing w:line="460" w:lineRule="exact"/>
        <w:jc w:val="center"/>
        <w:rPr>
          <w:rFonts w:ascii="宋体" w:hAnsi="宋体"/>
          <w:b/>
          <w:bCs/>
          <w:color w:val="000000"/>
          <w:sz w:val="24"/>
          <w:szCs w:val="24"/>
          <w:lang w:val="zh-CN"/>
        </w:rPr>
      </w:pPr>
    </w:p>
    <w:p>
      <w:pPr>
        <w:autoSpaceDE w:val="0"/>
        <w:autoSpaceDN w:val="0"/>
        <w:adjustRightInd w:val="0"/>
        <w:spacing w:line="460" w:lineRule="exact"/>
        <w:jc w:val="center"/>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autoSpaceDE w:val="0"/>
        <w:autoSpaceDN w:val="0"/>
        <w:adjustRightInd w:val="0"/>
        <w:spacing w:line="460" w:lineRule="exact"/>
        <w:rPr>
          <w:rFonts w:ascii="宋体" w:hAnsi="宋体"/>
          <w:b/>
          <w:bCs/>
          <w:color w:val="000000"/>
          <w:sz w:val="24"/>
          <w:szCs w:val="24"/>
          <w:lang w:val="zh-CN"/>
        </w:rPr>
      </w:pPr>
    </w:p>
    <w:p>
      <w:pPr>
        <w:jc w:val="center"/>
        <w:rPr>
          <w:rFonts w:ascii="宋体" w:hAnsi="宋体"/>
          <w:b/>
          <w:bCs/>
          <w:color w:val="000000"/>
          <w:sz w:val="32"/>
          <w:szCs w:val="32"/>
          <w:lang w:val="zh-CN"/>
        </w:rPr>
      </w:pPr>
      <w:r>
        <w:rPr>
          <w:rFonts w:hint="eastAsia" w:ascii="宋体" w:hAnsi="宋体"/>
          <w:b/>
          <w:bCs/>
          <w:color w:val="000000"/>
          <w:sz w:val="32"/>
          <w:szCs w:val="32"/>
          <w:lang w:val="zh-CN"/>
        </w:rPr>
        <w:t>招 标 人： 浙江省</w:t>
      </w:r>
      <w:r>
        <w:rPr>
          <w:rFonts w:ascii="宋体" w:hAnsi="宋体"/>
          <w:b/>
          <w:bCs/>
          <w:color w:val="000000"/>
          <w:sz w:val="32"/>
          <w:szCs w:val="32"/>
          <w:lang w:val="zh-CN"/>
        </w:rPr>
        <w:t>肿瘤</w:t>
      </w:r>
      <w:r>
        <w:rPr>
          <w:rFonts w:hint="eastAsia" w:ascii="宋体" w:hAnsi="宋体"/>
          <w:b/>
          <w:bCs/>
          <w:color w:val="000000"/>
          <w:sz w:val="32"/>
          <w:szCs w:val="32"/>
          <w:lang w:val="zh-CN"/>
        </w:rPr>
        <w:t>医院</w:t>
      </w:r>
    </w:p>
    <w:p>
      <w:pPr>
        <w:jc w:val="center"/>
        <w:rPr>
          <w:rFonts w:ascii="宋体" w:hAnsi="宋体"/>
          <w:b/>
          <w:bCs/>
          <w:color w:val="000000"/>
          <w:sz w:val="32"/>
          <w:szCs w:val="32"/>
          <w:lang w:val="zh-CN"/>
        </w:rPr>
      </w:pPr>
      <w:r>
        <w:rPr>
          <w:rFonts w:hint="eastAsia" w:ascii="宋体" w:hAnsi="宋体"/>
          <w:b/>
          <w:bCs/>
          <w:color w:val="000000"/>
          <w:sz w:val="32"/>
          <w:szCs w:val="32"/>
        </w:rPr>
        <w:t>2018年11月</w:t>
      </w:r>
    </w:p>
    <w:p>
      <w:pPr>
        <w:spacing w:line="480" w:lineRule="auto"/>
        <w:jc w:val="center"/>
        <w:rPr>
          <w:rFonts w:ascii="宋体" w:hAnsi="宋体"/>
          <w:color w:val="000000"/>
          <w:sz w:val="48"/>
        </w:rPr>
      </w:pPr>
    </w:p>
    <w:p>
      <w:pPr>
        <w:spacing w:line="480" w:lineRule="auto"/>
        <w:jc w:val="center"/>
        <w:rPr>
          <w:rFonts w:ascii="宋体" w:hAnsi="宋体"/>
          <w:color w:val="000000"/>
          <w:sz w:val="48"/>
        </w:rPr>
      </w:pPr>
    </w:p>
    <w:p>
      <w:pPr>
        <w:spacing w:line="480" w:lineRule="auto"/>
        <w:jc w:val="center"/>
        <w:rPr>
          <w:rFonts w:ascii="宋体" w:hAnsi="宋体"/>
          <w:b/>
          <w:color w:val="000000"/>
          <w:sz w:val="44"/>
          <w:szCs w:val="44"/>
        </w:rPr>
      </w:pPr>
      <w:r>
        <w:rPr>
          <w:rFonts w:hint="eastAsia" w:ascii="宋体" w:hAnsi="宋体"/>
          <w:b/>
          <w:color w:val="000000"/>
          <w:sz w:val="44"/>
          <w:szCs w:val="44"/>
        </w:rPr>
        <w:t>招 标 文</w:t>
      </w:r>
      <w:r>
        <w:rPr>
          <w:rFonts w:ascii="宋体" w:hAnsi="宋体"/>
          <w:b/>
          <w:color w:val="000000"/>
          <w:sz w:val="44"/>
          <w:szCs w:val="44"/>
        </w:rPr>
        <w:t xml:space="preserve"> </w:t>
      </w:r>
      <w:r>
        <w:rPr>
          <w:rFonts w:hint="eastAsia" w:ascii="宋体" w:hAnsi="宋体"/>
          <w:b/>
          <w:color w:val="000000"/>
          <w:sz w:val="44"/>
          <w:szCs w:val="44"/>
        </w:rPr>
        <w:t>件</w:t>
      </w:r>
      <w:r>
        <w:rPr>
          <w:rFonts w:ascii="宋体" w:hAnsi="宋体"/>
          <w:b/>
          <w:color w:val="000000"/>
          <w:sz w:val="44"/>
          <w:szCs w:val="44"/>
        </w:rPr>
        <w:t xml:space="preserve"> </w:t>
      </w:r>
      <w:r>
        <w:rPr>
          <w:rFonts w:hint="eastAsia" w:ascii="宋体" w:hAnsi="宋体"/>
          <w:b/>
          <w:color w:val="000000"/>
          <w:sz w:val="44"/>
          <w:szCs w:val="44"/>
        </w:rPr>
        <w:t>目</w:t>
      </w:r>
      <w:r>
        <w:rPr>
          <w:rFonts w:ascii="宋体" w:hAnsi="宋体"/>
          <w:b/>
          <w:color w:val="000000"/>
          <w:sz w:val="44"/>
          <w:szCs w:val="44"/>
        </w:rPr>
        <w:t xml:space="preserve"> </w:t>
      </w:r>
      <w:r>
        <w:rPr>
          <w:rFonts w:hint="eastAsia" w:ascii="宋体" w:hAnsi="宋体"/>
          <w:b/>
          <w:color w:val="000000"/>
          <w:sz w:val="44"/>
          <w:szCs w:val="44"/>
        </w:rPr>
        <w:t>录</w:t>
      </w:r>
    </w:p>
    <w:p>
      <w:pPr>
        <w:spacing w:line="480" w:lineRule="auto"/>
        <w:ind w:left="3000"/>
        <w:rPr>
          <w:rFonts w:ascii="宋体" w:hAnsi="宋体"/>
          <w:color w:val="000000"/>
          <w:sz w:val="44"/>
        </w:rPr>
      </w:pPr>
    </w:p>
    <w:p>
      <w:pPr>
        <w:numPr>
          <w:ilvl w:val="0"/>
          <w:numId w:val="3"/>
        </w:numPr>
        <w:tabs>
          <w:tab w:val="left" w:pos="2160"/>
          <w:tab w:val="clear" w:pos="1440"/>
        </w:tabs>
        <w:spacing w:line="720" w:lineRule="auto"/>
        <w:ind w:hanging="900"/>
        <w:jc w:val="left"/>
        <w:rPr>
          <w:rFonts w:ascii="宋体" w:hAnsi="宋体"/>
          <w:color w:val="000000"/>
          <w:sz w:val="32"/>
          <w:szCs w:val="32"/>
        </w:rPr>
      </w:pPr>
      <w:r>
        <w:rPr>
          <w:rFonts w:hint="eastAsia" w:ascii="宋体" w:hAnsi="宋体"/>
          <w:color w:val="000000"/>
          <w:sz w:val="32"/>
          <w:szCs w:val="32"/>
        </w:rPr>
        <w:t>招标公告………………………………3</w:t>
      </w:r>
    </w:p>
    <w:p>
      <w:pPr>
        <w:numPr>
          <w:ilvl w:val="0"/>
          <w:numId w:val="3"/>
        </w:numPr>
        <w:tabs>
          <w:tab w:val="left" w:pos="2160"/>
          <w:tab w:val="clear" w:pos="1440"/>
        </w:tabs>
        <w:spacing w:line="720" w:lineRule="auto"/>
        <w:ind w:hanging="900"/>
        <w:jc w:val="left"/>
        <w:rPr>
          <w:rFonts w:ascii="宋体" w:hAnsi="宋体"/>
          <w:color w:val="000000"/>
          <w:sz w:val="32"/>
          <w:szCs w:val="32"/>
        </w:rPr>
      </w:pPr>
      <w:r>
        <w:rPr>
          <w:rFonts w:hint="eastAsia" w:ascii="宋体" w:hAnsi="宋体"/>
          <w:color w:val="000000"/>
          <w:sz w:val="32"/>
          <w:szCs w:val="32"/>
        </w:rPr>
        <w:t>投标人须知……………………………5</w:t>
      </w:r>
    </w:p>
    <w:p>
      <w:pPr>
        <w:numPr>
          <w:ilvl w:val="0"/>
          <w:numId w:val="3"/>
        </w:numPr>
        <w:tabs>
          <w:tab w:val="left" w:pos="2160"/>
          <w:tab w:val="clear" w:pos="1440"/>
        </w:tabs>
        <w:spacing w:line="720" w:lineRule="auto"/>
        <w:ind w:hanging="900"/>
        <w:jc w:val="left"/>
        <w:rPr>
          <w:rFonts w:ascii="宋体" w:hAnsi="宋体"/>
          <w:color w:val="000000"/>
          <w:sz w:val="32"/>
          <w:szCs w:val="32"/>
        </w:rPr>
      </w:pPr>
      <w:r>
        <w:rPr>
          <w:rFonts w:hint="eastAsia" w:ascii="宋体" w:hAnsi="宋体"/>
          <w:color w:val="000000"/>
          <w:sz w:val="32"/>
          <w:szCs w:val="32"/>
        </w:rPr>
        <w:t>项目技术规范和服务要求……………10</w:t>
      </w:r>
    </w:p>
    <w:p>
      <w:pPr>
        <w:numPr>
          <w:ilvl w:val="0"/>
          <w:numId w:val="3"/>
        </w:numPr>
        <w:tabs>
          <w:tab w:val="left" w:pos="2160"/>
          <w:tab w:val="clear" w:pos="1440"/>
        </w:tabs>
        <w:spacing w:line="720" w:lineRule="auto"/>
        <w:ind w:left="1446" w:hanging="907"/>
        <w:jc w:val="left"/>
        <w:rPr>
          <w:rFonts w:ascii="宋体" w:hAnsi="宋体"/>
          <w:color w:val="000000"/>
          <w:sz w:val="32"/>
          <w:szCs w:val="32"/>
        </w:rPr>
      </w:pPr>
      <w:r>
        <w:rPr>
          <w:rFonts w:hint="eastAsia" w:ascii="宋体" w:hAnsi="宋体"/>
          <w:color w:val="000000"/>
          <w:sz w:val="32"/>
          <w:szCs w:val="32"/>
        </w:rPr>
        <w:t>询标方法和程序……………………</w:t>
      </w:r>
      <w:r>
        <w:rPr>
          <w:rFonts w:ascii="宋体" w:hAnsi="宋体"/>
          <w:color w:val="000000"/>
          <w:sz w:val="32"/>
          <w:szCs w:val="32"/>
        </w:rPr>
        <w:softHyphen/>
      </w:r>
      <w:r>
        <w:rPr>
          <w:rFonts w:hint="eastAsia" w:ascii="宋体" w:hAnsi="宋体"/>
          <w:color w:val="000000"/>
          <w:sz w:val="32"/>
          <w:szCs w:val="32"/>
        </w:rPr>
        <w:t>…15</w:t>
      </w:r>
    </w:p>
    <w:p>
      <w:pPr>
        <w:numPr>
          <w:ilvl w:val="0"/>
          <w:numId w:val="3"/>
        </w:numPr>
        <w:tabs>
          <w:tab w:val="left" w:pos="2160"/>
          <w:tab w:val="clear" w:pos="1440"/>
        </w:tabs>
        <w:spacing w:line="720" w:lineRule="auto"/>
        <w:ind w:hanging="900"/>
        <w:jc w:val="left"/>
        <w:rPr>
          <w:rFonts w:ascii="宋体" w:hAnsi="宋体"/>
          <w:color w:val="000000"/>
          <w:sz w:val="32"/>
          <w:szCs w:val="32"/>
        </w:rPr>
      </w:pPr>
      <w:r>
        <w:rPr>
          <w:rFonts w:hint="eastAsia" w:ascii="宋体" w:hAnsi="宋体"/>
          <w:color w:val="000000"/>
          <w:sz w:val="32"/>
          <w:szCs w:val="32"/>
        </w:rPr>
        <w:t>附件……………………………………17</w:t>
      </w:r>
    </w:p>
    <w:p>
      <w:pPr>
        <w:numPr>
          <w:ilvl w:val="0"/>
          <w:numId w:val="3"/>
        </w:numPr>
        <w:tabs>
          <w:tab w:val="left" w:pos="2160"/>
          <w:tab w:val="clear" w:pos="1440"/>
        </w:tabs>
        <w:spacing w:line="720" w:lineRule="auto"/>
        <w:ind w:hanging="900"/>
        <w:jc w:val="left"/>
        <w:rPr>
          <w:rFonts w:ascii="宋体" w:hAnsi="宋体"/>
          <w:color w:val="000000"/>
          <w:sz w:val="32"/>
          <w:szCs w:val="32"/>
        </w:rPr>
      </w:pPr>
      <w:r>
        <w:rPr>
          <w:rFonts w:hint="eastAsia" w:ascii="宋体" w:hAnsi="宋体"/>
          <w:color w:val="000000"/>
          <w:sz w:val="32"/>
          <w:szCs w:val="32"/>
        </w:rPr>
        <w:t>合同范本………………………………28</w:t>
      </w:r>
    </w:p>
    <w:p>
      <w:pPr>
        <w:spacing w:line="480" w:lineRule="auto"/>
        <w:jc w:val="center"/>
        <w:rPr>
          <w:rFonts w:ascii="宋体" w:hAnsi="宋体"/>
          <w:color w:val="000000"/>
          <w:sz w:val="36"/>
        </w:rPr>
      </w:pPr>
    </w:p>
    <w:p>
      <w:pPr>
        <w:spacing w:line="480" w:lineRule="auto"/>
        <w:jc w:val="center"/>
        <w:rPr>
          <w:rFonts w:ascii="宋体" w:hAnsi="宋体"/>
          <w:color w:val="000000"/>
          <w:sz w:val="36"/>
        </w:rPr>
      </w:pPr>
    </w:p>
    <w:p>
      <w:pPr>
        <w:spacing w:line="480" w:lineRule="auto"/>
        <w:jc w:val="center"/>
        <w:rPr>
          <w:rFonts w:ascii="宋体" w:hAnsi="宋体"/>
          <w:color w:val="000000"/>
          <w:sz w:val="36"/>
        </w:rPr>
      </w:pPr>
    </w:p>
    <w:p>
      <w:pPr>
        <w:spacing w:line="480" w:lineRule="auto"/>
        <w:jc w:val="center"/>
        <w:rPr>
          <w:rFonts w:ascii="宋体" w:hAnsi="宋体"/>
          <w:color w:val="000000"/>
          <w:sz w:val="36"/>
        </w:rPr>
      </w:pPr>
    </w:p>
    <w:p>
      <w:pPr>
        <w:spacing w:line="480" w:lineRule="auto"/>
        <w:jc w:val="center"/>
        <w:rPr>
          <w:rFonts w:ascii="宋体" w:hAnsi="宋体"/>
          <w:color w:val="000000"/>
          <w:sz w:val="36"/>
        </w:rPr>
      </w:pPr>
    </w:p>
    <w:p>
      <w:pPr>
        <w:spacing w:line="480" w:lineRule="auto"/>
        <w:jc w:val="center"/>
        <w:rPr>
          <w:rFonts w:ascii="宋体" w:hAnsi="宋体"/>
          <w:color w:val="000000"/>
          <w:sz w:val="36"/>
        </w:rPr>
      </w:pPr>
    </w:p>
    <w:p>
      <w:pPr>
        <w:spacing w:line="480" w:lineRule="auto"/>
        <w:jc w:val="center"/>
        <w:rPr>
          <w:rFonts w:ascii="宋体" w:hAnsi="宋体"/>
          <w:color w:val="000000"/>
          <w:sz w:val="36"/>
        </w:rPr>
      </w:pPr>
    </w:p>
    <w:p>
      <w:pPr>
        <w:spacing w:line="480" w:lineRule="auto"/>
        <w:rPr>
          <w:rFonts w:ascii="宋体" w:hAnsi="宋体"/>
          <w:color w:val="000000"/>
          <w:sz w:val="36"/>
        </w:rPr>
      </w:pPr>
    </w:p>
    <w:p>
      <w:pPr>
        <w:pStyle w:val="2"/>
        <w:numPr>
          <w:ilvl w:val="0"/>
          <w:numId w:val="0"/>
        </w:numPr>
        <w:tabs>
          <w:tab w:val="clear" w:pos="360"/>
        </w:tabs>
        <w:jc w:val="center"/>
      </w:pPr>
      <w:r>
        <w:rPr>
          <w:rFonts w:hint="eastAsia"/>
        </w:rPr>
        <w:t>第一章  招 标 公 告</w:t>
      </w:r>
    </w:p>
    <w:p>
      <w:pPr>
        <w:ind w:firstLine="480" w:firstLineChars="200"/>
        <w:jc w:val="left"/>
        <w:rPr>
          <w:rFonts w:ascii="宋体" w:hAnsi="宋体"/>
          <w:color w:val="000000"/>
          <w:kern w:val="0"/>
          <w:sz w:val="24"/>
          <w:szCs w:val="24"/>
        </w:rPr>
      </w:pPr>
      <w:r>
        <w:rPr>
          <w:rFonts w:hint="eastAsia" w:ascii="宋体" w:hAnsi="宋体"/>
          <w:color w:val="000000"/>
          <w:kern w:val="0"/>
          <w:sz w:val="24"/>
          <w:szCs w:val="24"/>
        </w:rPr>
        <w:t>浙江省肿瘤医院因业务发展需求，就</w:t>
      </w:r>
      <w:r>
        <w:rPr>
          <w:rFonts w:hint="eastAsia" w:ascii="宋体" w:hAnsi="宋体"/>
          <w:color w:val="000000"/>
          <w:kern w:val="0"/>
          <w:sz w:val="24"/>
          <w:szCs w:val="24"/>
          <w:lang w:eastAsia="zh-CN"/>
        </w:rPr>
        <w:t>医院原有系统</w:t>
      </w:r>
      <w:bookmarkStart w:id="12" w:name="_GoBack"/>
      <w:bookmarkEnd w:id="12"/>
      <w:r>
        <w:rPr>
          <w:rFonts w:hint="eastAsia" w:ascii="宋体" w:hAnsi="宋体"/>
          <w:color w:val="000000"/>
          <w:kern w:val="0"/>
          <w:sz w:val="24"/>
          <w:szCs w:val="24"/>
          <w:u w:val="single"/>
        </w:rPr>
        <w:t>医用</w:t>
      </w:r>
      <w:r>
        <w:rPr>
          <w:rFonts w:ascii="宋体" w:hAnsi="宋体"/>
          <w:color w:val="000000"/>
          <w:kern w:val="0"/>
          <w:sz w:val="24"/>
          <w:szCs w:val="24"/>
          <w:u w:val="single"/>
        </w:rPr>
        <w:t>耗材</w:t>
      </w:r>
      <w:r>
        <w:rPr>
          <w:rFonts w:hint="eastAsia" w:ascii="宋体" w:hAnsi="宋体"/>
          <w:color w:val="000000"/>
          <w:kern w:val="0"/>
          <w:sz w:val="24"/>
          <w:szCs w:val="24"/>
          <w:u w:val="single"/>
        </w:rPr>
        <w:t>二级库房</w:t>
      </w:r>
      <w:r>
        <w:rPr>
          <w:rFonts w:ascii="宋体" w:hAnsi="宋体"/>
          <w:color w:val="000000"/>
          <w:kern w:val="0"/>
          <w:sz w:val="24"/>
          <w:szCs w:val="24"/>
          <w:u w:val="single"/>
        </w:rPr>
        <w:t>管理</w:t>
      </w:r>
      <w:r>
        <w:rPr>
          <w:rFonts w:hint="eastAsia" w:ascii="宋体" w:hAnsi="宋体"/>
          <w:color w:val="000000"/>
          <w:kern w:val="0"/>
          <w:sz w:val="24"/>
          <w:szCs w:val="24"/>
          <w:u w:val="single"/>
        </w:rPr>
        <w:t>系统升级</w:t>
      </w:r>
      <w:r>
        <w:rPr>
          <w:rFonts w:ascii="宋体" w:hAnsi="宋体"/>
          <w:color w:val="000000"/>
          <w:kern w:val="0"/>
          <w:sz w:val="24"/>
          <w:szCs w:val="24"/>
          <w:u w:val="single"/>
        </w:rPr>
        <w:t>改造</w:t>
      </w:r>
      <w:r>
        <w:rPr>
          <w:rFonts w:hint="eastAsia" w:ascii="宋体" w:hAnsi="宋体"/>
          <w:color w:val="000000"/>
          <w:kern w:val="0"/>
          <w:sz w:val="24"/>
          <w:szCs w:val="24"/>
          <w:u w:val="single"/>
        </w:rPr>
        <w:t>项目</w:t>
      </w:r>
      <w:r>
        <w:rPr>
          <w:rFonts w:hint="eastAsia" w:ascii="宋体" w:hAnsi="宋体"/>
          <w:color w:val="000000"/>
          <w:kern w:val="0"/>
          <w:sz w:val="24"/>
          <w:szCs w:val="24"/>
        </w:rPr>
        <w:t>进行</w:t>
      </w:r>
      <w:r>
        <w:rPr>
          <w:rFonts w:hint="eastAsia" w:ascii="宋体" w:hAnsi="宋体"/>
          <w:color w:val="000000"/>
          <w:kern w:val="0"/>
          <w:sz w:val="24"/>
          <w:szCs w:val="24"/>
          <w:lang w:eastAsia="zh-CN"/>
        </w:rPr>
        <w:t>单一来源院内议价</w:t>
      </w:r>
      <w:r>
        <w:rPr>
          <w:rFonts w:hint="eastAsia" w:ascii="宋体" w:hAnsi="宋体"/>
          <w:color w:val="000000"/>
          <w:kern w:val="0"/>
          <w:sz w:val="24"/>
          <w:szCs w:val="24"/>
        </w:rPr>
        <w:t>谈判，欢迎国内合格的供应商前来投标。</w:t>
      </w:r>
    </w:p>
    <w:p>
      <w:pPr>
        <w:widowControl/>
        <w:snapToGrid w:val="0"/>
        <w:spacing w:line="360" w:lineRule="auto"/>
        <w:ind w:firstLine="492" w:firstLineChars="204"/>
        <w:rPr>
          <w:rFonts w:ascii="宋体" w:hAnsi="宋体"/>
          <w:color w:val="000000"/>
          <w:kern w:val="0"/>
          <w:sz w:val="24"/>
          <w:szCs w:val="24"/>
        </w:rPr>
      </w:pPr>
      <w:r>
        <w:rPr>
          <w:rFonts w:hint="eastAsia" w:ascii="宋体" w:hAnsi="宋体"/>
          <w:b/>
          <w:bCs/>
          <w:color w:val="000000"/>
          <w:kern w:val="0"/>
          <w:sz w:val="24"/>
          <w:szCs w:val="24"/>
        </w:rPr>
        <w:t>一、招标编号：</w:t>
      </w:r>
    </w:p>
    <w:p>
      <w:pPr>
        <w:widowControl/>
        <w:snapToGrid w:val="0"/>
        <w:spacing w:afterLines="50"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二、招标项目概况（项目名称、数量、简要技术要求、用途等）：</w:t>
      </w:r>
    </w:p>
    <w:tbl>
      <w:tblPr>
        <w:tblStyle w:val="28"/>
        <w:tblW w:w="10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3988"/>
        <w:gridCol w:w="1824"/>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jc w:val="center"/>
            </w:pPr>
            <w:r>
              <w:rPr>
                <w:rFonts w:hint="eastAsia" w:ascii="宋体" w:hAnsi="宋体"/>
                <w:color w:val="000000"/>
                <w:kern w:val="0"/>
                <w:sz w:val="24"/>
                <w:szCs w:val="24"/>
              </w:rPr>
              <w:t>标项</w:t>
            </w:r>
          </w:p>
        </w:tc>
        <w:tc>
          <w:tcPr>
            <w:tcW w:w="1559" w:type="dxa"/>
          </w:tcPr>
          <w:p>
            <w:pPr>
              <w:jc w:val="center"/>
            </w:pPr>
            <w:r>
              <w:rPr>
                <w:rFonts w:hint="eastAsia"/>
              </w:rPr>
              <w:t>平台分类</w:t>
            </w:r>
          </w:p>
        </w:tc>
        <w:tc>
          <w:tcPr>
            <w:tcW w:w="3988" w:type="dxa"/>
          </w:tcPr>
          <w:p>
            <w:pPr>
              <w:jc w:val="center"/>
            </w:pPr>
            <w:r>
              <w:rPr>
                <w:rFonts w:hint="eastAsia"/>
              </w:rPr>
              <w:t>模块</w:t>
            </w:r>
          </w:p>
        </w:tc>
        <w:tc>
          <w:tcPr>
            <w:tcW w:w="1824" w:type="dxa"/>
          </w:tcPr>
          <w:p>
            <w:pPr>
              <w:jc w:val="center"/>
            </w:pPr>
            <w:r>
              <w:rPr>
                <w:rFonts w:hint="eastAsia"/>
              </w:rPr>
              <w:t>数量</w:t>
            </w:r>
          </w:p>
        </w:tc>
        <w:tc>
          <w:tcPr>
            <w:tcW w:w="2101"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vAlign w:val="center"/>
          </w:tcPr>
          <w:p>
            <w:pPr>
              <w:jc w:val="center"/>
            </w:pPr>
            <w:r>
              <w:rPr>
                <w:rFonts w:hint="eastAsia"/>
              </w:rPr>
              <w:t>1</w:t>
            </w:r>
          </w:p>
        </w:tc>
        <w:tc>
          <w:tcPr>
            <w:tcW w:w="1559" w:type="dxa"/>
            <w:vMerge w:val="restart"/>
            <w:vAlign w:val="center"/>
          </w:tcPr>
          <w:p>
            <w:pPr>
              <w:jc w:val="center"/>
            </w:pPr>
            <w:r>
              <w:rPr>
                <w:rFonts w:hint="eastAsia"/>
              </w:rPr>
              <w:t>医用</w:t>
            </w:r>
            <w:r>
              <w:t>耗材</w:t>
            </w:r>
            <w:r>
              <w:rPr>
                <w:rFonts w:hint="eastAsia"/>
              </w:rPr>
              <w:t>二级库房</w:t>
            </w:r>
            <w:r>
              <w:t>管理</w:t>
            </w:r>
            <w:r>
              <w:rPr>
                <w:rFonts w:hint="eastAsia"/>
              </w:rPr>
              <w:t>系统升级</w:t>
            </w:r>
            <w:r>
              <w:t>改造</w:t>
            </w:r>
            <w:r>
              <w:rPr>
                <w:rFonts w:hint="eastAsia"/>
              </w:rPr>
              <w:t>项目</w:t>
            </w:r>
          </w:p>
          <w:p>
            <w:pPr>
              <w:jc w:val="center"/>
            </w:pPr>
          </w:p>
        </w:tc>
        <w:tc>
          <w:tcPr>
            <w:tcW w:w="3988" w:type="dxa"/>
            <w:vAlign w:val="center"/>
          </w:tcPr>
          <w:p>
            <w:r>
              <w:rPr>
                <w:rFonts w:hint="eastAsia"/>
              </w:rPr>
              <w:t>医用</w:t>
            </w:r>
            <w:r>
              <w:t>耗材</w:t>
            </w:r>
            <w:r>
              <w:rPr>
                <w:rFonts w:hint="eastAsia"/>
              </w:rPr>
              <w:t>中心库房管理系统升级</w:t>
            </w:r>
            <w:r>
              <w:t>改造</w:t>
            </w:r>
          </w:p>
        </w:tc>
        <w:tc>
          <w:tcPr>
            <w:tcW w:w="1824" w:type="dxa"/>
          </w:tcPr>
          <w:p>
            <w:pPr>
              <w:jc w:val="center"/>
            </w:pPr>
            <w:r>
              <w:rPr>
                <w:rFonts w:hint="eastAsia"/>
              </w:rPr>
              <w:t>1套</w:t>
            </w:r>
          </w:p>
        </w:tc>
        <w:tc>
          <w:tcPr>
            <w:tcW w:w="2101" w:type="dxa"/>
            <w:vAlign w:val="center"/>
          </w:tcPr>
          <w:p>
            <w:pPr>
              <w:jc w:val="center"/>
            </w:pPr>
            <w:r>
              <w:rPr>
                <w:rFonts w:hint="eastAsia"/>
              </w:rPr>
              <w:t>升级</w:t>
            </w:r>
            <w: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pPr>
          </w:p>
        </w:tc>
        <w:tc>
          <w:tcPr>
            <w:tcW w:w="1559" w:type="dxa"/>
            <w:vMerge w:val="continue"/>
          </w:tcPr>
          <w:p>
            <w:pPr>
              <w:jc w:val="center"/>
            </w:pPr>
          </w:p>
        </w:tc>
        <w:tc>
          <w:tcPr>
            <w:tcW w:w="3988" w:type="dxa"/>
            <w:vAlign w:val="center"/>
          </w:tcPr>
          <w:p>
            <w:pPr>
              <w:jc w:val="center"/>
            </w:pPr>
            <w:r>
              <w:rPr>
                <w:rFonts w:hint="eastAsia"/>
              </w:rPr>
              <w:t>虚拟二级库房管理系统</w:t>
            </w:r>
          </w:p>
          <w:p>
            <w:pPr>
              <w:jc w:val="center"/>
            </w:pPr>
            <w:r>
              <w:rPr>
                <w:rFonts w:hint="eastAsia"/>
              </w:rPr>
              <w:t>（高值耗材条码</w:t>
            </w:r>
            <w:r>
              <w:t>追溯</w:t>
            </w:r>
            <w:r>
              <w:rPr>
                <w:rFonts w:hint="eastAsia"/>
              </w:rPr>
              <w:t>管理系统）</w:t>
            </w:r>
          </w:p>
        </w:tc>
        <w:tc>
          <w:tcPr>
            <w:tcW w:w="1824" w:type="dxa"/>
          </w:tcPr>
          <w:p>
            <w:pPr>
              <w:jc w:val="center"/>
            </w:pPr>
            <w:r>
              <w:rPr>
                <w:rFonts w:hint="eastAsia"/>
              </w:rPr>
              <w:t>2套（手术室、介入室）</w:t>
            </w:r>
          </w:p>
        </w:tc>
        <w:tc>
          <w:tcPr>
            <w:tcW w:w="2101" w:type="dxa"/>
            <w:vAlign w:val="center"/>
          </w:tcPr>
          <w:p>
            <w:pPr>
              <w:jc w:val="center"/>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pPr>
          </w:p>
        </w:tc>
        <w:tc>
          <w:tcPr>
            <w:tcW w:w="1559" w:type="dxa"/>
            <w:vMerge w:val="continue"/>
          </w:tcPr>
          <w:p>
            <w:pPr>
              <w:jc w:val="center"/>
            </w:pPr>
          </w:p>
        </w:tc>
        <w:tc>
          <w:tcPr>
            <w:tcW w:w="3988" w:type="dxa"/>
            <w:vAlign w:val="center"/>
          </w:tcPr>
          <w:p>
            <w:pPr>
              <w:jc w:val="center"/>
            </w:pPr>
            <w:r>
              <w:rPr>
                <w:rFonts w:hint="eastAsia"/>
              </w:rPr>
              <w:t>实物二级库房管理系统</w:t>
            </w:r>
          </w:p>
        </w:tc>
        <w:tc>
          <w:tcPr>
            <w:tcW w:w="1824" w:type="dxa"/>
          </w:tcPr>
          <w:p>
            <w:pPr>
              <w:jc w:val="center"/>
            </w:pPr>
            <w:r>
              <w:rPr>
                <w:rFonts w:hint="eastAsia"/>
              </w:rPr>
              <w:t>4套（</w:t>
            </w:r>
            <w:r>
              <w:rPr>
                <w:rFonts w:hint="eastAsia"/>
                <w:szCs w:val="21"/>
              </w:rPr>
              <w:t>手术室、</w:t>
            </w:r>
            <w:r>
              <w:rPr>
                <w:rFonts w:hint="eastAsia"/>
              </w:rPr>
              <w:t>麻醉科、</w:t>
            </w:r>
            <w:r>
              <w:rPr>
                <w:rFonts w:hint="eastAsia"/>
                <w:szCs w:val="21"/>
              </w:rPr>
              <w:t>信息</w:t>
            </w:r>
            <w:r>
              <w:rPr>
                <w:szCs w:val="21"/>
              </w:rPr>
              <w:t>科</w:t>
            </w:r>
            <w:r>
              <w:rPr>
                <w:rFonts w:hint="eastAsia"/>
                <w:szCs w:val="21"/>
              </w:rPr>
              <w:t>、</w:t>
            </w:r>
            <w:r>
              <w:rPr>
                <w:rFonts w:hint="eastAsia"/>
              </w:rPr>
              <w:t>设备</w:t>
            </w:r>
            <w:r>
              <w:t>维护</w:t>
            </w:r>
            <w:r>
              <w:rPr>
                <w:rFonts w:hint="eastAsia"/>
              </w:rPr>
              <w:t>、</w:t>
            </w:r>
            <w:r>
              <w:rPr>
                <w:rFonts w:hint="eastAsia"/>
                <w:szCs w:val="21"/>
              </w:rPr>
              <w:t>检验科 ）</w:t>
            </w:r>
          </w:p>
        </w:tc>
        <w:tc>
          <w:tcPr>
            <w:tcW w:w="2101" w:type="dxa"/>
            <w:vAlign w:val="center"/>
          </w:tcPr>
          <w:p>
            <w:pPr>
              <w:jc w:val="center"/>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pPr>
          </w:p>
        </w:tc>
        <w:tc>
          <w:tcPr>
            <w:tcW w:w="1559" w:type="dxa"/>
            <w:vMerge w:val="continue"/>
          </w:tcPr>
          <w:p>
            <w:pPr>
              <w:jc w:val="center"/>
            </w:pPr>
          </w:p>
        </w:tc>
        <w:tc>
          <w:tcPr>
            <w:tcW w:w="3988" w:type="dxa"/>
            <w:vAlign w:val="center"/>
          </w:tcPr>
          <w:p>
            <w:pPr>
              <w:jc w:val="center"/>
            </w:pPr>
            <w:r>
              <w:rPr>
                <w:rFonts w:hint="eastAsia"/>
              </w:rPr>
              <w:t>接口</w:t>
            </w:r>
          </w:p>
        </w:tc>
        <w:tc>
          <w:tcPr>
            <w:tcW w:w="1824" w:type="dxa"/>
          </w:tcPr>
          <w:p>
            <w:pPr>
              <w:jc w:val="center"/>
            </w:pPr>
          </w:p>
        </w:tc>
        <w:tc>
          <w:tcPr>
            <w:tcW w:w="2101" w:type="dxa"/>
            <w:vAlign w:val="center"/>
          </w:tcPr>
          <w:p>
            <w:pPr>
              <w:jc w:val="center"/>
            </w:pPr>
            <w:r>
              <w:rPr>
                <w:rFonts w:hint="eastAsia"/>
              </w:rPr>
              <w:t>HIS耗材收费接口</w:t>
            </w:r>
          </w:p>
        </w:tc>
      </w:tr>
    </w:tbl>
    <w:p>
      <w:pPr>
        <w:widowControl/>
        <w:snapToGrid w:val="0"/>
        <w:spacing w:beforeLines="50" w:line="360" w:lineRule="auto"/>
        <w:ind w:firstLine="482" w:firstLineChars="200"/>
        <w:rPr>
          <w:rFonts w:ascii="宋体" w:hAnsi="宋体"/>
          <w:color w:val="000000"/>
          <w:kern w:val="0"/>
          <w:sz w:val="24"/>
          <w:szCs w:val="24"/>
        </w:rPr>
      </w:pPr>
      <w:r>
        <w:rPr>
          <w:rFonts w:hint="eastAsia" w:ascii="宋体" w:hAnsi="宋体"/>
          <w:b/>
          <w:bCs/>
          <w:color w:val="000000"/>
          <w:kern w:val="0"/>
          <w:sz w:val="24"/>
          <w:szCs w:val="24"/>
        </w:rPr>
        <w:t>三、投标人的资格要求：</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投标人必须符合《中华人民共和国政府采购法》第二十二条规定；</w:t>
      </w:r>
    </w:p>
    <w:p>
      <w:pPr>
        <w:numPr>
          <w:ilvl w:val="0"/>
          <w:numId w:val="4"/>
        </w:numPr>
        <w:spacing w:line="360" w:lineRule="auto"/>
        <w:rPr>
          <w:rFonts w:ascii="宋体" w:hAnsi="宋体" w:cs="Arial"/>
          <w:color w:val="000000"/>
          <w:kern w:val="0"/>
          <w:sz w:val="24"/>
          <w:szCs w:val="24"/>
        </w:rPr>
      </w:pPr>
      <w:r>
        <w:rPr>
          <w:rFonts w:hint="eastAsia" w:ascii="宋体" w:hAnsi="宋体" w:cs="Arial"/>
          <w:color w:val="000000"/>
          <w:kern w:val="0"/>
          <w:sz w:val="24"/>
          <w:szCs w:val="24"/>
        </w:rPr>
        <w:t>投标人须是中华人民共和国境内合法注册、有法人资格和经营许可的国内企业，企业注册资金为五百万元人民币（含）及以上，具有独立的法人资格，较强的技术力量、经济实力和良好的财务状况、有经销或销售相关产品经验的企业</w:t>
      </w:r>
      <w:r>
        <w:rPr>
          <w:rFonts w:ascii="宋体" w:hAnsi="宋体" w:cs="Arial"/>
          <w:color w:val="000000"/>
          <w:kern w:val="0"/>
          <w:sz w:val="24"/>
          <w:szCs w:val="24"/>
        </w:rPr>
        <w:t>,</w:t>
      </w:r>
      <w:r>
        <w:rPr>
          <w:rFonts w:hint="eastAsia" w:ascii="宋体" w:hAnsi="宋体" w:cs="Arial"/>
          <w:color w:val="000000"/>
          <w:kern w:val="0"/>
          <w:sz w:val="24"/>
          <w:szCs w:val="24"/>
        </w:rPr>
        <w:t>投标产品须符合相关行业标准；须提供相关证明文件（包括但不限于营业执照、组织机构代码证等）。</w:t>
      </w:r>
    </w:p>
    <w:p>
      <w:pPr>
        <w:numPr>
          <w:ilvl w:val="0"/>
          <w:numId w:val="4"/>
        </w:numPr>
        <w:spacing w:line="360" w:lineRule="auto"/>
        <w:rPr>
          <w:rFonts w:ascii="宋体" w:hAnsi="宋体" w:cs="Arial"/>
          <w:color w:val="000000"/>
          <w:kern w:val="0"/>
          <w:sz w:val="24"/>
          <w:szCs w:val="24"/>
        </w:rPr>
      </w:pPr>
      <w:r>
        <w:rPr>
          <w:rFonts w:hint="eastAsia" w:ascii="宋体" w:hAnsi="宋体" w:cs="Arial"/>
          <w:color w:val="000000"/>
          <w:kern w:val="0"/>
          <w:sz w:val="24"/>
          <w:szCs w:val="24"/>
        </w:rPr>
        <w:t>投标人必须具备针对本项目自主知识产权证书。</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投标人须具有ISO9001资质认证，并提供相关证明文件。</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投标人近三年承担过三级甲等综合医院（床位1600张以上和日门诊量5000以上）与本次招标内容成功案例，并提供相关证明文件。</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投标人应有良好的商业信誉，有依法纳税和社会保障资金的良好记录，近三年内在经营活动中没有重大违法记录，请提供相关的声明和证明文件；</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投标人应具备健全的财务会计制度和良好财务状况，须提供上一年度经审计的财务报表和开标前三个月内出具的银行资信证明或其复印件；</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投标人须提供</w:t>
      </w:r>
      <w:r>
        <w:rPr>
          <w:rFonts w:ascii="宋体" w:hAnsi="宋体" w:cs="Arial"/>
          <w:color w:val="000000"/>
          <w:kern w:val="0"/>
          <w:sz w:val="24"/>
          <w:szCs w:val="24"/>
        </w:rPr>
        <w:t>检察机近三年没有行贿犯罪记录的行贿犯罪档案查询结果证明的复印件（加盖供应商公章）</w:t>
      </w:r>
      <w:r>
        <w:rPr>
          <w:rFonts w:hint="eastAsia" w:ascii="宋体" w:hAnsi="宋体" w:cs="Arial"/>
          <w:color w:val="000000"/>
          <w:kern w:val="0"/>
          <w:sz w:val="24"/>
          <w:szCs w:val="24"/>
        </w:rPr>
        <w:t>；</w:t>
      </w:r>
    </w:p>
    <w:p>
      <w:pPr>
        <w:widowControl/>
        <w:numPr>
          <w:ilvl w:val="0"/>
          <w:numId w:val="4"/>
        </w:numPr>
        <w:spacing w:line="360" w:lineRule="auto"/>
        <w:jc w:val="left"/>
        <w:rPr>
          <w:rFonts w:ascii="宋体" w:hAnsi="宋体" w:cs="Arial"/>
          <w:color w:val="000000"/>
          <w:kern w:val="0"/>
          <w:sz w:val="24"/>
          <w:szCs w:val="24"/>
        </w:rPr>
      </w:pPr>
      <w:r>
        <w:rPr>
          <w:rFonts w:hint="eastAsia" w:ascii="宋体" w:hAnsi="宋体" w:cs="Arial"/>
          <w:color w:val="000000"/>
          <w:kern w:val="0"/>
          <w:sz w:val="24"/>
          <w:szCs w:val="24"/>
        </w:rPr>
        <w:t>本招标项目不接受两家公司以上（含两家公司）组成的投标联合体。</w:t>
      </w:r>
    </w:p>
    <w:p>
      <w:pPr>
        <w:tabs>
          <w:tab w:val="left" w:pos="360"/>
        </w:tabs>
        <w:spacing w:line="360" w:lineRule="auto"/>
        <w:rPr>
          <w:rFonts w:ascii="宋体" w:hAnsi="宋体" w:cs="Arial"/>
          <w:color w:val="000000"/>
          <w:kern w:val="0"/>
          <w:sz w:val="24"/>
          <w:szCs w:val="24"/>
        </w:rPr>
      </w:pPr>
      <w:r>
        <w:rPr>
          <w:rFonts w:hAnsi="宋体"/>
          <w:b/>
          <w:bCs/>
          <w:sz w:val="24"/>
          <w:szCs w:val="24"/>
        </w:rPr>
        <w:t>(</w:t>
      </w:r>
      <w:r>
        <w:rPr>
          <w:rFonts w:hint="eastAsia" w:ascii="宋体" w:hAnsi="宋体" w:cs="Arial"/>
          <w:b/>
          <w:color w:val="000000"/>
          <w:kern w:val="0"/>
          <w:sz w:val="24"/>
          <w:szCs w:val="24"/>
        </w:rPr>
        <w:t>投标人的资质要求为全部必须满足才能报名及购买标书，有一项不满足就不能报名及购买标书</w:t>
      </w:r>
      <w:r>
        <w:rPr>
          <w:rFonts w:hAnsi="宋体"/>
          <w:b/>
          <w:bCs/>
          <w:sz w:val="24"/>
          <w:szCs w:val="24"/>
        </w:rPr>
        <w:t>)</w:t>
      </w:r>
    </w:p>
    <w:p>
      <w:pPr>
        <w:widowControl/>
        <w:snapToGrid w:val="0"/>
        <w:spacing w:beforeLines="50" w:line="360" w:lineRule="auto"/>
        <w:ind w:firstLine="482" w:firstLineChars="200"/>
        <w:rPr>
          <w:rFonts w:ascii="宋体" w:hAnsi="宋体"/>
          <w:color w:val="000000"/>
          <w:kern w:val="0"/>
          <w:sz w:val="24"/>
          <w:szCs w:val="24"/>
        </w:rPr>
      </w:pPr>
      <w:r>
        <w:rPr>
          <w:rFonts w:hint="eastAsia" w:ascii="宋体" w:hAnsi="宋体"/>
          <w:b/>
          <w:bCs/>
          <w:color w:val="000000"/>
          <w:kern w:val="0"/>
          <w:sz w:val="24"/>
          <w:szCs w:val="24"/>
        </w:rPr>
        <w:t>四、标书发售时间和地点：</w:t>
      </w:r>
    </w:p>
    <w:p>
      <w:pPr>
        <w:ind w:firstLine="480" w:firstLineChars="200"/>
        <w:rPr>
          <w:rFonts w:ascii="宋体" w:hAnsi="宋体"/>
          <w:sz w:val="28"/>
          <w:szCs w:val="28"/>
        </w:rPr>
      </w:pPr>
      <w:r>
        <w:rPr>
          <w:rFonts w:hint="eastAsia" w:ascii="华文细黑" w:hAnsi="华文细黑" w:eastAsia="华文细黑" w:cs="华文细黑"/>
          <w:sz w:val="24"/>
          <w:szCs w:val="24"/>
        </w:rPr>
        <w:t>1.报名截止日期：2018年11月XX日16:30之前必须通过邮件报名登记——邮箱地址：179872363@qq.com，报名信息至少包含：企业名称、联系人、联系电话、营业执照等。未报名登记的,或在要求提交响应文件的截止时间后送达的响应文件，采购人有权拒收。</w:t>
      </w:r>
    </w:p>
    <w:p>
      <w:pPr>
        <w:pStyle w:val="13"/>
        <w:tabs>
          <w:tab w:val="left" w:pos="0"/>
        </w:tabs>
        <w:wordWrap w:val="0"/>
        <w:spacing w:line="44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2．开标时间：2018年11月XX日9：00</w:t>
      </w:r>
    </w:p>
    <w:p>
      <w:pPr>
        <w:pStyle w:val="13"/>
        <w:tabs>
          <w:tab w:val="left" w:pos="0"/>
        </w:tabs>
        <w:wordWrap w:val="0"/>
        <w:spacing w:line="44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3．投标地点：浙江省肿瘤医院5号楼2楼会议室</w:t>
      </w:r>
    </w:p>
    <w:p>
      <w:pPr>
        <w:pStyle w:val="13"/>
        <w:tabs>
          <w:tab w:val="left" w:pos="0"/>
        </w:tabs>
        <w:wordWrap w:val="0"/>
        <w:spacing w:line="44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开标地点：浙江省肿瘤医院5号楼2楼会议室</w:t>
      </w:r>
    </w:p>
    <w:p>
      <w:pPr>
        <w:pStyle w:val="13"/>
        <w:tabs>
          <w:tab w:val="left" w:pos="0"/>
        </w:tabs>
        <w:wordWrap w:val="0"/>
        <w:spacing w:line="440" w:lineRule="exact"/>
        <w:rPr>
          <w:rFonts w:ascii="华文细黑" w:hAnsi="华文细黑" w:eastAsia="华文细黑" w:cs="华文细黑"/>
          <w:b/>
          <w:bCs/>
          <w:sz w:val="24"/>
          <w:szCs w:val="24"/>
        </w:rPr>
      </w:pPr>
      <w:r>
        <w:rPr>
          <w:rFonts w:hint="eastAsia" w:ascii="华文细黑" w:hAnsi="华文细黑" w:eastAsia="华文细黑" w:cs="华文细黑"/>
          <w:b/>
          <w:bCs/>
          <w:sz w:val="24"/>
          <w:szCs w:val="24"/>
        </w:rPr>
        <w:t>联系方式：</w:t>
      </w:r>
    </w:p>
    <w:p>
      <w:pPr>
        <w:pStyle w:val="13"/>
        <w:tabs>
          <w:tab w:val="left" w:pos="0"/>
        </w:tabs>
        <w:wordWrap w:val="0"/>
        <w:spacing w:line="44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w:t>
      </w:r>
    </w:p>
    <w:p>
      <w:pPr>
        <w:pStyle w:val="13"/>
        <w:tabs>
          <w:tab w:val="left" w:pos="0"/>
        </w:tabs>
        <w:wordWrap w:val="0"/>
        <w:spacing w:line="44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 联系方式：</w:t>
      </w:r>
    </w:p>
    <w:p>
      <w:pPr>
        <w:widowControl/>
        <w:snapToGrid w:val="0"/>
        <w:spacing w:beforeLines="50" w:line="360" w:lineRule="auto"/>
        <w:ind w:firstLine="960" w:firstLineChars="400"/>
        <w:rPr>
          <w:rFonts w:ascii="宋体" w:hAnsi="宋体"/>
          <w:color w:val="000000"/>
          <w:kern w:val="0"/>
          <w:sz w:val="24"/>
          <w:szCs w:val="24"/>
        </w:rPr>
      </w:pPr>
      <w:r>
        <w:rPr>
          <w:rFonts w:hint="eastAsia" w:ascii="华文细黑" w:hAnsi="华文细黑" w:eastAsia="华文细黑" w:cs="华文细黑"/>
          <w:sz w:val="24"/>
          <w:szCs w:val="24"/>
        </w:rPr>
        <w:t xml:space="preserve">    联系人：伍先生        联系电话：88122289   </w:t>
      </w:r>
    </w:p>
    <w:p>
      <w:pPr>
        <w:widowControl/>
        <w:snapToGrid w:val="0"/>
        <w:spacing w:line="360" w:lineRule="auto"/>
        <w:ind w:firstLine="480" w:firstLineChars="200"/>
        <w:jc w:val="center"/>
        <w:rPr>
          <w:rFonts w:ascii="宋体" w:hAnsi="宋体"/>
          <w:color w:val="000000"/>
          <w:kern w:val="0"/>
          <w:sz w:val="24"/>
          <w:szCs w:val="24"/>
        </w:rPr>
      </w:pPr>
      <w:r>
        <w:rPr>
          <w:rFonts w:hint="eastAsia" w:ascii="宋体" w:hAnsi="宋体"/>
          <w:color w:val="000000"/>
          <w:kern w:val="0"/>
          <w:sz w:val="24"/>
          <w:szCs w:val="24"/>
        </w:rPr>
        <w:t xml:space="preserve">                           </w:t>
      </w:r>
    </w:p>
    <w:p>
      <w:pPr>
        <w:widowControl/>
        <w:snapToGrid w:val="0"/>
        <w:spacing w:line="360" w:lineRule="auto"/>
        <w:ind w:firstLine="480" w:firstLineChars="200"/>
        <w:jc w:val="center"/>
        <w:rPr>
          <w:rFonts w:ascii="宋体" w:hAnsi="宋体"/>
          <w:color w:val="000000"/>
          <w:kern w:val="0"/>
          <w:sz w:val="24"/>
          <w:szCs w:val="24"/>
        </w:rPr>
      </w:pPr>
    </w:p>
    <w:p>
      <w:pPr>
        <w:widowControl/>
        <w:snapToGrid w:val="0"/>
        <w:spacing w:line="360" w:lineRule="auto"/>
        <w:ind w:firstLine="480" w:firstLineChars="200"/>
        <w:jc w:val="center"/>
        <w:rPr>
          <w:rFonts w:ascii="宋体" w:hAnsi="宋体"/>
          <w:color w:val="000000"/>
          <w:kern w:val="0"/>
          <w:sz w:val="24"/>
          <w:szCs w:val="24"/>
        </w:rPr>
      </w:pPr>
    </w:p>
    <w:p>
      <w:pPr>
        <w:widowControl/>
        <w:snapToGrid w:val="0"/>
        <w:spacing w:line="360" w:lineRule="auto"/>
        <w:ind w:firstLine="480" w:firstLineChars="200"/>
        <w:jc w:val="center"/>
        <w:rPr>
          <w:rFonts w:ascii="宋体" w:hAnsi="宋体"/>
          <w:color w:val="000000"/>
          <w:kern w:val="0"/>
          <w:sz w:val="24"/>
          <w:szCs w:val="24"/>
        </w:rPr>
      </w:pPr>
    </w:p>
    <w:p>
      <w:pPr>
        <w:widowControl/>
        <w:snapToGrid w:val="0"/>
        <w:spacing w:line="360" w:lineRule="auto"/>
        <w:ind w:firstLine="480" w:firstLineChars="200"/>
        <w:jc w:val="center"/>
        <w:rPr>
          <w:rFonts w:ascii="宋体" w:hAnsi="宋体"/>
          <w:color w:val="000000"/>
          <w:kern w:val="0"/>
          <w:sz w:val="24"/>
          <w:szCs w:val="24"/>
        </w:rPr>
      </w:pPr>
      <w:r>
        <w:rPr>
          <w:rFonts w:hint="eastAsia" w:ascii="宋体" w:hAnsi="宋体"/>
          <w:color w:val="000000"/>
          <w:kern w:val="0"/>
          <w:sz w:val="24"/>
          <w:szCs w:val="24"/>
        </w:rPr>
        <w:t xml:space="preserve">                                 浙江省肿瘤医院</w:t>
      </w:r>
    </w:p>
    <w:p>
      <w:pPr>
        <w:widowControl/>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 xml:space="preserve">                                       </w:t>
      </w:r>
      <w:r>
        <w:rPr>
          <w:rFonts w:ascii="宋体" w:hAnsi="宋体"/>
          <w:color w:val="000000"/>
          <w:kern w:val="0"/>
          <w:sz w:val="24"/>
          <w:szCs w:val="24"/>
        </w:rPr>
        <w:t>20</w:t>
      </w:r>
      <w:r>
        <w:rPr>
          <w:rFonts w:hint="eastAsia" w:ascii="宋体" w:hAnsi="宋体"/>
          <w:color w:val="000000"/>
          <w:kern w:val="0"/>
          <w:sz w:val="24"/>
          <w:szCs w:val="24"/>
        </w:rPr>
        <w:t>18</w:t>
      </w:r>
      <w:r>
        <w:rPr>
          <w:rFonts w:ascii="宋体" w:hAnsi="宋体"/>
          <w:color w:val="000000"/>
          <w:kern w:val="0"/>
          <w:sz w:val="24"/>
          <w:szCs w:val="24"/>
        </w:rPr>
        <w:t xml:space="preserve">年  </w:t>
      </w:r>
      <w:r>
        <w:rPr>
          <w:rFonts w:hint="eastAsia" w:ascii="宋体" w:hAnsi="宋体"/>
          <w:color w:val="000000"/>
          <w:kern w:val="0"/>
          <w:sz w:val="24"/>
          <w:szCs w:val="24"/>
        </w:rPr>
        <w:t>11月   日</w:t>
      </w:r>
    </w:p>
    <w:p>
      <w:pPr>
        <w:widowControl/>
        <w:snapToGrid w:val="0"/>
        <w:spacing w:line="360" w:lineRule="auto"/>
        <w:jc w:val="center"/>
        <w:rPr>
          <w:rFonts w:ascii="宋体" w:hAnsi="宋体"/>
          <w:b/>
          <w:bCs/>
          <w:color w:val="000000"/>
          <w:sz w:val="24"/>
          <w:szCs w:val="24"/>
        </w:rPr>
      </w:pPr>
    </w:p>
    <w:p>
      <w:pPr>
        <w:widowControl/>
        <w:snapToGrid w:val="0"/>
        <w:spacing w:line="360" w:lineRule="auto"/>
        <w:jc w:val="center"/>
        <w:rPr>
          <w:rFonts w:ascii="宋体" w:hAnsi="宋体"/>
          <w:b/>
          <w:bCs/>
          <w:color w:val="000000"/>
          <w:sz w:val="24"/>
          <w:szCs w:val="24"/>
        </w:rPr>
      </w:pPr>
    </w:p>
    <w:p>
      <w:pPr>
        <w:widowControl/>
        <w:snapToGrid w:val="0"/>
        <w:spacing w:line="360" w:lineRule="auto"/>
        <w:jc w:val="center"/>
        <w:rPr>
          <w:rFonts w:ascii="宋体" w:hAnsi="宋体"/>
          <w:b/>
          <w:bCs/>
          <w:color w:val="000000"/>
          <w:sz w:val="24"/>
          <w:szCs w:val="24"/>
        </w:rPr>
      </w:pPr>
    </w:p>
    <w:p>
      <w:pPr>
        <w:widowControl/>
        <w:snapToGrid w:val="0"/>
        <w:spacing w:line="360" w:lineRule="auto"/>
        <w:jc w:val="center"/>
        <w:rPr>
          <w:rFonts w:ascii="宋体" w:hAnsi="宋体"/>
          <w:b/>
          <w:bCs/>
          <w:color w:val="000000"/>
          <w:sz w:val="24"/>
          <w:szCs w:val="24"/>
        </w:rPr>
      </w:pPr>
    </w:p>
    <w:p>
      <w:pPr>
        <w:widowControl/>
        <w:snapToGrid w:val="0"/>
        <w:spacing w:line="360" w:lineRule="auto"/>
        <w:jc w:val="center"/>
        <w:rPr>
          <w:rFonts w:ascii="宋体" w:hAnsi="宋体"/>
          <w:b/>
          <w:bCs/>
          <w:color w:val="000000"/>
          <w:sz w:val="24"/>
          <w:szCs w:val="24"/>
        </w:rPr>
      </w:pPr>
    </w:p>
    <w:p>
      <w:pPr>
        <w:widowControl/>
        <w:snapToGrid w:val="0"/>
        <w:spacing w:line="360" w:lineRule="auto"/>
        <w:jc w:val="center"/>
        <w:rPr>
          <w:rFonts w:ascii="宋体" w:hAnsi="宋体"/>
          <w:b/>
          <w:bCs/>
          <w:color w:val="000000"/>
          <w:sz w:val="24"/>
          <w:szCs w:val="24"/>
        </w:rPr>
      </w:pPr>
    </w:p>
    <w:p>
      <w:pPr>
        <w:widowControl/>
        <w:snapToGrid w:val="0"/>
        <w:spacing w:line="360" w:lineRule="auto"/>
        <w:jc w:val="center"/>
        <w:rPr>
          <w:rFonts w:ascii="宋体" w:hAnsi="宋体"/>
          <w:b/>
          <w:bCs/>
          <w:color w:val="000000"/>
          <w:szCs w:val="21"/>
        </w:rPr>
      </w:pPr>
    </w:p>
    <w:p>
      <w:pPr>
        <w:widowControl/>
        <w:snapToGrid w:val="0"/>
        <w:spacing w:line="360" w:lineRule="atLeast"/>
        <w:jc w:val="center"/>
        <w:rPr>
          <w:rFonts w:ascii="宋体" w:hAnsi="宋体"/>
          <w:b/>
          <w:bCs/>
          <w:color w:val="000000"/>
          <w:sz w:val="36"/>
        </w:rPr>
        <w:sectPr>
          <w:headerReference r:id="rId4" w:type="first"/>
          <w:footerReference r:id="rId7" w:type="first"/>
          <w:headerReference r:id="rId3" w:type="default"/>
          <w:footerReference r:id="rId5" w:type="default"/>
          <w:footerReference r:id="rId6" w:type="even"/>
          <w:pgSz w:w="11906" w:h="16838"/>
          <w:pgMar w:top="1214" w:right="1466" w:bottom="1402" w:left="1620" w:header="794" w:footer="907" w:gutter="0"/>
          <w:pgNumType w:start="1"/>
          <w:cols w:space="425" w:num="1"/>
          <w:titlePg/>
          <w:docGrid w:type="lines" w:linePitch="312" w:charSpace="0"/>
        </w:sectPr>
      </w:pPr>
    </w:p>
    <w:p>
      <w:pPr>
        <w:pStyle w:val="2"/>
        <w:numPr>
          <w:ilvl w:val="0"/>
          <w:numId w:val="0"/>
        </w:numPr>
        <w:tabs>
          <w:tab w:val="clear" w:pos="360"/>
        </w:tabs>
        <w:jc w:val="center"/>
      </w:pPr>
      <w:r>
        <w:rPr>
          <w:rFonts w:hint="eastAsia"/>
        </w:rPr>
        <w:t>第二章  投</w:t>
      </w:r>
      <w:r>
        <w:t xml:space="preserve"> </w:t>
      </w:r>
      <w:r>
        <w:rPr>
          <w:rFonts w:hint="eastAsia"/>
        </w:rPr>
        <w:t>标 人 须</w:t>
      </w:r>
      <w:r>
        <w:t xml:space="preserve"> </w:t>
      </w:r>
      <w:r>
        <w:rPr>
          <w:rFonts w:hint="eastAsia"/>
        </w:rPr>
        <w:t>知</w:t>
      </w:r>
    </w:p>
    <w:p>
      <w:pPr>
        <w:adjustRightInd w:val="0"/>
        <w:snapToGrid w:val="0"/>
        <w:spacing w:beforeLines="50" w:line="360" w:lineRule="auto"/>
        <w:ind w:firstLine="422" w:firstLineChars="175"/>
        <w:rPr>
          <w:rFonts w:ascii="宋体" w:hAnsi="宋体"/>
          <w:b/>
          <w:color w:val="000000"/>
          <w:sz w:val="24"/>
          <w:szCs w:val="24"/>
        </w:rPr>
      </w:pPr>
      <w:r>
        <w:rPr>
          <w:rFonts w:hint="eastAsia" w:ascii="宋体" w:hAnsi="宋体"/>
          <w:b/>
          <w:color w:val="000000"/>
          <w:sz w:val="24"/>
          <w:szCs w:val="24"/>
        </w:rPr>
        <w:t>1、适用范围</w:t>
      </w:r>
    </w:p>
    <w:p>
      <w:pPr>
        <w:adjustRightInd w:val="0"/>
        <w:snapToGrid w:val="0"/>
        <w:spacing w:beforeLines="50" w:line="360" w:lineRule="auto"/>
        <w:ind w:firstLine="560"/>
        <w:rPr>
          <w:rFonts w:ascii="宋体" w:hAnsi="宋体"/>
          <w:color w:val="000000"/>
          <w:sz w:val="24"/>
          <w:szCs w:val="24"/>
        </w:rPr>
      </w:pPr>
      <w:r>
        <w:rPr>
          <w:rFonts w:hAnsi="宋体"/>
          <w:sz w:val="24"/>
          <w:szCs w:val="24"/>
        </w:rPr>
        <w:t>本招标文件仅适用于本项目的招标、投标、评标、定标、验收、合同履约、付款等行为(法律、法规另有规定的，从其规定)</w:t>
      </w:r>
      <w:r>
        <w:rPr>
          <w:rFonts w:hint="eastAsia" w:ascii="宋体" w:hAnsi="宋体"/>
          <w:color w:val="000000"/>
          <w:sz w:val="24"/>
          <w:szCs w:val="24"/>
        </w:rPr>
        <w:t>。</w:t>
      </w:r>
    </w:p>
    <w:p>
      <w:pPr>
        <w:adjustRightInd w:val="0"/>
        <w:snapToGrid w:val="0"/>
        <w:spacing w:beforeLines="50" w:line="360" w:lineRule="auto"/>
        <w:ind w:firstLine="420"/>
        <w:rPr>
          <w:rFonts w:ascii="宋体" w:hAnsi="宋体"/>
          <w:b/>
          <w:color w:val="000000"/>
          <w:sz w:val="24"/>
          <w:szCs w:val="24"/>
        </w:rPr>
      </w:pPr>
      <w:r>
        <w:rPr>
          <w:rFonts w:hint="eastAsia" w:ascii="宋体" w:hAnsi="宋体"/>
          <w:b/>
          <w:color w:val="000000"/>
          <w:sz w:val="24"/>
          <w:szCs w:val="24"/>
        </w:rPr>
        <w:t>2、定义</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（1）、“招标人”系指浙江省肿瘤医院。</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（2）、“投标人”系指向招标人提交投标文件的供应商。</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（3）、“产品”系指供方按招标文件规定，须向采购人提供的一切软件和硬件、保险、税金、备品备件、工具、手册及其它有关技术资料和材料。</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（4）、“服务”系指招标文件规定投标人须承担的安装、调试、技术协助、校准、培训、技术指导以及其他类似的义务。</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（5）、“项目”系指投标人按招标文件规定向采购人提供的产品和服务。</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（6）、“书面形式”包括信函、传真、电报等。</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（7）、“投标联合体”系指两个以上供应商组成联合体，以一个供应商的身份参加投标。</w:t>
      </w:r>
    </w:p>
    <w:p>
      <w:pPr>
        <w:adjustRightInd w:val="0"/>
        <w:snapToGrid w:val="0"/>
        <w:spacing w:beforeLines="50" w:line="360" w:lineRule="auto"/>
        <w:ind w:firstLine="420"/>
        <w:rPr>
          <w:rFonts w:ascii="宋体" w:hAnsi="宋体"/>
          <w:b/>
          <w:color w:val="000000"/>
          <w:sz w:val="24"/>
          <w:szCs w:val="24"/>
        </w:rPr>
      </w:pPr>
      <w:r>
        <w:rPr>
          <w:rFonts w:hint="eastAsia" w:ascii="宋体" w:hAnsi="宋体"/>
          <w:b/>
          <w:color w:val="000000"/>
          <w:sz w:val="24"/>
          <w:szCs w:val="24"/>
        </w:rPr>
        <w:t>3、投标费用</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投标人自行承担与投标有关的全部费用。</w:t>
      </w:r>
    </w:p>
    <w:p>
      <w:pPr>
        <w:adjustRightInd w:val="0"/>
        <w:snapToGrid w:val="0"/>
        <w:spacing w:beforeLines="50" w:line="360" w:lineRule="auto"/>
        <w:ind w:left="420"/>
        <w:rPr>
          <w:rFonts w:ascii="宋体" w:hAnsi="宋体"/>
          <w:color w:val="000000"/>
          <w:sz w:val="24"/>
          <w:szCs w:val="24"/>
        </w:rPr>
      </w:pPr>
      <w:r>
        <w:rPr>
          <w:rFonts w:hint="eastAsia" w:ascii="宋体" w:hAnsi="宋体"/>
          <w:b/>
          <w:color w:val="000000"/>
          <w:sz w:val="24"/>
          <w:szCs w:val="24"/>
        </w:rPr>
        <w:t>4、其他说明</w:t>
      </w:r>
    </w:p>
    <w:p>
      <w:pPr>
        <w:adjustRightInd w:val="0"/>
        <w:snapToGrid w:val="0"/>
        <w:spacing w:beforeLines="50" w:line="360" w:lineRule="auto"/>
        <w:ind w:firstLine="560"/>
        <w:rPr>
          <w:rFonts w:ascii="宋体" w:hAnsi="宋体"/>
          <w:color w:val="000000"/>
          <w:sz w:val="24"/>
          <w:szCs w:val="24"/>
          <w:lang w:val="zh-CN"/>
        </w:rPr>
      </w:pPr>
      <w:r>
        <w:rPr>
          <w:rFonts w:hint="eastAsia" w:ascii="宋体" w:hAnsi="宋体"/>
          <w:color w:val="000000"/>
          <w:sz w:val="24"/>
          <w:szCs w:val="24"/>
        </w:rPr>
        <w:t>（1）、▲</w:t>
      </w:r>
      <w:r>
        <w:rPr>
          <w:rFonts w:hint="eastAsia" w:ascii="宋体" w:hAnsi="宋体"/>
          <w:color w:val="000000"/>
          <w:sz w:val="24"/>
          <w:szCs w:val="24"/>
          <w:lang w:val="zh-CN"/>
        </w:rPr>
        <w:t>投标人对所投标项内的采购内容必须全部进行投标。</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val="zh-CN"/>
        </w:rPr>
        <w:t>投标人须对所投产品、方案、技术、服务等拥有合法的占有、使用、收益、处分的权利，并对涉及项目的所有内容可能侵权行为指控负责，保证不伤害</w:t>
      </w:r>
      <w:r>
        <w:rPr>
          <w:rFonts w:hint="eastAsia" w:ascii="宋体" w:hAnsi="宋体"/>
          <w:color w:val="000000"/>
          <w:sz w:val="24"/>
          <w:szCs w:val="24"/>
        </w:rPr>
        <w:t>招标人</w:t>
      </w:r>
      <w:r>
        <w:rPr>
          <w:rFonts w:hint="eastAsia" w:ascii="宋体" w:hAnsi="宋体"/>
          <w:color w:val="000000"/>
          <w:sz w:val="24"/>
          <w:szCs w:val="24"/>
          <w:lang w:val="zh-CN"/>
        </w:rPr>
        <w:t>的利益。在法律范围内，如果出现文字、图片、商标和技术等侵权行为而造成的纠纷和产生的一切费用，</w:t>
      </w:r>
      <w:r>
        <w:rPr>
          <w:rFonts w:hint="eastAsia" w:ascii="宋体" w:hAnsi="宋体"/>
          <w:color w:val="000000"/>
          <w:sz w:val="24"/>
          <w:szCs w:val="24"/>
        </w:rPr>
        <w:t>招标人</w:t>
      </w:r>
      <w:r>
        <w:rPr>
          <w:rFonts w:hint="eastAsia" w:ascii="宋体" w:hAnsi="宋体"/>
          <w:color w:val="000000"/>
          <w:sz w:val="24"/>
          <w:szCs w:val="24"/>
          <w:lang w:val="zh-CN"/>
        </w:rPr>
        <w:t>概不负责，由此给</w:t>
      </w:r>
      <w:r>
        <w:rPr>
          <w:rFonts w:hint="eastAsia" w:ascii="宋体" w:hAnsi="宋体"/>
          <w:color w:val="000000"/>
          <w:sz w:val="24"/>
          <w:szCs w:val="24"/>
        </w:rPr>
        <w:t>招标人</w:t>
      </w:r>
      <w:r>
        <w:rPr>
          <w:rFonts w:hint="eastAsia" w:ascii="宋体" w:hAnsi="宋体"/>
          <w:color w:val="000000"/>
          <w:sz w:val="24"/>
          <w:szCs w:val="24"/>
          <w:lang w:val="zh-CN"/>
        </w:rPr>
        <w:t>造成损失的，</w:t>
      </w:r>
      <w:r>
        <w:rPr>
          <w:rFonts w:hint="eastAsia" w:ascii="宋体" w:hAnsi="宋体"/>
          <w:color w:val="000000"/>
          <w:sz w:val="24"/>
          <w:szCs w:val="24"/>
        </w:rPr>
        <w:t>投标人</w:t>
      </w:r>
      <w:r>
        <w:rPr>
          <w:rFonts w:hint="eastAsia" w:ascii="宋体" w:hAnsi="宋体"/>
          <w:color w:val="000000"/>
          <w:sz w:val="24"/>
          <w:szCs w:val="24"/>
          <w:lang w:val="zh-CN"/>
        </w:rPr>
        <w:t>应承担相应后果，并负责赔偿。</w:t>
      </w:r>
      <w:r>
        <w:rPr>
          <w:rFonts w:hint="eastAsia" w:ascii="宋体" w:hAnsi="宋体"/>
          <w:color w:val="000000"/>
          <w:sz w:val="24"/>
          <w:szCs w:val="24"/>
        </w:rPr>
        <w:t>投标人</w:t>
      </w:r>
      <w:r>
        <w:rPr>
          <w:rFonts w:hint="eastAsia" w:ascii="宋体" w:hAnsi="宋体"/>
          <w:color w:val="000000"/>
          <w:sz w:val="24"/>
          <w:szCs w:val="24"/>
          <w:lang w:val="zh-CN"/>
        </w:rPr>
        <w:t>为执行本项目合同而提供的技术资料等归</w:t>
      </w:r>
      <w:r>
        <w:rPr>
          <w:rFonts w:hint="eastAsia" w:ascii="宋体" w:hAnsi="宋体"/>
          <w:color w:val="000000"/>
          <w:sz w:val="24"/>
          <w:szCs w:val="24"/>
        </w:rPr>
        <w:t>招标人</w:t>
      </w:r>
      <w:r>
        <w:rPr>
          <w:rFonts w:hint="eastAsia" w:ascii="宋体" w:hAnsi="宋体"/>
          <w:color w:val="000000"/>
          <w:sz w:val="24"/>
          <w:szCs w:val="24"/>
          <w:lang w:val="zh-CN"/>
        </w:rPr>
        <w:t>所有。</w:t>
      </w:r>
    </w:p>
    <w:p>
      <w:pPr>
        <w:adjustRightInd w:val="0"/>
        <w:snapToGrid w:val="0"/>
        <w:spacing w:beforeLines="50" w:line="360" w:lineRule="auto"/>
        <w:ind w:firstLine="420"/>
        <w:rPr>
          <w:rFonts w:ascii="宋体" w:hAnsi="宋体"/>
          <w:b/>
          <w:color w:val="000000"/>
          <w:sz w:val="24"/>
          <w:szCs w:val="24"/>
        </w:rPr>
      </w:pPr>
      <w:r>
        <w:rPr>
          <w:rFonts w:hint="eastAsia" w:ascii="宋体" w:hAnsi="宋体"/>
          <w:b/>
          <w:color w:val="000000"/>
          <w:sz w:val="24"/>
          <w:szCs w:val="24"/>
        </w:rPr>
        <w:t>5、投标报价</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（1）、报价</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有关本项目所需的一切费用均计入报价。《开标一览表》是报价的唯一载体。</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（2）、其它费用处理</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招标文件未列明，而投标人认为必需的费用也需列入报价。投标人在投标报价中应充分考虑所有可能发生的费用，否则招标人将视投标总价中已包括所有费用。</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（3）、投标货币</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投标文件中价格全部采用人民币报价。报价应是唯一的，不接受有选择的报价。</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（4）、投标人对在合同执行中，除上述费用及招标文件规定的由中标方负责的工作范围以外需要招标人协调或提供便利的工作应当在投标文件中说明。</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（5）、其他注意事项：</w:t>
      </w:r>
      <w:r>
        <w:rPr>
          <w:rFonts w:hint="eastAsia" w:ascii="宋体" w:hAnsi="宋体"/>
          <w:color w:val="000000"/>
          <w:sz w:val="24"/>
          <w:szCs w:val="24"/>
        </w:rPr>
        <w:br w:type="textWrapping"/>
      </w:r>
      <w:r>
        <w:rPr>
          <w:rFonts w:hint="eastAsia" w:ascii="宋体" w:hAnsi="宋体"/>
          <w:color w:val="000000"/>
          <w:sz w:val="24"/>
          <w:szCs w:val="24"/>
        </w:rPr>
        <w:t xml:space="preserve">    投标人在投标活动中提供任何虚假材料，其投标无效，并报监管部门查处。</w:t>
      </w:r>
    </w:p>
    <w:p>
      <w:pPr>
        <w:adjustRightInd w:val="0"/>
        <w:snapToGrid w:val="0"/>
        <w:spacing w:beforeLines="50" w:line="360" w:lineRule="auto"/>
        <w:ind w:firstLine="560"/>
        <w:rPr>
          <w:rFonts w:ascii="宋体" w:hAnsi="宋体"/>
          <w:color w:val="000000"/>
          <w:sz w:val="24"/>
          <w:szCs w:val="24"/>
        </w:rPr>
      </w:pPr>
    </w:p>
    <w:p>
      <w:pPr>
        <w:adjustRightInd w:val="0"/>
        <w:snapToGrid w:val="0"/>
        <w:spacing w:beforeLines="50" w:line="360" w:lineRule="auto"/>
        <w:ind w:firstLine="560"/>
        <w:rPr>
          <w:rFonts w:ascii="宋体" w:hAnsi="宋体"/>
          <w:b/>
          <w:color w:val="000000"/>
          <w:sz w:val="24"/>
          <w:szCs w:val="24"/>
        </w:rPr>
      </w:pPr>
      <w:r>
        <w:rPr>
          <w:rFonts w:hint="eastAsia" w:ascii="宋体" w:hAnsi="宋体"/>
          <w:b/>
          <w:color w:val="000000"/>
          <w:sz w:val="24"/>
          <w:szCs w:val="24"/>
        </w:rPr>
        <w:t>6、投标文件的编制</w:t>
      </w:r>
    </w:p>
    <w:p>
      <w:pPr>
        <w:adjustRightInd w:val="0"/>
        <w:snapToGrid w:val="0"/>
        <w:spacing w:beforeLines="50" w:line="360" w:lineRule="auto"/>
        <w:ind w:firstLine="560"/>
        <w:rPr>
          <w:rFonts w:ascii="宋体" w:hAnsi="宋体"/>
          <w:b/>
          <w:color w:val="000000"/>
          <w:sz w:val="24"/>
          <w:szCs w:val="24"/>
        </w:rPr>
      </w:pPr>
      <w:r>
        <w:rPr>
          <w:rFonts w:hint="eastAsia" w:ascii="宋体" w:hAnsi="宋体"/>
          <w:b/>
          <w:color w:val="000000"/>
          <w:sz w:val="24"/>
          <w:szCs w:val="24"/>
        </w:rPr>
        <w:t>商务文件部分</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（1）、投标书；（附件一）</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（2）、开标一览表；（附件二）</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（3）、项目设计方案；（格式自拟）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（4）、系统部署方案（含安装调试、工期保证）（格式自拟）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（5）、项目验收方案；（格式自拟）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（6）、系统培训方案；（格式自拟）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（7）、技术支持和服务承诺；（格式自拟）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（8）、类似项目业绩；（格式自拟）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（9）、项目负责人简历表；（附件三）</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（10）、整个招标文件涉及的投标人认为需要说明及补充的其他商务和技术材料。</w:t>
      </w:r>
    </w:p>
    <w:p>
      <w:pPr>
        <w:spacing w:line="360" w:lineRule="auto"/>
        <w:ind w:left="424" w:leftChars="202" w:firstLine="482" w:firstLineChars="201"/>
        <w:rPr>
          <w:rFonts w:ascii="宋体" w:hAnsi="宋体"/>
          <w:color w:val="000000"/>
          <w:sz w:val="24"/>
          <w:szCs w:val="24"/>
        </w:rPr>
      </w:pPr>
      <w:r>
        <w:rPr>
          <w:rFonts w:hAnsi="宋体"/>
          <w:sz w:val="24"/>
          <w:szCs w:val="24"/>
        </w:rPr>
        <w:t>备注：投标人应将投标文件装订成册并编写页码及</w:t>
      </w:r>
      <w:r>
        <w:rPr>
          <w:sz w:val="24"/>
          <w:szCs w:val="24"/>
        </w:rPr>
        <w:t>“</w:t>
      </w:r>
      <w:r>
        <w:rPr>
          <w:rFonts w:hAnsi="宋体"/>
          <w:sz w:val="24"/>
          <w:szCs w:val="24"/>
        </w:rPr>
        <w:t>投标文件清单目录</w:t>
      </w:r>
      <w:r>
        <w:rPr>
          <w:sz w:val="24"/>
          <w:szCs w:val="24"/>
        </w:rPr>
        <w:t>”</w:t>
      </w:r>
      <w:r>
        <w:rPr>
          <w:rFonts w:hAnsi="宋体"/>
          <w:sz w:val="24"/>
          <w:szCs w:val="24"/>
        </w:rPr>
        <w:t>，否则造成任何后果由投保人自负</w:t>
      </w:r>
      <w:r>
        <w:rPr>
          <w:rFonts w:hint="eastAsia" w:ascii="宋体" w:hAnsi="宋体"/>
          <w:color w:val="000000"/>
          <w:sz w:val="24"/>
          <w:szCs w:val="24"/>
        </w:rPr>
        <w:t>。</w:t>
      </w:r>
    </w:p>
    <w:p>
      <w:pPr>
        <w:adjustRightInd w:val="0"/>
        <w:snapToGrid w:val="0"/>
        <w:spacing w:beforeLines="50" w:line="360" w:lineRule="auto"/>
        <w:rPr>
          <w:rFonts w:ascii="宋体" w:hAnsi="宋体"/>
          <w:color w:val="000000"/>
          <w:sz w:val="24"/>
          <w:szCs w:val="24"/>
        </w:rPr>
      </w:pPr>
    </w:p>
    <w:p>
      <w:pPr>
        <w:widowControl/>
        <w:snapToGrid w:val="0"/>
        <w:spacing w:beforeLines="50" w:line="360" w:lineRule="auto"/>
        <w:ind w:firstLine="280"/>
        <w:rPr>
          <w:rFonts w:ascii="宋体" w:hAnsi="宋体"/>
          <w:b/>
          <w:color w:val="000000"/>
          <w:sz w:val="24"/>
          <w:szCs w:val="24"/>
        </w:rPr>
      </w:pPr>
      <w:r>
        <w:rPr>
          <w:rFonts w:hint="eastAsia" w:ascii="宋体" w:hAnsi="宋体"/>
          <w:b/>
          <w:color w:val="000000"/>
          <w:sz w:val="24"/>
          <w:szCs w:val="24"/>
        </w:rPr>
        <w:t>资格文件部分</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1）、营业执照(或事业法人登记证书或其它工商等登记证明材料；自然人参与政府采购，提供身份证)复印件、税务登记证(或其它缴纳证明材料)复印件、社保登记证（或其它缴纳证明材料）复印件；实施“五证合一、一照一码”登记制度改革的，只需提供改革后取得的营业执照复印件；</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（2）、法人代表授权书(印章和签名必须真实有效)（附件四）</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（3）、2017年度财务报表(新成立的公司，必须提供情况说明)；（格式自拟）</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（4）、具有履行合同所必需的专业（服务技术）能力的承诺函；（附件五）</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（5）、参加政府采购活动前3年内在经营活动中没有重大违法记录的声明函；（附件六）</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（6）、知识产权(专利证书、软件著作权证书)；（附件七）</w:t>
      </w:r>
    </w:p>
    <w:p>
      <w:pPr>
        <w:adjustRightInd w:val="0"/>
        <w:snapToGrid w:val="0"/>
        <w:spacing w:beforeLines="50" w:line="360" w:lineRule="auto"/>
        <w:ind w:firstLine="560"/>
        <w:rPr>
          <w:rFonts w:ascii="宋体" w:hAnsi="宋体"/>
          <w:color w:val="000000"/>
          <w:sz w:val="24"/>
          <w:szCs w:val="24"/>
        </w:rPr>
      </w:pPr>
      <w:r>
        <w:rPr>
          <w:rFonts w:hint="eastAsia" w:ascii="宋体" w:hAnsi="宋体"/>
          <w:color w:val="000000"/>
          <w:sz w:val="24"/>
          <w:szCs w:val="24"/>
        </w:rPr>
        <w:t>（7）、调研及项目概要设计（需有招标方项目负责人签字）；（格式自拟）</w:t>
      </w:r>
    </w:p>
    <w:p>
      <w:pPr>
        <w:autoSpaceDE w:val="0"/>
        <w:autoSpaceDN w:val="0"/>
        <w:adjustRightInd w:val="0"/>
        <w:snapToGrid w:val="0"/>
        <w:spacing w:beforeLines="50" w:line="360" w:lineRule="auto"/>
        <w:ind w:firstLine="480" w:firstLineChars="200"/>
        <w:textAlignment w:val="bottom"/>
        <w:rPr>
          <w:rFonts w:ascii="宋体" w:hAnsi="宋体"/>
          <w:b/>
          <w:bCs/>
          <w:color w:val="000000"/>
          <w:sz w:val="24"/>
          <w:szCs w:val="24"/>
        </w:rPr>
      </w:pPr>
      <w:r>
        <w:rPr>
          <w:rFonts w:hint="eastAsia" w:ascii="宋体" w:hAnsi="宋体"/>
          <w:color w:val="000000"/>
          <w:sz w:val="24"/>
          <w:szCs w:val="24"/>
        </w:rPr>
        <w:t>以上文件（复印件需加盖公章），按商务和资格文件装订一册，装入信封密封。若同时投二个以上的标项，需提供多套资格文件，资格文件内必须注明针对所投各标项的资格证明文件。</w:t>
      </w:r>
    </w:p>
    <w:p>
      <w:pPr>
        <w:adjustRightInd w:val="0"/>
        <w:snapToGrid w:val="0"/>
        <w:spacing w:beforeLines="50" w:line="360" w:lineRule="auto"/>
        <w:ind w:firstLine="560"/>
        <w:rPr>
          <w:rFonts w:ascii="宋体" w:hAnsi="宋体"/>
          <w:b/>
          <w:color w:val="000000"/>
          <w:sz w:val="24"/>
          <w:szCs w:val="24"/>
        </w:rPr>
      </w:pPr>
      <w:r>
        <w:rPr>
          <w:rFonts w:hint="eastAsia" w:ascii="宋体" w:hAnsi="宋体"/>
          <w:b/>
          <w:color w:val="000000"/>
          <w:sz w:val="24"/>
          <w:szCs w:val="24"/>
        </w:rPr>
        <w:t>7、投标文件的签署和份数</w:t>
      </w:r>
    </w:p>
    <w:p>
      <w:pPr>
        <w:spacing w:beforeLines="50" w:line="360" w:lineRule="auto"/>
        <w:ind w:firstLine="600"/>
        <w:rPr>
          <w:rFonts w:ascii="宋体" w:hAnsi="宋体"/>
          <w:color w:val="000000"/>
          <w:sz w:val="24"/>
          <w:szCs w:val="24"/>
        </w:rPr>
      </w:pPr>
      <w:r>
        <w:rPr>
          <w:rFonts w:hint="eastAsia" w:ascii="宋体" w:hAnsi="宋体"/>
          <w:color w:val="000000"/>
          <w:sz w:val="24"/>
          <w:szCs w:val="24"/>
        </w:rPr>
        <w:t>（1）、投标文件需打印或用不褪色的墨水填写。投标文件的装订顺序应按投标须知第6条所叙顺序装订。</w:t>
      </w:r>
    </w:p>
    <w:p>
      <w:pPr>
        <w:spacing w:beforeLines="50" w:line="360" w:lineRule="auto"/>
        <w:ind w:firstLine="600"/>
        <w:rPr>
          <w:rFonts w:ascii="宋体" w:hAnsi="宋体"/>
          <w:color w:val="000000"/>
          <w:sz w:val="24"/>
          <w:szCs w:val="24"/>
        </w:rPr>
      </w:pPr>
      <w:r>
        <w:rPr>
          <w:rFonts w:hint="eastAsia" w:ascii="宋体" w:hAnsi="宋体"/>
          <w:color w:val="000000"/>
          <w:sz w:val="24"/>
          <w:szCs w:val="24"/>
        </w:rPr>
        <w:t>（2）、所有投标文件均须加</w:t>
      </w:r>
      <w:r>
        <w:rPr>
          <w:rFonts w:hint="eastAsia" w:ascii="宋体" w:hAnsi="宋体"/>
          <w:b/>
          <w:bCs/>
          <w:color w:val="000000"/>
          <w:sz w:val="24"/>
          <w:szCs w:val="24"/>
        </w:rPr>
        <w:t>盖公司法定印章</w:t>
      </w:r>
      <w:r>
        <w:rPr>
          <w:rFonts w:hint="eastAsia" w:ascii="宋体" w:hAnsi="宋体"/>
          <w:color w:val="000000"/>
          <w:sz w:val="24"/>
          <w:szCs w:val="24"/>
        </w:rPr>
        <w:t>，并由法定代表人或法定代表人授权代表签署，投标单位应写全称。</w:t>
      </w:r>
    </w:p>
    <w:p>
      <w:pPr>
        <w:spacing w:beforeLines="50" w:line="360" w:lineRule="auto"/>
        <w:ind w:firstLine="560"/>
        <w:rPr>
          <w:rFonts w:ascii="宋体" w:hAnsi="宋体"/>
          <w:color w:val="000000"/>
          <w:sz w:val="24"/>
          <w:szCs w:val="24"/>
        </w:rPr>
      </w:pPr>
      <w:r>
        <w:rPr>
          <w:rFonts w:hint="eastAsia" w:ascii="宋体" w:hAnsi="宋体"/>
          <w:color w:val="000000"/>
          <w:sz w:val="24"/>
          <w:szCs w:val="24"/>
        </w:rPr>
        <w:t>（3）、投标人应将投标文件正本和副本分别密封，并在封面上标明招标编号，标项，“正本”或“副本”字样，</w:t>
      </w:r>
      <w:r>
        <w:rPr>
          <w:rFonts w:hint="eastAsia" w:ascii="宋体" w:hAnsi="宋体"/>
          <w:b/>
          <w:color w:val="000000"/>
          <w:sz w:val="24"/>
          <w:szCs w:val="24"/>
        </w:rPr>
        <w:t>标书正本一份，副本</w:t>
      </w:r>
      <w:r>
        <w:rPr>
          <w:rFonts w:hint="eastAsia" w:ascii="宋体" w:hAnsi="宋体"/>
          <w:b/>
          <w:color w:val="000000"/>
          <w:sz w:val="24"/>
          <w:szCs w:val="24"/>
          <w:lang w:eastAsia="zh-CN"/>
        </w:rPr>
        <w:t>四</w:t>
      </w:r>
      <w:r>
        <w:rPr>
          <w:rFonts w:hint="eastAsia" w:ascii="宋体" w:hAnsi="宋体"/>
          <w:b/>
          <w:color w:val="000000"/>
          <w:sz w:val="24"/>
          <w:szCs w:val="24"/>
        </w:rPr>
        <w:t>份，</w:t>
      </w:r>
      <w:r>
        <w:rPr>
          <w:rFonts w:hint="eastAsia" w:ascii="宋体" w:hAnsi="宋体"/>
          <w:color w:val="000000"/>
          <w:sz w:val="24"/>
          <w:szCs w:val="24"/>
        </w:rPr>
        <w:t>电子版本一份</w:t>
      </w:r>
      <w:r>
        <w:rPr>
          <w:rFonts w:hint="eastAsia" w:ascii="宋体" w:hAnsi="宋体"/>
          <w:color w:val="000000"/>
          <w:sz w:val="24"/>
          <w:szCs w:val="24"/>
          <w:lang w:eastAsia="zh-CN"/>
        </w:rPr>
        <w:t>（光盘）</w:t>
      </w:r>
      <w:r>
        <w:rPr>
          <w:rFonts w:hint="eastAsia" w:ascii="宋体" w:hAnsi="宋体"/>
          <w:color w:val="000000"/>
          <w:sz w:val="24"/>
          <w:szCs w:val="24"/>
        </w:rPr>
        <w:t>。</w:t>
      </w:r>
      <w:r>
        <w:rPr>
          <w:rFonts w:hint="eastAsia" w:ascii="宋体" w:hAnsi="宋体"/>
          <w:b/>
          <w:color w:val="000000"/>
          <w:sz w:val="24"/>
          <w:szCs w:val="24"/>
        </w:rPr>
        <w:t>统一格式详见标书最后页“投标文件封面附件”。</w:t>
      </w:r>
    </w:p>
    <w:p>
      <w:pPr>
        <w:spacing w:beforeLines="50" w:line="360" w:lineRule="auto"/>
        <w:ind w:firstLine="560"/>
        <w:rPr>
          <w:rFonts w:ascii="宋体" w:hAnsi="宋体"/>
          <w:color w:val="000000"/>
          <w:sz w:val="24"/>
          <w:szCs w:val="24"/>
        </w:rPr>
      </w:pPr>
      <w:r>
        <w:rPr>
          <w:rFonts w:hint="eastAsia" w:ascii="宋体" w:hAnsi="宋体"/>
          <w:color w:val="000000"/>
          <w:sz w:val="24"/>
          <w:szCs w:val="24"/>
        </w:rPr>
        <w:t>（4）、“正本” 和“副本”内容必须一致。</w:t>
      </w:r>
    </w:p>
    <w:p>
      <w:pPr>
        <w:spacing w:beforeLines="50" w:line="360" w:lineRule="auto"/>
        <w:ind w:firstLine="560"/>
        <w:rPr>
          <w:rFonts w:ascii="宋体" w:hAnsi="宋体"/>
          <w:b/>
          <w:color w:val="000000"/>
          <w:sz w:val="24"/>
          <w:szCs w:val="24"/>
        </w:rPr>
      </w:pPr>
      <w:r>
        <w:rPr>
          <w:rFonts w:hint="eastAsia" w:ascii="宋体" w:hAnsi="宋体"/>
          <w:b/>
          <w:color w:val="000000"/>
          <w:sz w:val="24"/>
          <w:szCs w:val="24"/>
        </w:rPr>
        <w:t>8、投标文件的递交</w:t>
      </w:r>
    </w:p>
    <w:p>
      <w:pPr>
        <w:spacing w:beforeLines="50" w:line="360" w:lineRule="auto"/>
        <w:ind w:firstLine="560"/>
        <w:rPr>
          <w:rFonts w:ascii="宋体" w:hAnsi="宋体"/>
          <w:color w:val="000000"/>
          <w:sz w:val="24"/>
          <w:szCs w:val="24"/>
        </w:rPr>
      </w:pPr>
      <w:r>
        <w:rPr>
          <w:rFonts w:hint="eastAsia" w:ascii="宋体" w:hAnsi="宋体"/>
          <w:color w:val="000000"/>
          <w:sz w:val="24"/>
          <w:szCs w:val="24"/>
        </w:rPr>
        <w:t>（1）、招标人于开标现场在投标截止时间前半小时内接受标书。</w:t>
      </w:r>
    </w:p>
    <w:p>
      <w:pPr>
        <w:spacing w:beforeLines="50" w:line="360" w:lineRule="auto"/>
        <w:ind w:firstLine="560"/>
        <w:rPr>
          <w:rFonts w:ascii="宋体" w:hAnsi="宋体"/>
          <w:color w:val="000000"/>
          <w:sz w:val="24"/>
          <w:szCs w:val="24"/>
        </w:rPr>
      </w:pPr>
      <w:r>
        <w:rPr>
          <w:rFonts w:hint="eastAsia" w:ascii="宋体" w:hAnsi="宋体"/>
          <w:color w:val="000000"/>
          <w:sz w:val="24"/>
          <w:szCs w:val="24"/>
        </w:rPr>
        <w:t>（2）、如果投标人未加写标记，招标人对投标文件的误投和提前启封不负责任。</w:t>
      </w:r>
    </w:p>
    <w:p>
      <w:pPr>
        <w:spacing w:beforeLines="50" w:line="360" w:lineRule="auto"/>
        <w:ind w:firstLine="561"/>
        <w:rPr>
          <w:rFonts w:ascii="宋体" w:hAnsi="宋体"/>
          <w:b/>
          <w:color w:val="000000"/>
          <w:sz w:val="24"/>
          <w:szCs w:val="24"/>
        </w:rPr>
      </w:pPr>
      <w:r>
        <w:rPr>
          <w:rFonts w:hint="eastAsia" w:ascii="宋体" w:hAnsi="宋体"/>
          <w:b/>
          <w:color w:val="000000"/>
          <w:sz w:val="24"/>
          <w:szCs w:val="24"/>
        </w:rPr>
        <w:t>9、价格是评标的重要因素之一，低价不是中标的唯一因素。</w:t>
      </w:r>
    </w:p>
    <w:p>
      <w:pPr>
        <w:spacing w:beforeLines="50" w:afterLines="50" w:line="360" w:lineRule="auto"/>
        <w:ind w:firstLine="561"/>
        <w:rPr>
          <w:rFonts w:ascii="宋体" w:hAnsi="宋体"/>
          <w:b/>
          <w:color w:val="000000"/>
          <w:sz w:val="24"/>
          <w:szCs w:val="24"/>
        </w:rPr>
      </w:pPr>
      <w:r>
        <w:rPr>
          <w:rFonts w:hint="eastAsia" w:ascii="宋体" w:hAnsi="宋体"/>
          <w:b/>
          <w:color w:val="000000"/>
          <w:sz w:val="24"/>
          <w:szCs w:val="24"/>
        </w:rPr>
        <w:t>10、无效投标（发生下列情况之一的投标文件被视为无效）</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（1）、仅以非纸制文本形式的投标文件；</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（2）、投标人未能提供满足招标公告资格要求的投标文件；未采用人民币报价；</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）、投标文件有招标人不能接受附加条件的，投标报价超预算的；</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）、与招标文件有重大偏离或缺漏的投标文件,加▲条款未响应或偏离的；</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）、未提供或未如实提供投标产品的技术参数；投标文件标明的商务、技术响应与事实不符或虚假投标的；</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）、投标报价明显低于成本，投标人又不能在规定时间内作出合理说明或提供相关证明材料；投标报价为“零报价”的投标文件；</w:t>
      </w:r>
    </w:p>
    <w:p>
      <w:pPr>
        <w:shd w:val="clear" w:color="auto" w:fill="FFFFFF"/>
        <w:autoSpaceDE w:val="0"/>
        <w:autoSpaceDN w:val="0"/>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    （</w:t>
      </w:r>
      <w:r>
        <w:rPr>
          <w:rFonts w:ascii="宋体" w:hAnsi="宋体" w:cs="宋体"/>
          <w:color w:val="000000"/>
          <w:sz w:val="24"/>
          <w:szCs w:val="24"/>
        </w:rPr>
        <w:t>7</w:t>
      </w:r>
      <w:r>
        <w:rPr>
          <w:rFonts w:hint="eastAsia" w:ascii="宋体" w:hAnsi="宋体" w:cs="宋体"/>
          <w:color w:val="000000"/>
          <w:sz w:val="24"/>
          <w:szCs w:val="24"/>
        </w:rPr>
        <w:t>）、投标文件未有效授权或未提供投标响应函或开标一览表的投标文件；法定代表人授权委托书等填写不完整或有涂改的；</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（8）、投标文件组成漏项或未按规定的格式编制或投标文件正、副本份数不足，内容不全或内容字迹严重模糊辨认不清； </w:t>
      </w:r>
    </w:p>
    <w:p>
      <w:pPr>
        <w:shd w:val="clear" w:color="auto" w:fill="FFFFFF"/>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（9）、未按规定交纳保证金的；</w:t>
      </w:r>
    </w:p>
    <w:p>
      <w:pPr>
        <w:shd w:val="clear" w:color="auto" w:fill="FFFFFF"/>
        <w:autoSpaceDE w:val="0"/>
        <w:autoSpaceDN w:val="0"/>
        <w:adjustRightInd w:val="0"/>
        <w:snapToGrid w:val="0"/>
        <w:spacing w:line="360" w:lineRule="auto"/>
        <w:ind w:firstLine="480" w:firstLineChars="200"/>
        <w:rPr>
          <w:rFonts w:ascii="宋体" w:hAnsi="宋体" w:cs="宋体"/>
          <w:b/>
          <w:bCs/>
          <w:color w:val="000000"/>
          <w:sz w:val="24"/>
          <w:szCs w:val="24"/>
        </w:rPr>
      </w:pPr>
      <w:r>
        <w:rPr>
          <w:rFonts w:hint="eastAsia" w:ascii="宋体" w:hAnsi="宋体" w:cs="宋体"/>
          <w:color w:val="000000"/>
          <w:sz w:val="24"/>
          <w:szCs w:val="24"/>
        </w:rPr>
        <w:t>（10）、不符合法律、法规和本招标文件规定的其他实质性要求的。</w:t>
      </w:r>
    </w:p>
    <w:p>
      <w:pPr>
        <w:spacing w:beforeLines="50" w:line="360" w:lineRule="auto"/>
        <w:ind w:firstLine="560"/>
        <w:rPr>
          <w:rFonts w:ascii="宋体" w:hAnsi="宋体"/>
          <w:color w:val="000000"/>
          <w:sz w:val="24"/>
          <w:szCs w:val="24"/>
        </w:rPr>
      </w:pPr>
      <w:r>
        <w:rPr>
          <w:rFonts w:hint="eastAsia" w:ascii="宋体" w:hAnsi="宋体"/>
          <w:b/>
          <w:bCs/>
          <w:color w:val="000000"/>
          <w:sz w:val="24"/>
          <w:szCs w:val="24"/>
        </w:rPr>
        <w:t>11、投标时请出示被授权代表的身份证原件和复印件。</w:t>
      </w:r>
    </w:p>
    <w:p>
      <w:pPr>
        <w:spacing w:beforeLines="50" w:line="440" w:lineRule="exact"/>
        <w:ind w:firstLine="480" w:firstLineChars="200"/>
        <w:jc w:val="left"/>
        <w:rPr>
          <w:rFonts w:ascii="宋体" w:hAnsi="宋体"/>
          <w:color w:val="000000"/>
          <w:sz w:val="24"/>
          <w:szCs w:val="24"/>
        </w:rPr>
        <w:sectPr>
          <w:pgSz w:w="11906" w:h="16838"/>
          <w:pgMar w:top="1418" w:right="1466" w:bottom="1402" w:left="1620" w:header="794" w:footer="907" w:gutter="0"/>
          <w:pgNumType w:start="1"/>
          <w:cols w:space="425" w:num="1"/>
          <w:titlePg/>
          <w:docGrid w:type="lines" w:linePitch="312" w:charSpace="0"/>
        </w:sectPr>
      </w:pPr>
    </w:p>
    <w:p>
      <w:pPr>
        <w:pStyle w:val="2"/>
        <w:numPr>
          <w:ilvl w:val="0"/>
          <w:numId w:val="0"/>
        </w:numPr>
        <w:tabs>
          <w:tab w:val="clear" w:pos="360"/>
        </w:tabs>
        <w:jc w:val="center"/>
        <w:rPr>
          <w:rFonts w:hAnsi="宋体"/>
          <w:bCs/>
          <w:sz w:val="32"/>
          <w:szCs w:val="32"/>
        </w:rPr>
      </w:pPr>
      <w:r>
        <w:rPr>
          <w:rFonts w:hint="eastAsia" w:hAnsi="宋体"/>
          <w:bCs/>
          <w:sz w:val="32"/>
          <w:szCs w:val="32"/>
        </w:rPr>
        <w:t>第三章  项目技术规范和服务要求</w:t>
      </w:r>
    </w:p>
    <w:p>
      <w:pPr>
        <w:numPr>
          <w:ilvl w:val="0"/>
          <w:numId w:val="5"/>
        </w:numPr>
        <w:snapToGrid w:val="0"/>
        <w:spacing w:line="360" w:lineRule="auto"/>
        <w:rPr>
          <w:rFonts w:ascii="宋体" w:hAnsi="宋体"/>
          <w:b/>
          <w:sz w:val="24"/>
          <w:szCs w:val="24"/>
        </w:rPr>
      </w:pPr>
      <w:r>
        <w:rPr>
          <w:rFonts w:hint="eastAsia" w:ascii="宋体" w:hAnsi="宋体"/>
          <w:b/>
          <w:sz w:val="24"/>
          <w:szCs w:val="24"/>
        </w:rPr>
        <w:t>建设目的</w:t>
      </w:r>
    </w:p>
    <w:p>
      <w:pPr>
        <w:snapToGrid w:val="0"/>
        <w:spacing w:line="360" w:lineRule="auto"/>
        <w:ind w:firstLine="480"/>
        <w:rPr>
          <w:rFonts w:ascii="宋体" w:hAnsi="宋体"/>
          <w:sz w:val="24"/>
          <w:szCs w:val="24"/>
        </w:rPr>
      </w:pPr>
      <w:r>
        <w:rPr>
          <w:rFonts w:hint="eastAsia" w:ascii="宋体" w:hAnsi="宋体"/>
          <w:sz w:val="24"/>
          <w:szCs w:val="24"/>
        </w:rPr>
        <w:t>浙江省肿瘤医院拟在现有信息平台的基础上，升级改造医用</w:t>
      </w:r>
      <w:r>
        <w:rPr>
          <w:rFonts w:ascii="宋体" w:hAnsi="宋体"/>
          <w:sz w:val="24"/>
          <w:szCs w:val="24"/>
        </w:rPr>
        <w:t>耗材二级库房</w:t>
      </w:r>
      <w:r>
        <w:rPr>
          <w:rFonts w:hint="eastAsia" w:ascii="宋体" w:hAnsi="宋体"/>
          <w:sz w:val="24"/>
          <w:szCs w:val="24"/>
        </w:rPr>
        <w:t>管理系统，主要解决我院目前卫生耗材精细化</w:t>
      </w:r>
      <w:r>
        <w:rPr>
          <w:rFonts w:ascii="宋体" w:hAnsi="宋体"/>
          <w:sz w:val="24"/>
          <w:szCs w:val="24"/>
        </w:rPr>
        <w:t>核算管理</w:t>
      </w:r>
      <w:r>
        <w:rPr>
          <w:rFonts w:hint="eastAsia" w:ascii="宋体" w:hAnsi="宋体"/>
          <w:sz w:val="24"/>
          <w:szCs w:val="24"/>
        </w:rPr>
        <w:t>、高值耗材追踪管理、手术室二级库房衔接等问题，规范我院卫生耗材管理，提高工作效率，为我院全面</w:t>
      </w:r>
      <w:r>
        <w:rPr>
          <w:rFonts w:ascii="宋体" w:hAnsi="宋体"/>
          <w:sz w:val="24"/>
          <w:szCs w:val="24"/>
        </w:rPr>
        <w:t>耗材精细化管理</w:t>
      </w:r>
      <w:r>
        <w:rPr>
          <w:rFonts w:hint="eastAsia" w:ascii="宋体" w:hAnsi="宋体"/>
          <w:sz w:val="24"/>
          <w:szCs w:val="24"/>
        </w:rPr>
        <w:t>建设打下坚实的基础。</w:t>
      </w:r>
    </w:p>
    <w:p>
      <w:pPr>
        <w:numPr>
          <w:ilvl w:val="0"/>
          <w:numId w:val="5"/>
        </w:numPr>
        <w:snapToGrid w:val="0"/>
        <w:spacing w:line="360" w:lineRule="auto"/>
        <w:rPr>
          <w:rFonts w:ascii="宋体" w:hAnsi="宋体"/>
          <w:b/>
          <w:sz w:val="24"/>
          <w:szCs w:val="24"/>
        </w:rPr>
      </w:pPr>
      <w:r>
        <w:rPr>
          <w:rFonts w:ascii="宋体" w:hAnsi="宋体"/>
          <w:b/>
          <w:sz w:val="24"/>
          <w:szCs w:val="24"/>
        </w:rPr>
        <w:t>系统功能指标</w:t>
      </w:r>
    </w:p>
    <w:p>
      <w:pPr>
        <w:snapToGrid w:val="0"/>
        <w:spacing w:line="360" w:lineRule="auto"/>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总体要求：</w:t>
      </w:r>
    </w:p>
    <w:p>
      <w:pPr>
        <w:pStyle w:val="33"/>
        <w:numPr>
          <w:ilvl w:val="0"/>
          <w:numId w:val="6"/>
        </w:numPr>
        <w:snapToGrid w:val="0"/>
        <w:spacing w:line="360" w:lineRule="auto"/>
        <w:ind w:firstLineChars="0"/>
        <w:rPr>
          <w:rFonts w:ascii="宋体" w:hAnsi="宋体"/>
          <w:bCs/>
          <w:color w:val="000000" w:themeColor="text1"/>
          <w:sz w:val="24"/>
          <w:szCs w:val="24"/>
        </w:rPr>
      </w:pPr>
      <w:r>
        <w:rPr>
          <w:rFonts w:hint="eastAsia" w:ascii="宋体" w:hAnsi="宋体"/>
          <w:bCs/>
          <w:color w:val="000000" w:themeColor="text1"/>
          <w:sz w:val="24"/>
          <w:szCs w:val="24"/>
        </w:rPr>
        <w:t>满足监管单位对耗材的各类管理，比如对耗材整个流通环节的追溯。</w:t>
      </w:r>
    </w:p>
    <w:p>
      <w:pPr>
        <w:pStyle w:val="33"/>
        <w:numPr>
          <w:ilvl w:val="0"/>
          <w:numId w:val="6"/>
        </w:numPr>
        <w:snapToGrid w:val="0"/>
        <w:spacing w:line="360" w:lineRule="auto"/>
        <w:ind w:firstLineChars="0"/>
        <w:rPr>
          <w:rFonts w:ascii="宋体" w:hAnsi="宋体"/>
          <w:bCs/>
          <w:color w:val="000000" w:themeColor="text1"/>
          <w:sz w:val="24"/>
          <w:szCs w:val="24"/>
        </w:rPr>
      </w:pPr>
      <w:r>
        <w:rPr>
          <w:rFonts w:hint="eastAsia" w:ascii="宋体" w:hAnsi="宋体"/>
          <w:bCs/>
          <w:color w:val="000000" w:themeColor="text1"/>
          <w:sz w:val="24"/>
          <w:szCs w:val="24"/>
        </w:rPr>
        <w:t>利用全条码管理技术，构建从科室需求开始、到中心库房配送、电子采购、直至二级库房消耗和病人最终使用为止的供应链闭环管理平台，实现医院卫生材料、高值耗材等各类物资的全过程规范化管理。同时，创新地利用供应商门户平台进行网上业务协作，保证供应链的快速高效运转。</w:t>
      </w:r>
    </w:p>
    <w:p>
      <w:pPr>
        <w:pStyle w:val="33"/>
        <w:numPr>
          <w:ilvl w:val="0"/>
          <w:numId w:val="6"/>
        </w:numPr>
        <w:snapToGrid w:val="0"/>
        <w:spacing w:line="360" w:lineRule="auto"/>
        <w:ind w:firstLineChars="0"/>
        <w:rPr>
          <w:rFonts w:ascii="宋体" w:hAnsi="宋体"/>
          <w:bCs/>
          <w:color w:val="000000" w:themeColor="text1"/>
          <w:sz w:val="24"/>
          <w:szCs w:val="24"/>
        </w:rPr>
      </w:pPr>
      <w:r>
        <w:rPr>
          <w:rFonts w:hint="eastAsia" w:ascii="宋体" w:hAnsi="宋体"/>
          <w:bCs/>
          <w:color w:val="000000" w:themeColor="text1"/>
          <w:sz w:val="24"/>
          <w:szCs w:val="24"/>
        </w:rPr>
        <w:t>手术室等重点科室建立了二级库房管理系统，对进入科室的物资进行全程管控，减少失效、丢失等各种不合理浪费现象。与HIS临床系统进行整合，利用条码扫描实现了物资的使用消耗和自动计费。</w:t>
      </w:r>
    </w:p>
    <w:p>
      <w:pPr>
        <w:pStyle w:val="33"/>
        <w:numPr>
          <w:ilvl w:val="0"/>
          <w:numId w:val="6"/>
        </w:numPr>
        <w:snapToGrid w:val="0"/>
        <w:spacing w:line="360" w:lineRule="auto"/>
        <w:ind w:firstLineChars="0"/>
        <w:rPr>
          <w:rFonts w:ascii="宋体" w:hAnsi="宋体"/>
          <w:bCs/>
          <w:color w:val="000000" w:themeColor="text1"/>
          <w:sz w:val="24"/>
          <w:szCs w:val="24"/>
        </w:rPr>
      </w:pPr>
      <w:r>
        <w:rPr>
          <w:rFonts w:hint="eastAsia" w:ascii="宋体" w:hAnsi="宋体"/>
          <w:bCs/>
          <w:color w:val="000000" w:themeColor="text1"/>
          <w:sz w:val="24"/>
          <w:szCs w:val="24"/>
        </w:rPr>
        <w:t>实现可收费材料的流程化管理和不可收费材料的成本控制，合理降低成本。</w:t>
      </w:r>
      <w:r>
        <w:rPr>
          <w:rFonts w:ascii="宋体" w:hAnsi="宋体"/>
          <w:bCs/>
          <w:color w:val="000000" w:themeColor="text1"/>
          <w:sz w:val="24"/>
          <w:szCs w:val="24"/>
        </w:rPr>
        <w:t>为</w:t>
      </w:r>
      <w:r>
        <w:rPr>
          <w:rFonts w:hint="eastAsia" w:ascii="宋体" w:hAnsi="宋体"/>
          <w:bCs/>
          <w:color w:val="000000" w:themeColor="text1"/>
          <w:sz w:val="24"/>
          <w:szCs w:val="24"/>
        </w:rPr>
        <w:t>医院</w:t>
      </w:r>
      <w:r>
        <w:rPr>
          <w:rFonts w:ascii="宋体" w:hAnsi="宋体"/>
          <w:bCs/>
          <w:color w:val="000000" w:themeColor="text1"/>
          <w:sz w:val="24"/>
          <w:szCs w:val="24"/>
        </w:rPr>
        <w:t>的</w:t>
      </w:r>
      <w:r>
        <w:rPr>
          <w:rFonts w:hint="eastAsia" w:ascii="宋体" w:hAnsi="宋体"/>
          <w:bCs/>
          <w:color w:val="000000" w:themeColor="text1"/>
          <w:sz w:val="24"/>
          <w:szCs w:val="24"/>
        </w:rPr>
        <w:t>资产</w:t>
      </w:r>
      <w:r>
        <w:rPr>
          <w:rFonts w:ascii="宋体" w:hAnsi="宋体"/>
          <w:bCs/>
          <w:color w:val="000000" w:themeColor="text1"/>
          <w:sz w:val="24"/>
          <w:szCs w:val="24"/>
        </w:rPr>
        <w:t>耗材</w:t>
      </w:r>
      <w:r>
        <w:rPr>
          <w:rFonts w:hint="eastAsia" w:ascii="宋体" w:hAnsi="宋体"/>
          <w:bCs/>
          <w:color w:val="000000" w:themeColor="text1"/>
          <w:sz w:val="24"/>
          <w:szCs w:val="24"/>
        </w:rPr>
        <w:t>精益化</w:t>
      </w:r>
      <w:r>
        <w:rPr>
          <w:rFonts w:ascii="宋体" w:hAnsi="宋体"/>
          <w:bCs/>
          <w:color w:val="000000" w:themeColor="text1"/>
          <w:sz w:val="24"/>
          <w:szCs w:val="24"/>
        </w:rPr>
        <w:t>管理提供详细、准确的数据支撑。</w:t>
      </w:r>
    </w:p>
    <w:p>
      <w:pPr>
        <w:snapToGrid w:val="0"/>
        <w:spacing w:line="360" w:lineRule="auto"/>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建设</w:t>
      </w:r>
      <w:r>
        <w:rPr>
          <w:rFonts w:ascii="宋体" w:hAnsi="宋体"/>
          <w:b/>
          <w:bCs/>
          <w:color w:val="000000" w:themeColor="text1"/>
          <w:sz w:val="24"/>
          <w:szCs w:val="24"/>
        </w:rPr>
        <w:t>内容</w:t>
      </w:r>
      <w:r>
        <w:rPr>
          <w:rFonts w:hint="eastAsia" w:ascii="宋体" w:hAnsi="宋体"/>
          <w:b/>
          <w:bCs/>
          <w:color w:val="000000" w:themeColor="text1"/>
          <w:sz w:val="24"/>
          <w:szCs w:val="24"/>
        </w:rPr>
        <w:t>：</w:t>
      </w:r>
    </w:p>
    <w:tbl>
      <w:tblPr>
        <w:tblStyle w:val="28"/>
        <w:tblW w:w="8926" w:type="dxa"/>
        <w:tblInd w:w="113" w:type="dxa"/>
        <w:tblLayout w:type="fixed"/>
        <w:tblCellMar>
          <w:top w:w="0" w:type="dxa"/>
          <w:left w:w="108" w:type="dxa"/>
          <w:bottom w:w="0" w:type="dxa"/>
          <w:right w:w="108" w:type="dxa"/>
        </w:tblCellMar>
      </w:tblPr>
      <w:tblGrid>
        <w:gridCol w:w="1413"/>
        <w:gridCol w:w="1559"/>
        <w:gridCol w:w="5954"/>
      </w:tblGrid>
      <w:tr>
        <w:tblPrEx>
          <w:tblLayout w:type="fixed"/>
          <w:tblCellMar>
            <w:top w:w="0" w:type="dxa"/>
            <w:left w:w="108" w:type="dxa"/>
            <w:bottom w:w="0" w:type="dxa"/>
            <w:right w:w="108" w:type="dxa"/>
          </w:tblCellMar>
        </w:tblPrEx>
        <w:trPr>
          <w:trHeight w:val="375" w:hRule="atLeast"/>
        </w:trPr>
        <w:tc>
          <w:tcPr>
            <w:tcW w:w="1413" w:type="dxa"/>
            <w:tcBorders>
              <w:top w:val="single" w:color="auto" w:sz="4" w:space="0"/>
              <w:left w:val="single" w:color="auto" w:sz="4" w:space="0"/>
              <w:bottom w:val="nil"/>
              <w:right w:val="single" w:color="auto" w:sz="4" w:space="0"/>
            </w:tcBorders>
            <w:shd w:val="clear" w:color="000000" w:fill="FCD5B4"/>
            <w:vAlign w:val="center"/>
          </w:tcPr>
          <w:p>
            <w:pPr>
              <w:widowControl/>
              <w:jc w:val="center"/>
              <w:rPr>
                <w:rFonts w:cs="宋体" w:asciiTheme="minorEastAsia" w:hAnsiTheme="minorEastAsia" w:eastAsiaTheme="minorEastAsia"/>
                <w:b/>
                <w:bCs/>
                <w:kern w:val="0"/>
                <w:sz w:val="28"/>
                <w:szCs w:val="34"/>
              </w:rPr>
            </w:pPr>
            <w:r>
              <w:rPr>
                <w:rFonts w:hint="eastAsia" w:cs="宋体" w:asciiTheme="minorEastAsia" w:hAnsiTheme="minorEastAsia" w:eastAsiaTheme="minorEastAsia"/>
                <w:b/>
                <w:bCs/>
                <w:kern w:val="0"/>
                <w:sz w:val="28"/>
                <w:szCs w:val="34"/>
              </w:rPr>
              <w:t>业务类别</w:t>
            </w:r>
          </w:p>
        </w:tc>
        <w:tc>
          <w:tcPr>
            <w:tcW w:w="1559" w:type="dxa"/>
            <w:tcBorders>
              <w:top w:val="single" w:color="auto" w:sz="4" w:space="0"/>
              <w:left w:val="nil"/>
              <w:bottom w:val="nil"/>
              <w:right w:val="single" w:color="auto" w:sz="4" w:space="0"/>
            </w:tcBorders>
            <w:shd w:val="clear" w:color="000000" w:fill="FCD5B4"/>
            <w:vAlign w:val="center"/>
          </w:tcPr>
          <w:p>
            <w:pPr>
              <w:widowControl/>
              <w:jc w:val="center"/>
              <w:rPr>
                <w:rFonts w:cs="宋体" w:asciiTheme="minorEastAsia" w:hAnsiTheme="minorEastAsia" w:eastAsiaTheme="minorEastAsia"/>
                <w:b/>
                <w:bCs/>
                <w:kern w:val="0"/>
                <w:sz w:val="28"/>
                <w:szCs w:val="34"/>
              </w:rPr>
            </w:pPr>
            <w:r>
              <w:rPr>
                <w:rFonts w:hint="eastAsia" w:cs="宋体" w:asciiTheme="minorEastAsia" w:hAnsiTheme="minorEastAsia" w:eastAsiaTheme="minorEastAsia"/>
                <w:b/>
                <w:bCs/>
                <w:kern w:val="0"/>
                <w:sz w:val="28"/>
                <w:szCs w:val="34"/>
              </w:rPr>
              <w:t>功能模块</w:t>
            </w:r>
          </w:p>
        </w:tc>
        <w:tc>
          <w:tcPr>
            <w:tcW w:w="5954" w:type="dxa"/>
            <w:tcBorders>
              <w:top w:val="single" w:color="auto" w:sz="4" w:space="0"/>
              <w:left w:val="nil"/>
              <w:bottom w:val="nil"/>
              <w:right w:val="single" w:color="auto" w:sz="4" w:space="0"/>
            </w:tcBorders>
            <w:shd w:val="clear" w:color="000000" w:fill="FCD5B4"/>
            <w:vAlign w:val="center"/>
          </w:tcPr>
          <w:p>
            <w:pPr>
              <w:widowControl/>
              <w:jc w:val="center"/>
              <w:rPr>
                <w:rFonts w:cs="宋体" w:asciiTheme="minorEastAsia" w:hAnsiTheme="minorEastAsia" w:eastAsiaTheme="minorEastAsia"/>
                <w:b/>
                <w:bCs/>
                <w:kern w:val="0"/>
                <w:sz w:val="28"/>
                <w:szCs w:val="34"/>
              </w:rPr>
            </w:pPr>
            <w:r>
              <w:rPr>
                <w:rFonts w:hint="eastAsia" w:cs="宋体" w:asciiTheme="minorEastAsia" w:hAnsiTheme="minorEastAsia" w:eastAsiaTheme="minorEastAsia"/>
                <w:b/>
                <w:bCs/>
                <w:kern w:val="0"/>
                <w:sz w:val="28"/>
                <w:szCs w:val="34"/>
              </w:rPr>
              <w:t>功能说明</w:t>
            </w:r>
          </w:p>
        </w:tc>
      </w:tr>
      <w:tr>
        <w:tblPrEx>
          <w:tblLayout w:type="fixed"/>
          <w:tblCellMar>
            <w:top w:w="0" w:type="dxa"/>
            <w:left w:w="108" w:type="dxa"/>
            <w:bottom w:w="0" w:type="dxa"/>
            <w:right w:w="108" w:type="dxa"/>
          </w:tblCellMar>
        </w:tblPrEx>
        <w:trPr>
          <w:trHeight w:val="435" w:hRule="atLeast"/>
        </w:trPr>
        <w:tc>
          <w:tcPr>
            <w:tcW w:w="8926" w:type="dxa"/>
            <w:gridSpan w:val="3"/>
            <w:tcBorders>
              <w:top w:val="single" w:color="auto" w:sz="8" w:space="0"/>
              <w:left w:val="single" w:color="auto" w:sz="8" w:space="0"/>
              <w:bottom w:val="single" w:color="auto" w:sz="4" w:space="0"/>
              <w:right w:val="single" w:color="000000" w:sz="8" w:space="0"/>
            </w:tcBorders>
            <w:shd w:val="clear" w:color="000000" w:fill="B7DEE8"/>
            <w:vAlign w:val="center"/>
          </w:tcPr>
          <w:p>
            <w:pPr>
              <w:widowControl/>
              <w:jc w:val="center"/>
              <w:rPr>
                <w:rFonts w:cs="宋体" w:asciiTheme="minorEastAsia" w:hAnsiTheme="minorEastAsia" w:eastAsiaTheme="minorEastAsia"/>
                <w:b/>
                <w:bCs/>
                <w:kern w:val="0"/>
                <w:sz w:val="34"/>
                <w:szCs w:val="34"/>
              </w:rPr>
            </w:pPr>
            <w:r>
              <w:rPr>
                <w:rFonts w:hint="eastAsia" w:cs="宋体" w:asciiTheme="minorEastAsia" w:hAnsiTheme="minorEastAsia" w:eastAsiaTheme="minorEastAsia"/>
                <w:b/>
                <w:bCs/>
                <w:kern w:val="0"/>
                <w:sz w:val="24"/>
                <w:szCs w:val="34"/>
              </w:rPr>
              <w:t>医用</w:t>
            </w:r>
            <w:r>
              <w:rPr>
                <w:rFonts w:cs="宋体" w:asciiTheme="minorEastAsia" w:hAnsiTheme="minorEastAsia" w:eastAsiaTheme="minorEastAsia"/>
                <w:b/>
                <w:bCs/>
                <w:kern w:val="0"/>
                <w:sz w:val="24"/>
                <w:szCs w:val="34"/>
              </w:rPr>
              <w:t>耗材</w:t>
            </w:r>
            <w:r>
              <w:rPr>
                <w:rFonts w:hint="eastAsia" w:cs="宋体" w:asciiTheme="minorEastAsia" w:hAnsiTheme="minorEastAsia" w:eastAsiaTheme="minorEastAsia"/>
                <w:b/>
                <w:bCs/>
                <w:kern w:val="0"/>
                <w:sz w:val="24"/>
                <w:szCs w:val="34"/>
              </w:rPr>
              <w:t>中心库房管理系统升级</w:t>
            </w:r>
            <w:r>
              <w:rPr>
                <w:rFonts w:cs="宋体" w:asciiTheme="minorEastAsia" w:hAnsiTheme="minorEastAsia" w:eastAsiaTheme="minorEastAsia"/>
                <w:b/>
                <w:bCs/>
                <w:kern w:val="0"/>
                <w:sz w:val="24"/>
                <w:szCs w:val="34"/>
              </w:rPr>
              <w:t>改造</w:t>
            </w:r>
          </w:p>
        </w:tc>
      </w:tr>
      <w:tr>
        <w:tblPrEx>
          <w:tblLayout w:type="fixed"/>
          <w:tblCellMar>
            <w:top w:w="0" w:type="dxa"/>
            <w:left w:w="108" w:type="dxa"/>
            <w:bottom w:w="0" w:type="dxa"/>
            <w:right w:w="108" w:type="dxa"/>
          </w:tblCellMar>
        </w:tblPrEx>
        <w:trPr>
          <w:trHeight w:val="660" w:hRule="atLeast"/>
        </w:trPr>
        <w:tc>
          <w:tcPr>
            <w:tcW w:w="1413" w:type="dxa"/>
            <w:vMerge w:val="restart"/>
            <w:tcBorders>
              <w:top w:val="nil"/>
              <w:left w:val="single" w:color="auto" w:sz="8" w:space="0"/>
              <w:bottom w:val="nil"/>
              <w:right w:val="single" w:color="auto" w:sz="4" w:space="0"/>
            </w:tcBorders>
            <w:shd w:val="clear" w:color="000000" w:fill="FFFFFF"/>
            <w:vAlign w:val="center"/>
          </w:tcPr>
          <w:p>
            <w:r>
              <w:rPr>
                <w:rFonts w:hint="eastAsia"/>
              </w:rPr>
              <w:t>基础数据</w:t>
            </w: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分类字典</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提供标准的国家码、财政部资产清查编码、物价收费编码、财务核算编码、医院内部编码分类等的管理、转换。</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物资字典</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对库存物资数据字典：名称规格进行维护；可以增加、修改、删除某一物资名称和物资规格等。通过扫描图片或摄像获得物品的多张图片，用于院内物资网上商城。</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单位字典</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对供货单位、调拨单位、计量单位、生产厂商、销售单位等进行维护。</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产地字典</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对产地信息进行维护。</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其他字典</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对经费来源、经费类别、支付方式、其它类别等信息进行维护。</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会计日历</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对会计期间进行维护。设置会计期间的开始、结束日期，只有当前日期在会计期间时，才能记账。</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核算类别</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对各帐簿类型的核算类别(即会计上的核算科目)进行维护。</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方式代码</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根据实际情况进行各种业务方式相关项目的设置。系统管理员须事先定义每一种出入库方式的单据名称、单据行数、窗口类型、顺序号等。</w:t>
            </w:r>
          </w:p>
        </w:tc>
      </w:tr>
      <w:tr>
        <w:tblPrEx>
          <w:tblLayout w:type="fixed"/>
          <w:tblCellMar>
            <w:top w:w="0" w:type="dxa"/>
            <w:left w:w="108" w:type="dxa"/>
            <w:bottom w:w="0" w:type="dxa"/>
            <w:right w:w="108" w:type="dxa"/>
          </w:tblCellMar>
        </w:tblPrEx>
        <w:trPr>
          <w:trHeight w:val="990" w:hRule="atLeast"/>
        </w:trPr>
        <w:tc>
          <w:tcPr>
            <w:tcW w:w="1413" w:type="dxa"/>
            <w:vMerge w:val="continue"/>
            <w:tcBorders>
              <w:top w:val="nil"/>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报表定义</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库房管理模块中所涉及的报表都必须在此模块中定义并存在，否则不能做相应的统计分析，但用户不能自定义报表。通过该模块您可以禁用或启用相应的报表、修改报表名称、统计项目名称、统计项目的显示顺序以及各项目所统计的内容（即统计哪些出入库方式）。</w:t>
            </w:r>
          </w:p>
        </w:tc>
      </w:tr>
      <w:tr>
        <w:tblPrEx>
          <w:tblLayout w:type="fixed"/>
          <w:tblCellMar>
            <w:top w:w="0" w:type="dxa"/>
            <w:left w:w="108" w:type="dxa"/>
            <w:bottom w:w="0" w:type="dxa"/>
            <w:right w:w="108" w:type="dxa"/>
          </w:tblCellMar>
        </w:tblPrEx>
        <w:trPr>
          <w:trHeight w:val="660" w:hRule="atLeast"/>
        </w:trPr>
        <w:tc>
          <w:tcPr>
            <w:tcW w:w="1413" w:type="dxa"/>
            <w:vMerge w:val="restart"/>
            <w:tcBorders>
              <w:top w:val="single" w:color="auto" w:sz="4" w:space="0"/>
              <w:left w:val="single" w:color="auto" w:sz="8" w:space="0"/>
              <w:bottom w:val="nil"/>
              <w:right w:val="single" w:color="auto" w:sz="4" w:space="0"/>
            </w:tcBorders>
            <w:shd w:val="clear" w:color="000000" w:fill="FFFFFF"/>
            <w:vAlign w:val="center"/>
          </w:tcPr>
          <w:p>
            <w:r>
              <w:rPr>
                <w:rFonts w:hint="eastAsia"/>
              </w:rPr>
              <w:t>库房管理\日常业务</w:t>
            </w: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入库业务</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入库业务是发生在医院库房与外界单位之间的业务。入库业务的结果是把外界的物资引入到医院库房里。对物品进行采购入库及采购退货处理。</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质量验收</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材料验收入库发出  材料验收入库是储存活动的开始。对到库材料的数量、质量状况、外观情况、证照情况、有效期、灭菌批号、生产日期、生产批号等信息进行登记验收并打印质量验收单。</w:t>
            </w:r>
          </w:p>
        </w:tc>
      </w:tr>
      <w:tr>
        <w:tblPrEx>
          <w:tblLayout w:type="fixed"/>
          <w:tblCellMar>
            <w:top w:w="0" w:type="dxa"/>
            <w:left w:w="108" w:type="dxa"/>
            <w:bottom w:w="0" w:type="dxa"/>
            <w:right w:w="108" w:type="dxa"/>
          </w:tblCellMar>
        </w:tblPrEx>
        <w:trPr>
          <w:trHeight w:val="99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出库业务</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支持科室订单的配送功能，提供对医用耗材进行科室领用及科室退回的处理。并建立低值易耗品科室帐；库房配货完成后由送货人员直接进行送货上门处理，完成后可以根据条码和客户签字进行签收确认，完成订单配送服务。</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转科业务</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转科业务是发生在医院两个科室之间的业务；转科业务的结果是某科室将闲置不用的在用物资转让给别的科室使用，转变成别的科室的在用物资。</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报损业务</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提供过期或者损坏的卫材、低值易耗品进行报损处理。</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库房盘存</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根据帐面库存数量和单价自动计算出盈亏数量和盈亏金额，自动生成盘盈入库单和盘亏出库单。登帐后系统自动生成盘盈表、盘亏表和盘存表，调整相关物资的库存帐。</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发票补登</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对已经记帐的但未填写发票号码和发票日期的入库单进行补登发票号码和日期。</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单据冲红</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完成对错误的入库单据、出库单据的冲销。</w:t>
            </w:r>
          </w:p>
        </w:tc>
      </w:tr>
      <w:tr>
        <w:tblPrEx>
          <w:tblLayout w:type="fixed"/>
          <w:tblCellMar>
            <w:top w:w="0" w:type="dxa"/>
            <w:left w:w="108" w:type="dxa"/>
            <w:bottom w:w="0" w:type="dxa"/>
            <w:right w:w="108" w:type="dxa"/>
          </w:tblCellMar>
        </w:tblPrEx>
        <w:trPr>
          <w:trHeight w:val="660" w:hRule="atLeast"/>
        </w:trPr>
        <w:tc>
          <w:tcPr>
            <w:tcW w:w="1413" w:type="dxa"/>
            <w:vMerge w:val="restart"/>
            <w:tcBorders>
              <w:top w:val="nil"/>
              <w:left w:val="single" w:color="auto" w:sz="8" w:space="0"/>
              <w:bottom w:val="single" w:color="000000" w:sz="4" w:space="0"/>
              <w:right w:val="single" w:color="auto" w:sz="4" w:space="0"/>
            </w:tcBorders>
            <w:shd w:val="clear" w:color="000000" w:fill="FFFFFF"/>
            <w:vAlign w:val="center"/>
          </w:tcPr>
          <w:p>
            <w:r>
              <w:rPr>
                <w:rFonts w:hint="eastAsia"/>
              </w:rPr>
              <w:t>库房管理\期末处理</w:t>
            </w:r>
          </w:p>
        </w:tc>
        <w:tc>
          <w:tcPr>
            <w:tcW w:w="1559" w:type="dxa"/>
            <w:tcBorders>
              <w:top w:val="nil"/>
              <w:left w:val="nil"/>
              <w:bottom w:val="single" w:color="auto" w:sz="4" w:space="0"/>
              <w:right w:val="single" w:color="auto" w:sz="4" w:space="0"/>
            </w:tcBorders>
            <w:shd w:val="clear" w:color="000000" w:fill="FFFFFF"/>
            <w:vAlign w:val="center"/>
          </w:tcPr>
          <w:p>
            <w:r>
              <w:rPr>
                <w:rFonts w:hint="eastAsia"/>
              </w:rPr>
              <w:t>结转开始</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确定关闭或打开所选帐簿类型的单据记帐功能。如当前按钮是结转开始则表明系统未处于结转开始状态，可进行记帐操作，否则系统处于结转开始状态，不可进行记帐操作。</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报表存储</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完成本期收支月报表数据的存储。</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结转处理</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对各帐簿的数据进行处理，把各帐簿类型当前会计期间的帐目数转为期末数和下一会计期间的期初数。</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结转结束</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所有帐簿类型的数据都处理完后，启用下一会计期间。</w:t>
            </w:r>
          </w:p>
        </w:tc>
      </w:tr>
      <w:tr>
        <w:tblPrEx>
          <w:tblLayout w:type="fixed"/>
          <w:tblCellMar>
            <w:top w:w="0" w:type="dxa"/>
            <w:left w:w="108" w:type="dxa"/>
            <w:bottom w:w="0" w:type="dxa"/>
            <w:right w:w="108" w:type="dxa"/>
          </w:tblCellMar>
        </w:tblPrEx>
        <w:trPr>
          <w:trHeight w:val="990" w:hRule="atLeast"/>
        </w:trPr>
        <w:tc>
          <w:tcPr>
            <w:tcW w:w="1413" w:type="dxa"/>
            <w:vMerge w:val="restart"/>
            <w:tcBorders>
              <w:top w:val="nil"/>
              <w:left w:val="single" w:color="auto" w:sz="8" w:space="0"/>
              <w:bottom w:val="single" w:color="000000" w:sz="4" w:space="0"/>
              <w:right w:val="single" w:color="auto" w:sz="4" w:space="0"/>
            </w:tcBorders>
            <w:shd w:val="clear" w:color="000000" w:fill="FFFFFF"/>
            <w:vAlign w:val="center"/>
          </w:tcPr>
          <w:p>
            <w:r>
              <w:rPr>
                <w:rFonts w:hint="eastAsia"/>
              </w:rPr>
              <w:t>库房管理\综合查询</w:t>
            </w: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单据查询</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提供入库单、出库单、转科单、报损单等单据的查询功能，即单据的清单查询，用于查询用户指定条件下的业务单据情况，其中可以查询到所有发生过的业务单据（包括被用户删除的单据）。分为入库单查询、出库单查询、转科单查询、报损单查询。</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库存批次查询</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按进货的批次查询物资的进出业务情况，进一步可以查询到具体的业务单据以及单据明细信息。</w:t>
            </w:r>
          </w:p>
        </w:tc>
      </w:tr>
      <w:tr>
        <w:tblPrEx>
          <w:tblLayout w:type="fixed"/>
          <w:tblCellMar>
            <w:top w:w="0" w:type="dxa"/>
            <w:left w:w="108" w:type="dxa"/>
            <w:bottom w:w="0" w:type="dxa"/>
            <w:right w:w="108" w:type="dxa"/>
          </w:tblCellMar>
        </w:tblPrEx>
        <w:trPr>
          <w:trHeight w:val="99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业务明细帐查询</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查询物资的具体业务的发生情况。可进一步查询到具体的业务单据；有帐簿类型、业务方式、供货单位、领用科室、其他单位、物资名称型号、会计期间、发生日期、经办人等查询条件，用户可根据自已查询的要求进行设置。</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会计帐簿查询</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查询所有或某一物资的会计帐簿记录，主要体现物资的借、贷、存的明细业务数据。</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库房库存清单</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对库存物资按账簿类型、会计期间、物资类别、库位格式、有效期格式、上下限报警模式等进行自定义条件进行查询。</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科室物资清单</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查询某一科室正在使用哪些物资。有利于了解医院科室物资的使用占有情况。不建科室账的物资（如材料等）不统计入科室物资清单。</w:t>
            </w:r>
          </w:p>
        </w:tc>
      </w:tr>
      <w:tr>
        <w:tblPrEx>
          <w:tblLayout w:type="fixed"/>
          <w:tblCellMar>
            <w:top w:w="0" w:type="dxa"/>
            <w:left w:w="108" w:type="dxa"/>
            <w:bottom w:w="0" w:type="dxa"/>
            <w:right w:w="108" w:type="dxa"/>
          </w:tblCellMar>
        </w:tblPrEx>
        <w:trPr>
          <w:trHeight w:val="660" w:hRule="atLeast"/>
        </w:trPr>
        <w:tc>
          <w:tcPr>
            <w:tcW w:w="1413" w:type="dxa"/>
            <w:vMerge w:val="continue"/>
            <w:tcBorders>
              <w:top w:val="nil"/>
              <w:left w:val="single" w:color="auto" w:sz="8" w:space="0"/>
              <w:bottom w:val="single" w:color="000000" w:sz="4"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物资分布清单</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查询某类物资或某种物资正分布在哪些科室使用。有利于提高物资的使用效率。不建科室账的物资（如材料等）不统计入物资分布清单。</w:t>
            </w:r>
          </w:p>
        </w:tc>
      </w:tr>
      <w:tr>
        <w:tblPrEx>
          <w:tblLayout w:type="fixed"/>
          <w:tblCellMar>
            <w:top w:w="0" w:type="dxa"/>
            <w:left w:w="108" w:type="dxa"/>
            <w:bottom w:w="0" w:type="dxa"/>
            <w:right w:w="108" w:type="dxa"/>
          </w:tblCellMar>
        </w:tblPrEx>
        <w:trPr>
          <w:trHeight w:val="660" w:hRule="atLeast"/>
        </w:trPr>
        <w:tc>
          <w:tcPr>
            <w:tcW w:w="1413" w:type="dxa"/>
            <w:vMerge w:val="restart"/>
            <w:tcBorders>
              <w:top w:val="nil"/>
              <w:left w:val="single" w:color="auto" w:sz="8" w:space="0"/>
              <w:bottom w:val="single" w:color="000000" w:sz="8" w:space="0"/>
              <w:right w:val="single" w:color="auto" w:sz="4" w:space="0"/>
            </w:tcBorders>
            <w:shd w:val="clear" w:color="000000" w:fill="FFFFFF"/>
            <w:vAlign w:val="center"/>
          </w:tcPr>
          <w:p>
            <w:r>
              <w:rPr>
                <w:rFonts w:hint="eastAsia"/>
              </w:rPr>
              <w:t>库房管理\统计分析</w:t>
            </w:r>
          </w:p>
        </w:tc>
        <w:tc>
          <w:tcPr>
            <w:tcW w:w="1559" w:type="dxa"/>
            <w:tcBorders>
              <w:top w:val="nil"/>
              <w:left w:val="nil"/>
              <w:bottom w:val="single" w:color="auto" w:sz="4" w:space="0"/>
              <w:right w:val="single" w:color="auto" w:sz="4" w:space="0"/>
            </w:tcBorders>
            <w:shd w:val="clear" w:color="000000" w:fill="FFFFFF"/>
            <w:vAlign w:val="center"/>
          </w:tcPr>
          <w:p>
            <w:r>
              <w:rPr>
                <w:rFonts w:hint="eastAsia"/>
              </w:rPr>
              <w:t>收支月报表</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系统根据当期（即会计日历中的当前期间）发生的业务数据生成当期的收支月报表；查看以前期间的收支月报表。</w:t>
            </w:r>
          </w:p>
        </w:tc>
      </w:tr>
      <w:tr>
        <w:tblPrEx>
          <w:tblLayout w:type="fixed"/>
          <w:tblCellMar>
            <w:top w:w="0" w:type="dxa"/>
            <w:left w:w="108" w:type="dxa"/>
            <w:bottom w:w="0" w:type="dxa"/>
            <w:right w:w="108" w:type="dxa"/>
          </w:tblCellMar>
        </w:tblPrEx>
        <w:trPr>
          <w:trHeight w:val="1320" w:hRule="atLeast"/>
        </w:trPr>
        <w:tc>
          <w:tcPr>
            <w:tcW w:w="1413" w:type="dxa"/>
            <w:vMerge w:val="continue"/>
            <w:tcBorders>
              <w:top w:val="nil"/>
              <w:left w:val="single" w:color="auto" w:sz="8" w:space="0"/>
              <w:bottom w:val="single" w:color="000000" w:sz="8"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业务汇总报表</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各种业务数据按核算类别、科室类别或其他分类方法进行分类汇总的格式，如：选入库汇总报表则将各供货单位在统计范围内发生的数据按核算类别进行分类统计。主要有低值易耗入库汇总报表、低值易耗出库汇总报表、低值易耗转入汇总报表、低值易耗转出汇总报表、低值易耗报损汇总报表、卫生材料入库汇总报表、卫生材料出库汇总报表、卫生材料报损汇总报表。</w:t>
            </w:r>
          </w:p>
        </w:tc>
      </w:tr>
      <w:tr>
        <w:tblPrEx>
          <w:tblLayout w:type="fixed"/>
          <w:tblCellMar>
            <w:top w:w="0" w:type="dxa"/>
            <w:left w:w="108" w:type="dxa"/>
            <w:bottom w:w="0" w:type="dxa"/>
            <w:right w:w="108" w:type="dxa"/>
          </w:tblCellMar>
        </w:tblPrEx>
        <w:trPr>
          <w:trHeight w:val="1320" w:hRule="atLeast"/>
        </w:trPr>
        <w:tc>
          <w:tcPr>
            <w:tcW w:w="1413" w:type="dxa"/>
            <w:vMerge w:val="continue"/>
            <w:tcBorders>
              <w:top w:val="nil"/>
              <w:left w:val="single" w:color="auto" w:sz="8" w:space="0"/>
              <w:bottom w:val="single" w:color="000000" w:sz="8"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业务明细报表</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各种业务数据的明细格式；如：选入库明细报表则将各供货单位在统计范围内的发生数据按物资名称进行统计，即统计出与相应供货单位发生业务的具体物资信息。主要有低值易耗入库明细报表、低值易耗出库明细报表、低值易耗转入明细报表、低值易耗转出明细报表、低值易耗报损明细报表、卫生材料入库明细报表、卫生材料出库明细报表、卫生材料报损明细报表。</w:t>
            </w:r>
          </w:p>
        </w:tc>
      </w:tr>
      <w:tr>
        <w:tblPrEx>
          <w:tblLayout w:type="fixed"/>
          <w:tblCellMar>
            <w:top w:w="0" w:type="dxa"/>
            <w:left w:w="108" w:type="dxa"/>
            <w:bottom w:w="0" w:type="dxa"/>
            <w:right w:w="108" w:type="dxa"/>
          </w:tblCellMar>
        </w:tblPrEx>
        <w:trPr>
          <w:trHeight w:val="1665" w:hRule="atLeast"/>
        </w:trPr>
        <w:tc>
          <w:tcPr>
            <w:tcW w:w="1413" w:type="dxa"/>
            <w:vMerge w:val="continue"/>
            <w:tcBorders>
              <w:top w:val="nil"/>
              <w:left w:val="single" w:color="auto" w:sz="8" w:space="0"/>
              <w:bottom w:val="single" w:color="000000" w:sz="8" w:space="0"/>
              <w:right w:val="single" w:color="auto" w:sz="4" w:space="0"/>
            </w:tcBorders>
            <w:vAlign w:val="center"/>
          </w:tcPr>
          <w:p/>
        </w:tc>
        <w:tc>
          <w:tcPr>
            <w:tcW w:w="1559" w:type="dxa"/>
            <w:tcBorders>
              <w:top w:val="nil"/>
              <w:left w:val="nil"/>
              <w:bottom w:val="single" w:color="auto" w:sz="8" w:space="0"/>
              <w:right w:val="single" w:color="auto" w:sz="4" w:space="0"/>
            </w:tcBorders>
            <w:shd w:val="clear" w:color="000000" w:fill="FFFFFF"/>
            <w:vAlign w:val="center"/>
          </w:tcPr>
          <w:p>
            <w:r>
              <w:rPr>
                <w:rFonts w:hint="eastAsia"/>
              </w:rPr>
              <w:t>数据金额式报表</w:t>
            </w:r>
          </w:p>
        </w:tc>
        <w:tc>
          <w:tcPr>
            <w:tcW w:w="5954" w:type="dxa"/>
            <w:tcBorders>
              <w:top w:val="nil"/>
              <w:left w:val="nil"/>
              <w:bottom w:val="single" w:color="auto" w:sz="8" w:space="0"/>
              <w:right w:val="single" w:color="auto" w:sz="8" w:space="0"/>
            </w:tcBorders>
            <w:shd w:val="clear" w:color="000000" w:fill="FFFFFF"/>
            <w:vAlign w:val="center"/>
          </w:tcPr>
          <w:p>
            <w:r>
              <w:rPr>
                <w:rFonts w:hint="eastAsia"/>
              </w:rPr>
              <w:t>各种业务数据按业务发生单位汇总出各业务单位的数量及金额的一种报表格式；如入库数据金额式报表则将各供货单位在统计范围内的发生数据按供货单位进行分类汇总统计，统计出与该相应单位发生总数量及总金额。有低值易耗入库数据金额式报表、低值易耗出库数据金额式报表、低值易耗转入数据金额式报表、低值易耗转出数据金额式报表、低值易耗报损数据金额式报表、卫生材料入库数据金额式报表。</w:t>
            </w:r>
          </w:p>
        </w:tc>
      </w:tr>
      <w:tr>
        <w:tblPrEx>
          <w:tblLayout w:type="fixed"/>
          <w:tblCellMar>
            <w:top w:w="0" w:type="dxa"/>
            <w:left w:w="108" w:type="dxa"/>
            <w:bottom w:w="0" w:type="dxa"/>
            <w:right w:w="108" w:type="dxa"/>
          </w:tblCellMar>
        </w:tblPrEx>
        <w:trPr>
          <w:trHeight w:val="660" w:hRule="atLeast"/>
        </w:trPr>
        <w:tc>
          <w:tcPr>
            <w:tcW w:w="1413" w:type="dxa"/>
            <w:vMerge w:val="restart"/>
            <w:tcBorders>
              <w:top w:val="single" w:color="auto" w:sz="4" w:space="0"/>
              <w:left w:val="single" w:color="auto" w:sz="8" w:space="0"/>
              <w:bottom w:val="nil"/>
              <w:right w:val="single" w:color="auto" w:sz="4" w:space="0"/>
            </w:tcBorders>
            <w:shd w:val="clear" w:color="000000" w:fill="FFFFFF"/>
            <w:vAlign w:val="center"/>
          </w:tcPr>
          <w:p>
            <w:r>
              <w:rPr>
                <w:rFonts w:hint="eastAsia"/>
              </w:rPr>
              <w:t>应付账款管理</w:t>
            </w:r>
          </w:p>
        </w:tc>
        <w:tc>
          <w:tcPr>
            <w:tcW w:w="1559" w:type="dxa"/>
            <w:tcBorders>
              <w:top w:val="single" w:color="auto" w:sz="4" w:space="0"/>
              <w:left w:val="nil"/>
              <w:bottom w:val="nil"/>
              <w:right w:val="single" w:color="auto" w:sz="4" w:space="0"/>
            </w:tcBorders>
            <w:shd w:val="clear" w:color="000000" w:fill="FFFFFF"/>
            <w:vAlign w:val="center"/>
          </w:tcPr>
          <w:p>
            <w:r>
              <w:rPr>
                <w:rFonts w:hint="eastAsia"/>
              </w:rPr>
              <w:t>发票管理</w:t>
            </w:r>
          </w:p>
        </w:tc>
        <w:tc>
          <w:tcPr>
            <w:tcW w:w="5954" w:type="dxa"/>
            <w:tcBorders>
              <w:top w:val="single" w:color="auto" w:sz="4" w:space="0"/>
              <w:left w:val="nil"/>
              <w:bottom w:val="nil"/>
              <w:right w:val="single" w:color="auto" w:sz="8" w:space="0"/>
            </w:tcBorders>
            <w:shd w:val="clear" w:color="000000" w:fill="FFFFFF"/>
            <w:vAlign w:val="center"/>
          </w:tcPr>
          <w:p>
            <w:r>
              <w:rPr>
                <w:rFonts w:hint="eastAsia"/>
              </w:rPr>
              <w:t>对已经记帐的但未填写发票号码和发票日期的入库单进行补登发票号码和日期，需要支持对发票的跟踪管理。支持一台设备多张发票的管理模式；并记录发票金额。</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single" w:color="auto" w:sz="4" w:space="0"/>
              <w:left w:val="nil"/>
              <w:bottom w:val="nil"/>
              <w:right w:val="single" w:color="auto" w:sz="4" w:space="0"/>
            </w:tcBorders>
            <w:shd w:val="clear" w:color="000000" w:fill="FFFFFF"/>
            <w:vAlign w:val="center"/>
          </w:tcPr>
          <w:p>
            <w:r>
              <w:rPr>
                <w:rFonts w:hint="eastAsia"/>
              </w:rPr>
              <w:t>付款管理</w:t>
            </w:r>
          </w:p>
        </w:tc>
        <w:tc>
          <w:tcPr>
            <w:tcW w:w="5954" w:type="dxa"/>
            <w:tcBorders>
              <w:top w:val="single" w:color="auto" w:sz="4" w:space="0"/>
              <w:left w:val="nil"/>
              <w:bottom w:val="nil"/>
              <w:right w:val="single" w:color="auto" w:sz="8" w:space="0"/>
            </w:tcBorders>
            <w:shd w:val="clear" w:color="000000" w:fill="FFFFFF"/>
            <w:vAlign w:val="center"/>
          </w:tcPr>
          <w:p>
            <w:r>
              <w:rPr>
                <w:rFonts w:hint="eastAsia"/>
              </w:rPr>
              <w:t>对发票等付款单据分批进行付款操作，支持分期付款的管理。</w:t>
            </w:r>
          </w:p>
        </w:tc>
      </w:tr>
      <w:tr>
        <w:tblPrEx>
          <w:tblLayout w:type="fixed"/>
          <w:tblCellMar>
            <w:top w:w="0" w:type="dxa"/>
            <w:left w:w="108" w:type="dxa"/>
            <w:bottom w:w="0" w:type="dxa"/>
            <w:right w:w="108" w:type="dxa"/>
          </w:tblCellMar>
        </w:tblPrEx>
        <w:trPr>
          <w:trHeight w:val="132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single" w:color="auto" w:sz="4" w:space="0"/>
              <w:left w:val="nil"/>
              <w:bottom w:val="nil"/>
              <w:right w:val="single" w:color="auto" w:sz="4" w:space="0"/>
            </w:tcBorders>
            <w:shd w:val="clear" w:color="000000" w:fill="FFFFFF"/>
            <w:vAlign w:val="center"/>
          </w:tcPr>
          <w:p>
            <w:r>
              <w:rPr>
                <w:rFonts w:hint="eastAsia"/>
              </w:rPr>
              <w:t>财务凭证接口</w:t>
            </w:r>
          </w:p>
        </w:tc>
        <w:tc>
          <w:tcPr>
            <w:tcW w:w="5954" w:type="dxa"/>
            <w:tcBorders>
              <w:top w:val="single" w:color="auto" w:sz="4" w:space="0"/>
              <w:left w:val="nil"/>
              <w:bottom w:val="nil"/>
              <w:right w:val="single" w:color="auto" w:sz="8" w:space="0"/>
            </w:tcBorders>
            <w:shd w:val="clear" w:color="000000" w:fill="FFFFFF"/>
            <w:vAlign w:val="center"/>
          </w:tcPr>
          <w:p>
            <w:r>
              <w:rPr>
                <w:rFonts w:hint="eastAsia"/>
              </w:rPr>
              <w:t>模式一：将本系统中的入库单据直接导入财务软件的凭证库中完成库房管理子系统与财务软件中的物资品名字典、供应商字典的对照；将库房管理子系统中入库记帐单据按时间段直接导入财务软件；模式二：将在系统中完成的记帐凭证导入财务软件；完成库房管理子系统与财务软件中的核算类别和会计科目的对照；按会计期间生成记帐凭证；将生成好的记帐凭证直接导入到财务软件中。</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nil"/>
              <w:right w:val="single" w:color="auto" w:sz="4" w:space="0"/>
            </w:tcBorders>
            <w:vAlign w:val="center"/>
          </w:tcPr>
          <w:p/>
        </w:tc>
        <w:tc>
          <w:tcPr>
            <w:tcW w:w="1559" w:type="dxa"/>
            <w:tcBorders>
              <w:top w:val="single" w:color="auto" w:sz="4" w:space="0"/>
              <w:left w:val="nil"/>
              <w:bottom w:val="nil"/>
              <w:right w:val="single" w:color="auto" w:sz="4" w:space="0"/>
            </w:tcBorders>
            <w:shd w:val="clear" w:color="000000" w:fill="FFFFFF"/>
            <w:vAlign w:val="center"/>
          </w:tcPr>
          <w:p>
            <w:r>
              <w:rPr>
                <w:rFonts w:hint="eastAsia"/>
              </w:rPr>
              <w:t>统计报表</w:t>
            </w:r>
          </w:p>
        </w:tc>
        <w:tc>
          <w:tcPr>
            <w:tcW w:w="5954" w:type="dxa"/>
            <w:tcBorders>
              <w:top w:val="single" w:color="auto" w:sz="4" w:space="0"/>
              <w:left w:val="nil"/>
              <w:bottom w:val="nil"/>
              <w:right w:val="single" w:color="auto" w:sz="8" w:space="0"/>
            </w:tcBorders>
            <w:shd w:val="clear" w:color="000000" w:fill="FFFFFF"/>
            <w:vAlign w:val="center"/>
          </w:tcPr>
          <w:p>
            <w:r>
              <w:rPr>
                <w:rFonts w:hint="eastAsia"/>
              </w:rPr>
              <w:t>对相关的业务信息根据发票到达情况、分期付款情况进行分账簿、类别、供应商进行查询统计。</w:t>
            </w:r>
          </w:p>
        </w:tc>
      </w:tr>
      <w:tr>
        <w:tblPrEx>
          <w:tblLayout w:type="fixed"/>
          <w:tblCellMar>
            <w:top w:w="0" w:type="dxa"/>
            <w:left w:w="108" w:type="dxa"/>
            <w:bottom w:w="0" w:type="dxa"/>
            <w:right w:w="108" w:type="dxa"/>
          </w:tblCellMar>
        </w:tblPrEx>
        <w:trPr>
          <w:trHeight w:val="330" w:hRule="atLeast"/>
        </w:trPr>
        <w:tc>
          <w:tcPr>
            <w:tcW w:w="1413" w:type="dxa"/>
            <w:vMerge w:val="restart"/>
            <w:tcBorders>
              <w:top w:val="single" w:color="auto" w:sz="4" w:space="0"/>
              <w:left w:val="single" w:color="auto" w:sz="8" w:space="0"/>
              <w:bottom w:val="single" w:color="000000" w:sz="8" w:space="0"/>
              <w:right w:val="single" w:color="auto" w:sz="4" w:space="0"/>
            </w:tcBorders>
            <w:shd w:val="clear" w:color="000000" w:fill="FFFFFF"/>
            <w:vAlign w:val="center"/>
          </w:tcPr>
          <w:p>
            <w:r>
              <w:rPr>
                <w:rFonts w:hint="eastAsia"/>
              </w:rPr>
              <w:t>证照管理</w:t>
            </w:r>
          </w:p>
        </w:tc>
        <w:tc>
          <w:tcPr>
            <w:tcW w:w="1559" w:type="dxa"/>
            <w:tcBorders>
              <w:top w:val="single" w:color="auto" w:sz="4" w:space="0"/>
              <w:left w:val="nil"/>
              <w:bottom w:val="single" w:color="auto" w:sz="4" w:space="0"/>
              <w:right w:val="single" w:color="auto" w:sz="4" w:space="0"/>
            </w:tcBorders>
            <w:shd w:val="clear" w:color="000000" w:fill="FFFFFF"/>
            <w:vAlign w:val="center"/>
          </w:tcPr>
          <w:p>
            <w:r>
              <w:rPr>
                <w:rFonts w:hint="eastAsia"/>
              </w:rPr>
              <w:t>证照类型字典</w:t>
            </w:r>
          </w:p>
        </w:tc>
        <w:tc>
          <w:tcPr>
            <w:tcW w:w="5954" w:type="dxa"/>
            <w:tcBorders>
              <w:top w:val="single" w:color="auto" w:sz="4" w:space="0"/>
              <w:left w:val="nil"/>
              <w:bottom w:val="single" w:color="auto" w:sz="4" w:space="0"/>
              <w:right w:val="single" w:color="auto" w:sz="8" w:space="0"/>
            </w:tcBorders>
            <w:shd w:val="clear" w:color="000000" w:fill="FFFFFF"/>
            <w:vAlign w:val="center"/>
          </w:tcPr>
          <w:p>
            <w:r>
              <w:rPr>
                <w:rFonts w:hint="eastAsia"/>
              </w:rPr>
              <w:t>基础数据字典：产品注册证、企业经营许可证、生产企业许可证、产品授权书等证照相关的类型</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single" w:color="000000" w:sz="8"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供应商证照维护</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针对供应商维护相关证照信息：供应商名称、产品注册号的发证日期、有效年限、失效日期等</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single" w:color="000000" w:sz="8"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耗材证照信息维护</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针对物资字典维护相关的供应商名称、产品注册号的发证日期、有效年限、失效日期等</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single" w:color="000000" w:sz="8"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证照图片信息导入</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将供应商提供的相关证照的图片导入或者扫描进入系统并关联具体物资名称字典和供应商</w:t>
            </w:r>
          </w:p>
        </w:tc>
      </w:tr>
      <w:tr>
        <w:tblPrEx>
          <w:tblLayout w:type="fixed"/>
          <w:tblCellMar>
            <w:top w:w="0" w:type="dxa"/>
            <w:left w:w="108" w:type="dxa"/>
            <w:bottom w:w="0" w:type="dxa"/>
            <w:right w:w="108" w:type="dxa"/>
          </w:tblCellMar>
        </w:tblPrEx>
        <w:trPr>
          <w:trHeight w:val="330" w:hRule="atLeast"/>
        </w:trPr>
        <w:tc>
          <w:tcPr>
            <w:tcW w:w="1413" w:type="dxa"/>
            <w:vMerge w:val="continue"/>
            <w:tcBorders>
              <w:top w:val="single" w:color="auto" w:sz="4" w:space="0"/>
              <w:left w:val="single" w:color="auto" w:sz="8" w:space="0"/>
              <w:bottom w:val="single" w:color="000000" w:sz="8" w:space="0"/>
              <w:right w:val="single" w:color="auto" w:sz="4" w:space="0"/>
            </w:tcBorders>
            <w:vAlign w:val="center"/>
          </w:tcPr>
          <w:p/>
        </w:tc>
        <w:tc>
          <w:tcPr>
            <w:tcW w:w="1559" w:type="dxa"/>
            <w:tcBorders>
              <w:top w:val="nil"/>
              <w:left w:val="nil"/>
              <w:bottom w:val="single" w:color="auto" w:sz="4" w:space="0"/>
              <w:right w:val="single" w:color="auto" w:sz="4" w:space="0"/>
            </w:tcBorders>
            <w:shd w:val="clear" w:color="000000" w:fill="FFFFFF"/>
            <w:vAlign w:val="center"/>
          </w:tcPr>
          <w:p>
            <w:r>
              <w:rPr>
                <w:rFonts w:hint="eastAsia"/>
              </w:rPr>
              <w:t>证照过期预警</w:t>
            </w:r>
          </w:p>
        </w:tc>
        <w:tc>
          <w:tcPr>
            <w:tcW w:w="5954" w:type="dxa"/>
            <w:tcBorders>
              <w:top w:val="nil"/>
              <w:left w:val="nil"/>
              <w:bottom w:val="single" w:color="auto" w:sz="4" w:space="0"/>
              <w:right w:val="single" w:color="auto" w:sz="8" w:space="0"/>
            </w:tcBorders>
            <w:shd w:val="clear" w:color="000000" w:fill="FFFFFF"/>
            <w:vAlign w:val="center"/>
          </w:tcPr>
          <w:p>
            <w:r>
              <w:rPr>
                <w:rFonts w:hint="eastAsia"/>
              </w:rPr>
              <w:t>提供证照即将在N天内过期的主动弹窗列表预警功能，有参数可根据实际情况自行设置预警的提前天数</w:t>
            </w:r>
          </w:p>
        </w:tc>
      </w:tr>
      <w:tr>
        <w:tblPrEx>
          <w:tblLayout w:type="fixed"/>
          <w:tblCellMar>
            <w:top w:w="0" w:type="dxa"/>
            <w:left w:w="108" w:type="dxa"/>
            <w:bottom w:w="0" w:type="dxa"/>
            <w:right w:w="108" w:type="dxa"/>
          </w:tblCellMar>
        </w:tblPrEx>
        <w:trPr>
          <w:trHeight w:val="675" w:hRule="atLeast"/>
        </w:trPr>
        <w:tc>
          <w:tcPr>
            <w:tcW w:w="1413" w:type="dxa"/>
            <w:vMerge w:val="continue"/>
            <w:tcBorders>
              <w:top w:val="single" w:color="auto" w:sz="4" w:space="0"/>
              <w:left w:val="single" w:color="auto" w:sz="8" w:space="0"/>
              <w:bottom w:val="single" w:color="000000" w:sz="8" w:space="0"/>
              <w:right w:val="single" w:color="auto" w:sz="4" w:space="0"/>
            </w:tcBorders>
            <w:vAlign w:val="center"/>
          </w:tcPr>
          <w:p/>
        </w:tc>
        <w:tc>
          <w:tcPr>
            <w:tcW w:w="1559" w:type="dxa"/>
            <w:tcBorders>
              <w:top w:val="nil"/>
              <w:left w:val="nil"/>
              <w:bottom w:val="single" w:color="auto" w:sz="8" w:space="0"/>
              <w:right w:val="single" w:color="auto" w:sz="4" w:space="0"/>
            </w:tcBorders>
            <w:shd w:val="clear" w:color="000000" w:fill="FFFFFF"/>
            <w:vAlign w:val="center"/>
          </w:tcPr>
          <w:p>
            <w:r>
              <w:rPr>
                <w:rFonts w:hint="eastAsia"/>
              </w:rPr>
              <w:t>入库证照管理</w:t>
            </w:r>
          </w:p>
        </w:tc>
        <w:tc>
          <w:tcPr>
            <w:tcW w:w="5954" w:type="dxa"/>
            <w:tcBorders>
              <w:top w:val="nil"/>
              <w:left w:val="nil"/>
              <w:bottom w:val="single" w:color="auto" w:sz="8" w:space="0"/>
              <w:right w:val="single" w:color="auto" w:sz="8" w:space="0"/>
            </w:tcBorders>
            <w:shd w:val="clear" w:color="000000" w:fill="FFFFFF"/>
            <w:vAlign w:val="center"/>
          </w:tcPr>
          <w:p>
            <w:r>
              <w:rPr>
                <w:rFonts w:hint="eastAsia"/>
              </w:rPr>
              <w:t>库房在入库时，可直接取得产品注册证号；如果证照过期未延期系统会作弹窗提醒，并且不允许入库保存。提醒修改产品注册证效期或者联系供应商处理。</w:t>
            </w:r>
          </w:p>
        </w:tc>
      </w:tr>
    </w:tbl>
    <w:p>
      <w:pPr>
        <w:snapToGrid w:val="0"/>
        <w:spacing w:line="360" w:lineRule="auto"/>
        <w:rPr>
          <w:rFonts w:ascii="宋体" w:hAnsi="宋体"/>
          <w:b/>
          <w:sz w:val="24"/>
          <w:szCs w:val="24"/>
        </w:rPr>
      </w:pPr>
    </w:p>
    <w:tbl>
      <w:tblPr>
        <w:tblStyle w:val="28"/>
        <w:tblW w:w="8921" w:type="dxa"/>
        <w:tblInd w:w="118" w:type="dxa"/>
        <w:tblLayout w:type="fixed"/>
        <w:tblCellMar>
          <w:top w:w="0" w:type="dxa"/>
          <w:left w:w="108" w:type="dxa"/>
          <w:bottom w:w="0" w:type="dxa"/>
          <w:right w:w="108" w:type="dxa"/>
        </w:tblCellMar>
      </w:tblPr>
      <w:tblGrid>
        <w:gridCol w:w="1000"/>
        <w:gridCol w:w="1780"/>
        <w:gridCol w:w="6141"/>
      </w:tblGrid>
      <w:tr>
        <w:tblPrEx>
          <w:tblLayout w:type="fixed"/>
          <w:tblCellMar>
            <w:top w:w="0" w:type="dxa"/>
            <w:left w:w="108" w:type="dxa"/>
            <w:bottom w:w="0" w:type="dxa"/>
            <w:right w:w="108" w:type="dxa"/>
          </w:tblCellMar>
        </w:tblPrEx>
        <w:trPr>
          <w:trHeight w:val="435" w:hRule="atLeast"/>
        </w:trPr>
        <w:tc>
          <w:tcPr>
            <w:tcW w:w="8921" w:type="dxa"/>
            <w:gridSpan w:val="3"/>
            <w:tcBorders>
              <w:top w:val="single" w:color="auto" w:sz="8" w:space="0"/>
              <w:left w:val="single" w:color="auto" w:sz="8" w:space="0"/>
              <w:bottom w:val="single" w:color="auto" w:sz="4" w:space="0"/>
              <w:right w:val="single" w:color="000000" w:sz="8" w:space="0"/>
            </w:tcBorders>
            <w:shd w:val="clear" w:color="000000" w:fill="B7DEE8"/>
            <w:vAlign w:val="center"/>
          </w:tcPr>
          <w:p>
            <w:pPr>
              <w:widowControl/>
              <w:jc w:val="center"/>
              <w:rPr>
                <w:rFonts w:cs="宋体" w:asciiTheme="minorEastAsia" w:hAnsiTheme="minorEastAsia" w:eastAsiaTheme="minorEastAsia"/>
                <w:b/>
                <w:bCs/>
                <w:kern w:val="0"/>
                <w:sz w:val="24"/>
                <w:szCs w:val="34"/>
              </w:rPr>
            </w:pPr>
            <w:r>
              <w:rPr>
                <w:rFonts w:hint="eastAsia" w:cs="宋体" w:asciiTheme="minorEastAsia" w:hAnsiTheme="minorEastAsia" w:eastAsiaTheme="minorEastAsia"/>
                <w:b/>
                <w:bCs/>
                <w:kern w:val="0"/>
                <w:sz w:val="24"/>
                <w:szCs w:val="34"/>
              </w:rPr>
              <w:t>虚拟二级库房管理系统（高值耗材条码</w:t>
            </w:r>
            <w:r>
              <w:rPr>
                <w:rFonts w:cs="宋体" w:asciiTheme="minorEastAsia" w:hAnsiTheme="minorEastAsia" w:eastAsiaTheme="minorEastAsia"/>
                <w:b/>
                <w:bCs/>
                <w:kern w:val="0"/>
                <w:sz w:val="24"/>
                <w:szCs w:val="34"/>
              </w:rPr>
              <w:t>追溯</w:t>
            </w:r>
            <w:r>
              <w:rPr>
                <w:rFonts w:hint="eastAsia" w:cs="宋体" w:asciiTheme="minorEastAsia" w:hAnsiTheme="minorEastAsia" w:eastAsiaTheme="minorEastAsia"/>
                <w:b/>
                <w:bCs/>
                <w:kern w:val="0"/>
                <w:sz w:val="24"/>
                <w:szCs w:val="34"/>
              </w:rPr>
              <w:t>管理系统）</w:t>
            </w:r>
          </w:p>
          <w:p>
            <w:pPr>
              <w:widowControl/>
              <w:jc w:val="center"/>
              <w:rPr>
                <w:b/>
              </w:rPr>
            </w:pPr>
            <w:r>
              <w:rPr>
                <w:rFonts w:hint="eastAsia" w:cs="宋体" w:asciiTheme="minorEastAsia" w:hAnsiTheme="minorEastAsia" w:eastAsiaTheme="minorEastAsia"/>
                <w:b/>
                <w:bCs/>
                <w:kern w:val="0"/>
                <w:sz w:val="24"/>
                <w:szCs w:val="34"/>
              </w:rPr>
              <w:t>（</w:t>
            </w:r>
            <w:r>
              <w:rPr>
                <w:rFonts w:cs="宋体" w:asciiTheme="minorEastAsia" w:hAnsiTheme="minorEastAsia" w:eastAsiaTheme="minorEastAsia"/>
                <w:b/>
                <w:bCs/>
                <w:kern w:val="0"/>
                <w:sz w:val="24"/>
                <w:szCs w:val="34"/>
              </w:rPr>
              <w:t>手术室</w:t>
            </w:r>
            <w:r>
              <w:rPr>
                <w:rFonts w:hint="eastAsia" w:cs="宋体" w:asciiTheme="minorEastAsia" w:hAnsiTheme="minorEastAsia" w:eastAsiaTheme="minorEastAsia"/>
                <w:b/>
                <w:bCs/>
                <w:kern w:val="0"/>
                <w:sz w:val="24"/>
                <w:szCs w:val="34"/>
              </w:rPr>
              <w:t>、</w:t>
            </w:r>
            <w:r>
              <w:rPr>
                <w:rFonts w:cs="宋体" w:asciiTheme="minorEastAsia" w:hAnsiTheme="minorEastAsia" w:eastAsiaTheme="minorEastAsia"/>
                <w:b/>
                <w:bCs/>
                <w:kern w:val="0"/>
                <w:sz w:val="24"/>
                <w:szCs w:val="34"/>
              </w:rPr>
              <w:t>介入室</w:t>
            </w:r>
            <w:r>
              <w:rPr>
                <w:rFonts w:hint="eastAsia" w:cs="宋体" w:asciiTheme="minorEastAsia" w:hAnsiTheme="minorEastAsia" w:eastAsiaTheme="minorEastAsia"/>
                <w:b/>
                <w:bCs/>
                <w:kern w:val="0"/>
                <w:sz w:val="24"/>
                <w:szCs w:val="34"/>
              </w:rPr>
              <w:t>）</w:t>
            </w:r>
          </w:p>
        </w:tc>
      </w:tr>
      <w:tr>
        <w:tblPrEx>
          <w:tblLayout w:type="fixed"/>
          <w:tblCellMar>
            <w:top w:w="0" w:type="dxa"/>
            <w:left w:w="108" w:type="dxa"/>
            <w:bottom w:w="0" w:type="dxa"/>
            <w:right w:w="108" w:type="dxa"/>
          </w:tblCellMar>
        </w:tblPrEx>
        <w:trPr>
          <w:trHeight w:val="660" w:hRule="atLeast"/>
        </w:trPr>
        <w:tc>
          <w:tcPr>
            <w:tcW w:w="10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高值耗材管理</w:t>
            </w:r>
          </w:p>
        </w:tc>
        <w:tc>
          <w:tcPr>
            <w:tcW w:w="1780" w:type="dxa"/>
            <w:tcBorders>
              <w:top w:val="nil"/>
              <w:left w:val="nil"/>
              <w:bottom w:val="single" w:color="auto" w:sz="4" w:space="0"/>
              <w:right w:val="single" w:color="auto" w:sz="4" w:space="0"/>
            </w:tcBorders>
            <w:shd w:val="clear" w:color="000000" w:fill="FFFFFF"/>
            <w:vAlign w:val="center"/>
          </w:tcPr>
          <w:p>
            <w:r>
              <w:rPr>
                <w:rFonts w:hint="eastAsia"/>
              </w:rPr>
              <w:t>物资收费项目对照</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高值耗材物资字典与HIS系统的收费项目对照，是物资与收费接口的基础数据整理工作。支持物资字典与收费项目的一对一、一对多的匹配。</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条码规则设置</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 xml:space="preserve"> 支持各类产品原厂条码的识别，也可以根据医院材料管理规范编码体系在耗材入库时生成条码标签，并在使用时通过条码直接定位耗材详细信息。</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高值入库</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高值耗材直接在手术室等高值耗材二级库的虚拟入库，支持扫描供应商条码入库和院内打印条码入库的两种方式。</w:t>
            </w:r>
          </w:p>
        </w:tc>
      </w:tr>
      <w:tr>
        <w:tblPrEx>
          <w:tblLayout w:type="fixed"/>
          <w:tblCellMar>
            <w:top w:w="0" w:type="dxa"/>
            <w:left w:w="108" w:type="dxa"/>
            <w:bottom w:w="0" w:type="dxa"/>
            <w:right w:w="108" w:type="dxa"/>
          </w:tblCellMar>
        </w:tblPrEx>
        <w:trPr>
          <w:trHeight w:val="132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高值耗材条码打印</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对接收入库和备货入库的的入库单明细打印院内唯一条码；</w:t>
            </w:r>
            <w:r>
              <w:rPr>
                <w:rFonts w:hint="eastAsia"/>
              </w:rPr>
              <w:br w:type="textWrapping"/>
            </w:r>
            <w:r>
              <w:rPr>
                <w:rFonts w:hint="eastAsia"/>
              </w:rPr>
              <w:t>条码生成规格为：物资ID|有效期|批号</w:t>
            </w:r>
            <w:r>
              <w:rPr>
                <w:rFonts w:hint="eastAsia"/>
              </w:rPr>
              <w:br w:type="textWrapping"/>
            </w:r>
            <w:r>
              <w:rPr>
                <w:rFonts w:hint="eastAsia"/>
              </w:rPr>
              <w:t>此步骤也可以在字典里维护生成厂家的条码，但厂家条码同一批次存在不唯一的情况。但部分不能解析的还是需要自己打印条码。</w:t>
            </w:r>
          </w:p>
        </w:tc>
      </w:tr>
      <w:tr>
        <w:tblPrEx>
          <w:tblLayout w:type="fixed"/>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高值耗材使用登记</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根据病人高值耗材使用情况，扫描高值条码进行出库使用登记，内容包括高值物资信息、病人信息、科室信息、手术相关的医生、护士信息等。</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高值收费接口</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根据使用登记信息生成HIS收费接口数据，供HIS收费系统进行病人的费用处理。</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高值冲红业务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对高值入出库业务中已经审核记账的单据进行反业务操作；冲红时可以冲红部分或全部冲红。</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高值库存</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展示高值库房的耗材库存详细信息，查询物资名称、规格型号、产地、供应商、生产厂家、有效期、批号、注册证号、库存数量等。</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高值库房盘存</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根据帐面库存数量，清点实物数量后生成盘盈入库单和盘亏出库单。登帐后系统自动生成盘盈表、盘亏表和盘存表，调整相关物资的库存帐。</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高值耗材库房设定</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库房管理员根据库房物品进行位置摆放设置；根据高值耗材历史使用量的情况，设置每个耗材的高、低储量；安全量；为高值的科室的采购补货作准备。</w:t>
            </w:r>
          </w:p>
        </w:tc>
      </w:tr>
      <w:tr>
        <w:tblPrEx>
          <w:tblLayout w:type="fixed"/>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科室采购补货</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高值二级库房根据库存设置情况，可以手工添加采购申请也可以通过库存的高低储情况自动生成采购补货单。</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高值库房消耗确认</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使用科室根据病人已使用的耗材情况，对高值耗材病人使用登记表进行消耗确认。</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中心库房结算审核</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中心库房对所有科室已消耗确认的耗材进行最终结算审核，并与供应商联系发票开具等结算事宜。</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中心库房入出库业务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中心库房对已完成结算审核的高值耗材使用记录进行一级库的入出库的账务处理。</w:t>
            </w:r>
          </w:p>
        </w:tc>
      </w:tr>
      <w:tr>
        <w:tblPrEx>
          <w:tblLayout w:type="fixed"/>
          <w:tblCellMar>
            <w:top w:w="0" w:type="dxa"/>
            <w:left w:w="108" w:type="dxa"/>
            <w:bottom w:w="0" w:type="dxa"/>
            <w:right w:w="108" w:type="dxa"/>
          </w:tblCellMar>
        </w:tblPrEx>
        <w:trPr>
          <w:trHeight w:val="132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高值耗材追溯查询</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对高值耗材的使用记录及病人记录进行追溯管理；</w:t>
            </w:r>
            <w:r>
              <w:rPr>
                <w:rFonts w:hint="eastAsia"/>
              </w:rPr>
              <w:br w:type="textWrapping"/>
            </w:r>
            <w:r>
              <w:rPr>
                <w:rFonts w:hint="eastAsia"/>
              </w:rPr>
              <w:t>可以根据时间、物资、批号、病人姓名、住院号等进行追溯；</w:t>
            </w:r>
            <w:r>
              <w:rPr>
                <w:rFonts w:hint="eastAsia"/>
              </w:rPr>
              <w:br w:type="textWrapping"/>
            </w:r>
            <w:r>
              <w:rPr>
                <w:rFonts w:hint="eastAsia"/>
              </w:rPr>
              <w:t>实现植入耗材能向上追溯到生产厂商、向下追溯到患者个体，可对全过程进行一对一的质量管理和质量跟踪，降低材料使用过程中的医疗安全风险。</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0"/>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高值耗材查询与统计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对科室高值耗材库房中的进销存的统计与分析报表</w:t>
            </w:r>
          </w:p>
        </w:tc>
      </w:tr>
      <w:tr>
        <w:tblPrEx>
          <w:tblLayout w:type="fixed"/>
        </w:tblPrEx>
        <w:trPr>
          <w:trHeight w:val="435" w:hRule="atLeast"/>
        </w:trPr>
        <w:tc>
          <w:tcPr>
            <w:tcW w:w="8921" w:type="dxa"/>
            <w:gridSpan w:val="3"/>
            <w:tcBorders>
              <w:top w:val="single" w:color="auto" w:sz="4" w:space="0"/>
              <w:left w:val="single" w:color="auto" w:sz="4" w:space="0"/>
              <w:bottom w:val="single" w:color="auto" w:sz="4" w:space="0"/>
              <w:right w:val="single" w:color="auto" w:sz="4" w:space="0"/>
            </w:tcBorders>
            <w:shd w:val="clear" w:color="000000" w:fill="B7DEE8"/>
            <w:vAlign w:val="center"/>
          </w:tcPr>
          <w:p>
            <w:pPr>
              <w:jc w:val="center"/>
              <w:rPr>
                <w:b/>
                <w:sz w:val="24"/>
              </w:rPr>
            </w:pPr>
            <w:r>
              <w:rPr>
                <w:rFonts w:hint="eastAsia"/>
                <w:b/>
                <w:sz w:val="24"/>
              </w:rPr>
              <w:t>实物二级库房管理系统</w:t>
            </w:r>
          </w:p>
          <w:p>
            <w:pPr>
              <w:jc w:val="center"/>
              <w:rPr>
                <w:sz w:val="34"/>
              </w:rPr>
            </w:pPr>
            <w:r>
              <w:rPr>
                <w:rFonts w:hint="eastAsia"/>
                <w:b/>
                <w:sz w:val="24"/>
              </w:rPr>
              <w:t>（手术室</w:t>
            </w:r>
            <w:r>
              <w:rPr>
                <w:b/>
                <w:sz w:val="24"/>
              </w:rPr>
              <w:t>、麻醉科</w:t>
            </w:r>
            <w:r>
              <w:rPr>
                <w:rFonts w:hint="eastAsia"/>
                <w:b/>
                <w:sz w:val="24"/>
              </w:rPr>
              <w:t>、</w:t>
            </w:r>
            <w:r>
              <w:rPr>
                <w:b/>
                <w:sz w:val="24"/>
              </w:rPr>
              <w:t>设备维修、信息科</w:t>
            </w:r>
            <w:r>
              <w:rPr>
                <w:rFonts w:hint="eastAsia"/>
                <w:b/>
                <w:sz w:val="24"/>
              </w:rPr>
              <w:t>）</w:t>
            </w:r>
          </w:p>
        </w:tc>
      </w:tr>
      <w:tr>
        <w:tblPrEx>
          <w:tblLayout w:type="fixed"/>
          <w:tblCellMar>
            <w:top w:w="0" w:type="dxa"/>
            <w:left w:w="108" w:type="dxa"/>
            <w:bottom w:w="0" w:type="dxa"/>
            <w:right w:w="108" w:type="dxa"/>
          </w:tblCellMar>
        </w:tblPrEx>
        <w:trPr>
          <w:trHeight w:val="330" w:hRule="atLeast"/>
        </w:trPr>
        <w:tc>
          <w:tcPr>
            <w:tcW w:w="100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b/>
                <w:sz w:val="24"/>
              </w:rPr>
            </w:pPr>
            <w:r>
              <w:rPr>
                <w:rFonts w:hint="eastAsia"/>
                <w:b/>
                <w:sz w:val="24"/>
              </w:rPr>
              <w:t>实物二级库房管理系统</w:t>
            </w: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会计日历</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每个独立的二级库可以设置本库房的会计区；也可以严格同步一级库房的会计日历</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数据字典</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二级库房的基础数据字典包含：物资分类字典、物资名称字典、产地、供应商、生产厂家、品牌、物资证照信息等均严格同步一级库的数据字典信息，统一管理。</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二级库字典管理设置</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每个二级库可对本二级库内的物资字典设置是否进行管理的维护。</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接收入库</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接收从一级库房配送过来的二级库房请领物资，清点验收入库增加二级库的库存。</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消耗出库</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二级库房可以将物资扫码出库（或者手工出库）给本科室和其它科室进行物资消耗，减少二级库的库存。</w:t>
            </w:r>
          </w:p>
        </w:tc>
      </w:tr>
      <w:tr>
        <w:tblPrEx>
          <w:tblLayout w:type="fixed"/>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退库业务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对错领的物资或者二级库剩余不用物资进行退回一级库房的申请业务。</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报损业务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二级库房对损坏的、过期的物资进行报废处理。</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二级库盘存</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根据二级库的帐面库存数量，清点实物数量后生成盘盈入库单和盘亏出库单。盘存结束后系统自动生成盘盈表、盘亏表和盘存表，调整相关物资的库存数。</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库位管理</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设定物品的摆放位置、物资库存的高、低储；安全库存等。</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单据冲红</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对二级库的入出库业务中已记账的单据进行反业务操作；冲红时可以冲红部分或全部冲红。</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二级库库存清单</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提供每个独立二级库房的库存明细业务查询功能。</w:t>
            </w:r>
          </w:p>
        </w:tc>
      </w:tr>
      <w:tr>
        <w:tblPrEx>
          <w:tblLayout w:type="fixed"/>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二级库月末结转</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二级库房根据当月的耗材进销存情况，月结处理。打印月结进销存报表。</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二级库房物资申领</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二级库房向中心库房发起物品电子请领单。</w:t>
            </w:r>
          </w:p>
        </w:tc>
      </w:tr>
      <w:tr>
        <w:tblPrEx>
          <w:tblLayout w:type="fixed"/>
          <w:tblCellMar>
            <w:top w:w="0" w:type="dxa"/>
            <w:left w:w="108" w:type="dxa"/>
            <w:bottom w:w="0" w:type="dxa"/>
            <w:right w:w="108" w:type="dxa"/>
          </w:tblCellMar>
        </w:tblPrEx>
        <w:trPr>
          <w:trHeight w:val="132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二级库物资采购计划编制</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支持两种耗材的采购生成途径：</w:t>
            </w:r>
            <w:r>
              <w:rPr>
                <w:rFonts w:hint="eastAsia"/>
              </w:rPr>
              <w:br w:type="textWrapping"/>
            </w:r>
            <w:r>
              <w:rPr>
                <w:rFonts w:hint="eastAsia"/>
              </w:rPr>
              <w:t>(1)、库房人员可以根据需要可以手动进行采购申请；</w:t>
            </w:r>
            <w:r>
              <w:rPr>
                <w:rFonts w:hint="eastAsia"/>
              </w:rPr>
              <w:br w:type="textWrapping"/>
            </w:r>
            <w:r>
              <w:rPr>
                <w:rFonts w:hint="eastAsia"/>
              </w:rPr>
              <w:t>(2)、通过库存上限、下限、安全量等批量生成采购计划需求明细信息；</w:t>
            </w:r>
            <w:r>
              <w:rPr>
                <w:rFonts w:hint="eastAsia"/>
              </w:rPr>
              <w:br w:type="textWrapping"/>
            </w:r>
            <w:r>
              <w:rPr>
                <w:rFonts w:hint="eastAsia"/>
              </w:rPr>
              <w:t>并对明细信息进行核对，审核。</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物资采购计划明细查询、统计分析等</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对采购环节中的数据生成统计报表及相关业务数据查询。</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二级库的查询与报表</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二级库房收支月报；二级库房接收入库报表；二级库房出库使用报表；二级库业务明细报表等。</w:t>
            </w:r>
          </w:p>
        </w:tc>
      </w:tr>
      <w:tr>
        <w:tblPrEx>
          <w:tblLayout w:type="fixed"/>
          <w:tblCellMar>
            <w:top w:w="0" w:type="dxa"/>
            <w:left w:w="108" w:type="dxa"/>
            <w:bottom w:w="0" w:type="dxa"/>
            <w:right w:w="108" w:type="dxa"/>
          </w:tblCellMar>
        </w:tblPrEx>
        <w:trPr>
          <w:trHeight w:val="435" w:hRule="atLeast"/>
        </w:trPr>
        <w:tc>
          <w:tcPr>
            <w:tcW w:w="8921" w:type="dxa"/>
            <w:gridSpan w:val="3"/>
            <w:tcBorders>
              <w:top w:val="single" w:color="auto" w:sz="4" w:space="0"/>
              <w:left w:val="single" w:color="auto" w:sz="4" w:space="0"/>
              <w:bottom w:val="single" w:color="auto" w:sz="4" w:space="0"/>
              <w:right w:val="single" w:color="auto" w:sz="4" w:space="0"/>
            </w:tcBorders>
            <w:shd w:val="clear" w:color="000000" w:fill="B7DEE8"/>
            <w:vAlign w:val="center"/>
          </w:tcPr>
          <w:p>
            <w:pPr>
              <w:widowControl/>
              <w:jc w:val="center"/>
              <w:rPr>
                <w:rFonts w:cs="宋体" w:asciiTheme="minorEastAsia" w:hAnsiTheme="minorEastAsia" w:eastAsiaTheme="minorEastAsia"/>
                <w:b/>
                <w:bCs/>
                <w:kern w:val="0"/>
                <w:sz w:val="34"/>
                <w:szCs w:val="34"/>
              </w:rPr>
            </w:pPr>
            <w:r>
              <w:rPr>
                <w:rFonts w:hint="eastAsia" w:cs="宋体" w:asciiTheme="minorEastAsia" w:hAnsiTheme="minorEastAsia" w:eastAsiaTheme="minorEastAsia"/>
                <w:b/>
                <w:kern w:val="0"/>
                <w:sz w:val="24"/>
              </w:rPr>
              <w:t>检验科试剂二级库房管理系统</w:t>
            </w:r>
          </w:p>
        </w:tc>
      </w:tr>
      <w:tr>
        <w:tblPrEx>
          <w:tblLayout w:type="fixed"/>
        </w:tblPrEx>
        <w:trPr>
          <w:trHeight w:val="330" w:hRule="atLeast"/>
        </w:trPr>
        <w:tc>
          <w:tcPr>
            <w:tcW w:w="100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微软雅黑" w:hAnsi="微软雅黑" w:eastAsia="微软雅黑" w:cs="宋体"/>
                <w:bCs/>
                <w:kern w:val="0"/>
                <w:sz w:val="22"/>
                <w:szCs w:val="22"/>
              </w:rPr>
            </w:pPr>
            <w:r>
              <w:rPr>
                <w:rFonts w:hint="eastAsia"/>
              </w:rPr>
              <w:t>检验科试剂二级库房管理系统</w:t>
            </w: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会计日历</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每个独立的二级库可以设置本库房的会计区；也可以严格同步一级库房的会计日历</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数据字典</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二级库房的基础数据字典包含：物资分类字典、物资名称字典、产地、供应商、生产厂家、品牌、物资证照信息等均严格同步一级库的数据字典信息，统一管理。</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接收入库</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接收从一级库房配送过来的二级库房请领物资，清点验收入库增加二级库的库存。</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*条码打印</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对接收入库的入库单明细打印院内唯一条码，条码生成规则为：物资ID|有效期|批号。支持试剂零库存和一物一码消耗跟踪管理。</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w:t>
            </w:r>
            <w:r>
              <w:t>扫码</w:t>
            </w:r>
            <w:r>
              <w:rPr>
                <w:rFonts w:hint="eastAsia"/>
              </w:rPr>
              <w:t>消耗出库</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二级库房可以将物资扫描试剂</w:t>
            </w:r>
            <w:r>
              <w:t>条码</w:t>
            </w:r>
            <w:r>
              <w:rPr>
                <w:rFonts w:hint="eastAsia"/>
              </w:rPr>
              <w:t>给本科室和其它科室进行物资消耗，减少二级库的库存。</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退库业务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对错领的物资或者二级库剩余不用物资进行退回一级库房的申请业务。</w:t>
            </w:r>
          </w:p>
        </w:tc>
      </w:tr>
      <w:tr>
        <w:tblPrEx>
          <w:tblLayout w:type="fixed"/>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报损业务</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二级库房对损坏的、过期的物资进行报废处理。</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二级库盘存</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根据二级库的帐面库存数量，清点实物数量后生成盘盈入库单和盘亏出库单。盘存结束后系统自动生成盘盈表、盘亏表和盘存表，调整相关物资的库存数。</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库位管理</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设定物品的摆放位置、物资库存的高、低储；安全库存等。</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单据冲红</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对二级库的入出库业务中已记账的单据进行反业务操作；冲红时可以冲红部分或全部冲红。</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二级库库存清单</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提供每个独立二级库房的库存明细业务查询功能。</w:t>
            </w:r>
          </w:p>
        </w:tc>
      </w:tr>
      <w:tr>
        <w:tblPrEx>
          <w:tblLayout w:type="fixed"/>
          <w:tblCellMar>
            <w:top w:w="0" w:type="dxa"/>
            <w:left w:w="108" w:type="dxa"/>
            <w:bottom w:w="0" w:type="dxa"/>
            <w:right w:w="108" w:type="dxa"/>
          </w:tblCellMar>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二级库月末结转</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二级库房根据当月的耗材进销存情况，月结处理。打印月结进销存报表。</w:t>
            </w:r>
          </w:p>
        </w:tc>
      </w:tr>
      <w:tr>
        <w:tblPrEx>
          <w:tblLayout w:type="fixed"/>
        </w:tblPrEx>
        <w:trPr>
          <w:trHeight w:val="33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二级库房物资申领</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二级库房向中心库房发起物品电子请领单。</w:t>
            </w:r>
          </w:p>
        </w:tc>
      </w:tr>
      <w:tr>
        <w:tblPrEx>
          <w:tblLayout w:type="fixed"/>
          <w:tblCellMar>
            <w:top w:w="0" w:type="dxa"/>
            <w:left w:w="108" w:type="dxa"/>
            <w:bottom w:w="0" w:type="dxa"/>
            <w:right w:w="108" w:type="dxa"/>
          </w:tblCellMar>
        </w:tblPrEx>
        <w:trPr>
          <w:trHeight w:val="132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二级库物资采购计划编制</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支持两种耗材的采购生成途径：</w:t>
            </w:r>
            <w:r>
              <w:rPr>
                <w:rFonts w:hint="eastAsia"/>
              </w:rPr>
              <w:br w:type="textWrapping"/>
            </w:r>
            <w:r>
              <w:rPr>
                <w:rFonts w:hint="eastAsia"/>
              </w:rPr>
              <w:t>(1)、库房人员可以根据需要可以手动进行采购申请；</w:t>
            </w:r>
            <w:r>
              <w:rPr>
                <w:rFonts w:hint="eastAsia"/>
              </w:rPr>
              <w:br w:type="textWrapping"/>
            </w:r>
            <w:r>
              <w:rPr>
                <w:rFonts w:hint="eastAsia"/>
              </w:rPr>
              <w:t>(2)、通过库存上限、下限、安全量等批量生成采购计划需求明细信息；</w:t>
            </w:r>
            <w:r>
              <w:rPr>
                <w:rFonts w:hint="eastAsia"/>
              </w:rPr>
              <w:br w:type="textWrapping"/>
            </w:r>
            <w:r>
              <w:rPr>
                <w:rFonts w:hint="eastAsia"/>
              </w:rPr>
              <w:t>并对明细信息进行核对，审核。</w:t>
            </w:r>
          </w:p>
        </w:tc>
      </w:tr>
      <w:tr>
        <w:tblPrEx>
          <w:tblLayout w:type="fixed"/>
          <w:tblCellMar>
            <w:top w:w="0" w:type="dxa"/>
            <w:left w:w="108" w:type="dxa"/>
            <w:bottom w:w="0" w:type="dxa"/>
            <w:right w:w="108" w:type="dxa"/>
          </w:tblCellMar>
        </w:tblPrEx>
        <w:trPr>
          <w:trHeight w:val="66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物资采购计划明细查询、统计分析等</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对采购环节中的数据生成统计报表及相关业务数据查询。</w:t>
            </w:r>
          </w:p>
        </w:tc>
      </w:tr>
      <w:tr>
        <w:tblPrEx>
          <w:tblLayout w:type="fixed"/>
          <w:tblCellMar>
            <w:top w:w="0" w:type="dxa"/>
            <w:left w:w="108" w:type="dxa"/>
            <w:bottom w:w="0" w:type="dxa"/>
            <w:right w:w="108" w:type="dxa"/>
          </w:tblCellMar>
        </w:tblPrEx>
        <w:trPr>
          <w:trHeight w:val="990" w:hRule="atLeast"/>
        </w:trPr>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r>
              <w:rPr>
                <w:rFonts w:hint="eastAsia"/>
              </w:rPr>
              <w:t>二级库的查询与报表</w:t>
            </w:r>
          </w:p>
        </w:tc>
        <w:tc>
          <w:tcPr>
            <w:tcW w:w="6141" w:type="dxa"/>
            <w:tcBorders>
              <w:top w:val="nil"/>
              <w:left w:val="nil"/>
              <w:bottom w:val="single" w:color="auto" w:sz="4" w:space="0"/>
              <w:right w:val="single" w:color="auto" w:sz="4" w:space="0"/>
            </w:tcBorders>
            <w:shd w:val="clear" w:color="000000" w:fill="FFFFFF"/>
            <w:vAlign w:val="center"/>
          </w:tcPr>
          <w:p>
            <w:r>
              <w:rPr>
                <w:rFonts w:hint="eastAsia"/>
              </w:rPr>
              <w:t>二级库房收支月报；二级库房接收入库报表；二级库房出库使用报表；二级库业务明细报表等。实现物资字典、采购订单、出入库等接口，实行班组领用成本分析，为领用科室提供准确、周到的数据支持。</w:t>
            </w:r>
          </w:p>
        </w:tc>
      </w:tr>
    </w:tbl>
    <w:p>
      <w:pPr>
        <w:snapToGrid w:val="0"/>
        <w:spacing w:line="360" w:lineRule="auto"/>
        <w:rPr>
          <w:rFonts w:ascii="宋体" w:hAnsi="宋体"/>
          <w:b/>
          <w:sz w:val="24"/>
          <w:szCs w:val="24"/>
        </w:rPr>
      </w:pPr>
    </w:p>
    <w:p>
      <w:pPr>
        <w:snapToGrid w:val="0"/>
        <w:spacing w:line="360" w:lineRule="auto"/>
        <w:rPr>
          <w:rFonts w:ascii="宋体" w:hAnsi="宋体"/>
          <w:b/>
          <w:sz w:val="24"/>
          <w:szCs w:val="24"/>
        </w:rPr>
      </w:pPr>
    </w:p>
    <w:p>
      <w:pPr>
        <w:snapToGrid w:val="0"/>
        <w:spacing w:line="360" w:lineRule="auto"/>
        <w:rPr>
          <w:rFonts w:ascii="宋体" w:hAnsi="宋体"/>
          <w:b/>
          <w:sz w:val="24"/>
          <w:szCs w:val="24"/>
        </w:rPr>
      </w:pPr>
    </w:p>
    <w:p>
      <w:pPr>
        <w:snapToGrid w:val="0"/>
        <w:spacing w:line="360" w:lineRule="auto"/>
        <w:rPr>
          <w:rFonts w:ascii="宋体" w:hAnsi="宋体"/>
          <w:b/>
          <w:sz w:val="24"/>
          <w:szCs w:val="24"/>
        </w:rPr>
      </w:pPr>
      <w:r>
        <w:rPr>
          <w:rFonts w:hint="eastAsia" w:ascii="宋体" w:hAnsi="宋体"/>
          <w:b/>
          <w:sz w:val="24"/>
          <w:szCs w:val="24"/>
        </w:rPr>
        <w:t>五、其它要求</w:t>
      </w:r>
    </w:p>
    <w:p>
      <w:pPr>
        <w:snapToGrid w:val="0"/>
        <w:spacing w:line="360" w:lineRule="auto"/>
        <w:ind w:firstLine="480"/>
        <w:rPr>
          <w:rFonts w:ascii="宋体" w:hAnsi="宋体"/>
          <w:sz w:val="24"/>
          <w:szCs w:val="24"/>
        </w:rPr>
      </w:pPr>
      <w:r>
        <w:rPr>
          <w:rFonts w:hint="eastAsia" w:ascii="宋体" w:hAnsi="宋体"/>
          <w:sz w:val="24"/>
          <w:szCs w:val="24"/>
          <w:lang w:eastAsia="zh-CN"/>
        </w:rPr>
        <w:t>△</w:t>
      </w:r>
      <w:r>
        <w:rPr>
          <w:rFonts w:ascii="宋体" w:hAnsi="宋体"/>
          <w:sz w:val="24"/>
          <w:szCs w:val="24"/>
        </w:rPr>
        <w:t>1</w:t>
      </w:r>
      <w:r>
        <w:rPr>
          <w:rFonts w:hint="eastAsia" w:ascii="宋体" w:hAnsi="宋体"/>
          <w:sz w:val="24"/>
          <w:szCs w:val="24"/>
        </w:rPr>
        <w:t>、实施要求</w:t>
      </w:r>
    </w:p>
    <w:p>
      <w:pPr>
        <w:snapToGrid w:val="0"/>
        <w:spacing w:line="360" w:lineRule="auto"/>
        <w:ind w:firstLine="480"/>
        <w:rPr>
          <w:rFonts w:ascii="宋体" w:hAnsi="宋体"/>
          <w:sz w:val="24"/>
          <w:szCs w:val="24"/>
        </w:rPr>
      </w:pPr>
      <w:r>
        <w:rPr>
          <w:rFonts w:hint="eastAsia" w:ascii="宋体" w:hAnsi="宋体"/>
          <w:sz w:val="24"/>
          <w:szCs w:val="24"/>
        </w:rPr>
        <w:t>工期为合同签订后3个月内完成供货、安装、系统调试、用户培训和项目验收。</w:t>
      </w:r>
    </w:p>
    <w:p>
      <w:pPr>
        <w:snapToGrid w:val="0"/>
        <w:spacing w:line="360" w:lineRule="auto"/>
        <w:ind w:firstLine="480"/>
        <w:rPr>
          <w:rFonts w:ascii="宋体" w:hAnsi="宋体"/>
          <w:sz w:val="24"/>
          <w:szCs w:val="24"/>
        </w:rPr>
      </w:pPr>
      <w:r>
        <w:rPr>
          <w:rFonts w:hint="eastAsia" w:ascii="宋体" w:hAnsi="宋体"/>
          <w:sz w:val="24"/>
          <w:szCs w:val="24"/>
        </w:rPr>
        <w:t>详细实施进度要求如下：</w:t>
      </w:r>
    </w:p>
    <w:p>
      <w:pPr>
        <w:snapToGrid w:val="0"/>
        <w:spacing w:line="360" w:lineRule="auto"/>
        <w:ind w:firstLine="480"/>
        <w:rPr>
          <w:rFonts w:ascii="宋体" w:hAnsi="宋体"/>
          <w:sz w:val="24"/>
          <w:szCs w:val="24"/>
        </w:rPr>
      </w:pPr>
      <w:r>
        <w:rPr>
          <w:rFonts w:hint="eastAsia" w:ascii="宋体" w:hAnsi="宋体"/>
          <w:sz w:val="24"/>
          <w:szCs w:val="24"/>
        </w:rPr>
        <w:t>合同签订后</w:t>
      </w:r>
      <w:r>
        <w:rPr>
          <w:rFonts w:ascii="宋体" w:hAnsi="宋体"/>
          <w:sz w:val="24"/>
          <w:szCs w:val="24"/>
        </w:rPr>
        <w:t>1</w:t>
      </w:r>
      <w:r>
        <w:rPr>
          <w:rFonts w:hint="eastAsia" w:ascii="宋体" w:hAnsi="宋体"/>
          <w:sz w:val="24"/>
          <w:szCs w:val="24"/>
        </w:rPr>
        <w:t>周内派驻实施人员进场调研，并提供详细的项目实施计划书；合同签订后3个月内完成所有硬件和应用程序的安装、培训、试运行及相关的调整修改，建立完善的运维体系，经验收合格，正式交付使用；实施安装期间，采购方单位内涉及的客户端软硬件的安装由供方负责，院方配合。</w:t>
      </w:r>
    </w:p>
    <w:p>
      <w:pPr>
        <w:snapToGrid w:val="0"/>
        <w:spacing w:line="360" w:lineRule="auto"/>
        <w:ind w:firstLine="480"/>
        <w:rPr>
          <w:rFonts w:ascii="宋体" w:hAnsi="宋体"/>
          <w:b/>
          <w:bCs/>
          <w:sz w:val="24"/>
          <w:szCs w:val="24"/>
        </w:rPr>
      </w:pPr>
      <w:r>
        <w:rPr>
          <w:rFonts w:hint="eastAsia" w:ascii="宋体" w:hAnsi="宋体"/>
          <w:b/>
          <w:bCs/>
          <w:sz w:val="24"/>
          <w:szCs w:val="24"/>
        </w:rPr>
        <w:t>项目实施过程中如若涉及接口改造等产生的费用由供应商自行承担。</w:t>
      </w:r>
    </w:p>
    <w:p>
      <w:pPr>
        <w:snapToGrid w:val="0"/>
        <w:spacing w:line="360" w:lineRule="auto"/>
        <w:ind w:firstLine="480"/>
        <w:rPr>
          <w:rFonts w:ascii="宋体" w:hAnsi="宋体"/>
          <w:sz w:val="24"/>
          <w:szCs w:val="24"/>
        </w:rPr>
      </w:pPr>
      <w:r>
        <w:rPr>
          <w:rFonts w:hint="eastAsia" w:ascii="宋体" w:hAnsi="宋体"/>
          <w:sz w:val="24"/>
          <w:szCs w:val="24"/>
        </w:rPr>
        <w:t>2、培训要求</w:t>
      </w:r>
    </w:p>
    <w:p>
      <w:pPr>
        <w:snapToGrid w:val="0"/>
        <w:spacing w:line="360" w:lineRule="auto"/>
        <w:ind w:firstLine="480"/>
        <w:rPr>
          <w:rFonts w:ascii="宋体" w:hAnsi="宋体"/>
          <w:sz w:val="24"/>
          <w:szCs w:val="24"/>
        </w:rPr>
      </w:pPr>
      <w:r>
        <w:rPr>
          <w:rFonts w:hint="eastAsia" w:ascii="宋体" w:hAnsi="宋体"/>
          <w:sz w:val="24"/>
          <w:szCs w:val="24"/>
        </w:rPr>
        <w:t>使用培训：主要面向系统使用人员，提供操作培训及操作手册，集中培训不少于3次；若采购方有需求，供方需无条件提供单独科室的使用培训服务；</w:t>
      </w:r>
    </w:p>
    <w:p>
      <w:pPr>
        <w:snapToGrid w:val="0"/>
        <w:spacing w:line="360" w:lineRule="auto"/>
        <w:ind w:firstLine="480"/>
        <w:rPr>
          <w:rFonts w:ascii="宋体" w:hAnsi="宋体"/>
          <w:sz w:val="24"/>
          <w:szCs w:val="24"/>
        </w:rPr>
      </w:pPr>
      <w:r>
        <w:rPr>
          <w:rFonts w:hint="eastAsia" w:ascii="宋体" w:hAnsi="宋体"/>
          <w:sz w:val="24"/>
          <w:szCs w:val="24"/>
        </w:rPr>
        <w:t>日常维护培训：主要面向医院信息科管理人员，指导信息科管理人员建立系统档案、维护记录登记表、巡检记录等；</w:t>
      </w:r>
    </w:p>
    <w:p>
      <w:pPr>
        <w:snapToGrid w:val="0"/>
        <w:spacing w:line="360" w:lineRule="auto"/>
        <w:ind w:firstLine="480"/>
        <w:rPr>
          <w:rFonts w:ascii="宋体" w:hAnsi="宋体"/>
          <w:sz w:val="24"/>
          <w:szCs w:val="24"/>
        </w:rPr>
      </w:pPr>
      <w:r>
        <w:rPr>
          <w:rFonts w:hint="eastAsia" w:ascii="宋体" w:hAnsi="宋体"/>
          <w:sz w:val="24"/>
          <w:szCs w:val="24"/>
        </w:rPr>
        <w:t>3、售后服务要求：</w:t>
      </w:r>
    </w:p>
    <w:p>
      <w:pPr>
        <w:snapToGrid w:val="0"/>
        <w:spacing w:line="360" w:lineRule="auto"/>
        <w:ind w:firstLine="480"/>
        <w:rPr>
          <w:rFonts w:ascii="宋体" w:hAnsi="宋体"/>
          <w:sz w:val="24"/>
          <w:szCs w:val="24"/>
        </w:rPr>
      </w:pPr>
      <w:r>
        <w:rPr>
          <w:rFonts w:hint="eastAsia" w:ascii="宋体" w:hAnsi="宋体"/>
          <w:sz w:val="24"/>
          <w:szCs w:val="24"/>
        </w:rPr>
        <w:t>供应商需提供每天24小时的电话热线咨询服务。对于系统在使用过程中的故障，影响采购方正常工作的情况下，工程技术人员若无法远程处理，则必需在12小时内到达现场维修；</w:t>
      </w:r>
    </w:p>
    <w:p>
      <w:pPr>
        <w:pStyle w:val="34"/>
        <w:spacing w:line="360" w:lineRule="auto"/>
        <w:ind w:firstLine="480"/>
        <w:jc w:val="left"/>
        <w:rPr>
          <w:rFonts w:ascii="宋体" w:hAnsi="宋体" w:cs="宋体"/>
          <w:sz w:val="24"/>
          <w:szCs w:val="24"/>
        </w:rPr>
      </w:pPr>
      <w:r>
        <w:rPr>
          <w:rFonts w:hint="eastAsia" w:ascii="宋体" w:hAnsi="宋体"/>
          <w:sz w:val="24"/>
          <w:szCs w:val="24"/>
        </w:rPr>
        <w:t>供应商需承诺维保期内，一般软件故障48小时内排除故障，紧急软件故障影响采购方大范围工作，需24小时内排除故障。</w:t>
      </w:r>
    </w:p>
    <w:p>
      <w:pPr>
        <w:pStyle w:val="2"/>
        <w:numPr>
          <w:ilvl w:val="0"/>
          <w:numId w:val="0"/>
        </w:numPr>
        <w:tabs>
          <w:tab w:val="clear" w:pos="360"/>
        </w:tabs>
        <w:jc w:val="center"/>
      </w:pPr>
      <w:r>
        <w:rPr>
          <w:rFonts w:hint="eastAsia"/>
        </w:rPr>
        <w:t>第四章  询标方法和程序</w:t>
      </w:r>
    </w:p>
    <w:p>
      <w:pPr>
        <w:spacing w:beforeLines="50" w:line="360" w:lineRule="auto"/>
        <w:ind w:firstLine="482" w:firstLineChars="200"/>
        <w:rPr>
          <w:rFonts w:ascii="宋体" w:hAnsi="宋体"/>
          <w:b/>
          <w:bCs/>
          <w:color w:val="000000"/>
          <w:sz w:val="24"/>
          <w:szCs w:val="24"/>
        </w:rPr>
      </w:pPr>
      <w:r>
        <w:rPr>
          <w:rFonts w:hint="eastAsia" w:ascii="宋体" w:hAnsi="宋体"/>
          <w:b/>
          <w:bCs/>
          <w:color w:val="000000"/>
          <w:sz w:val="24"/>
          <w:szCs w:val="24"/>
        </w:rPr>
        <w:t>一、开标</w:t>
      </w:r>
    </w:p>
    <w:p>
      <w:pPr>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1、招标人在招标文件中预先确定的时间和地点公开进行竞争性谈判，招标人、投标人和有关方面代表参加。</w:t>
      </w:r>
    </w:p>
    <w:p>
      <w:pPr>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2、开标时我公司将查验投标文件密封情况，确认无误后当众拆封投标文件。</w:t>
      </w:r>
    </w:p>
    <w:p>
      <w:pPr>
        <w:spacing w:beforeLines="50" w:line="360" w:lineRule="auto"/>
        <w:ind w:firstLine="482" w:firstLineChars="200"/>
        <w:rPr>
          <w:rFonts w:ascii="宋体" w:hAnsi="宋体"/>
          <w:b/>
          <w:bCs/>
          <w:color w:val="000000"/>
          <w:sz w:val="24"/>
          <w:szCs w:val="24"/>
        </w:rPr>
      </w:pPr>
      <w:r>
        <w:rPr>
          <w:rFonts w:hint="eastAsia" w:ascii="宋体" w:hAnsi="宋体"/>
          <w:b/>
          <w:bCs/>
          <w:color w:val="000000"/>
          <w:sz w:val="24"/>
          <w:szCs w:val="24"/>
        </w:rPr>
        <w:t>二、询标小组</w:t>
      </w:r>
    </w:p>
    <w:p>
      <w:pPr>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询标小组为浙江省</w:t>
      </w:r>
      <w:r>
        <w:rPr>
          <w:rFonts w:ascii="宋体" w:hAnsi="宋体"/>
          <w:color w:val="000000"/>
          <w:sz w:val="24"/>
          <w:szCs w:val="24"/>
        </w:rPr>
        <w:t>肿瘤医院</w:t>
      </w:r>
      <w:r>
        <w:rPr>
          <w:rFonts w:hint="eastAsia" w:ascii="宋体" w:hAnsi="宋体"/>
          <w:color w:val="000000"/>
          <w:sz w:val="24"/>
          <w:szCs w:val="24"/>
        </w:rPr>
        <w:t>领导、特邀专家等相关人员。</w:t>
      </w:r>
    </w:p>
    <w:p>
      <w:pPr>
        <w:spacing w:beforeLines="50" w:line="360" w:lineRule="auto"/>
        <w:ind w:firstLine="482" w:firstLineChars="200"/>
        <w:rPr>
          <w:rFonts w:ascii="宋体" w:hAnsi="宋体"/>
          <w:b/>
          <w:bCs/>
          <w:color w:val="000000"/>
          <w:sz w:val="24"/>
          <w:szCs w:val="24"/>
        </w:rPr>
      </w:pPr>
      <w:r>
        <w:rPr>
          <w:rFonts w:hint="eastAsia" w:ascii="宋体" w:hAnsi="宋体"/>
          <w:b/>
          <w:bCs/>
          <w:color w:val="000000"/>
          <w:sz w:val="24"/>
          <w:szCs w:val="24"/>
        </w:rPr>
        <w:t>三、询标原则和方法</w:t>
      </w:r>
    </w:p>
    <w:p>
      <w:pPr>
        <w:widowControl/>
        <w:autoSpaceDE w:val="0"/>
        <w:autoSpaceDN w:val="0"/>
        <w:spacing w:line="360" w:lineRule="auto"/>
        <w:ind w:firstLine="480" w:firstLineChars="200"/>
        <w:textAlignment w:val="bottom"/>
        <w:rPr>
          <w:rFonts w:ascii="宋体" w:hAnsi="宋体"/>
          <w:b/>
          <w:color w:val="000000"/>
          <w:sz w:val="24"/>
          <w:szCs w:val="24"/>
        </w:rPr>
      </w:pPr>
      <w:r>
        <w:rPr>
          <w:rFonts w:hint="eastAsia" w:ascii="宋体" w:hAnsi="宋体"/>
          <w:color w:val="000000"/>
          <w:sz w:val="24"/>
          <w:szCs w:val="24"/>
        </w:rPr>
        <w:t>询标小组依照《中华人民共和国招投标法》以及相关法律确定询标方法，并遵循公开、公平、公正的原则，询标小组对询标响应方提供产品的性能和技术、交货期限、产品的价格、产品的兼容性及实际运行能力、产品在国际上的先进性、状态、国内用户及售后服务状况、付款方式、资信情况、履约能力、维保费用、医院的实际状况、消耗品的购买价格等进行综合分析考评，</w:t>
      </w:r>
      <w:r>
        <w:rPr>
          <w:rFonts w:hint="eastAsia" w:ascii="宋体" w:hAnsi="宋体"/>
          <w:b/>
          <w:color w:val="000000"/>
          <w:sz w:val="24"/>
          <w:szCs w:val="24"/>
        </w:rPr>
        <w:t>投标前需进性初步调研和项目概要设计并获得院方认可</w:t>
      </w:r>
      <w:r>
        <w:rPr>
          <w:rFonts w:hint="eastAsia" w:ascii="宋体" w:hAnsi="宋体"/>
          <w:color w:val="000000"/>
          <w:sz w:val="24"/>
          <w:szCs w:val="24"/>
        </w:rPr>
        <w:t>（必须满足）。</w:t>
      </w:r>
    </w:p>
    <w:p>
      <w:pPr>
        <w:pStyle w:val="14"/>
        <w:snapToGrid w:val="0"/>
        <w:spacing w:beforeLines="50" w:line="360" w:lineRule="auto"/>
        <w:rPr>
          <w:rFonts w:hAnsi="宋体"/>
          <w:color w:val="000000"/>
          <w:kern w:val="2"/>
          <w:sz w:val="24"/>
          <w:szCs w:val="24"/>
        </w:rPr>
      </w:pPr>
      <w:r>
        <w:rPr>
          <w:rFonts w:hint="eastAsia" w:hAnsi="宋体"/>
          <w:color w:val="000000"/>
          <w:kern w:val="2"/>
          <w:sz w:val="24"/>
          <w:szCs w:val="24"/>
        </w:rPr>
        <w:t xml:space="preserve">   </w:t>
      </w:r>
      <w:r>
        <w:rPr>
          <w:rFonts w:hAnsi="宋体"/>
          <w:color w:val="000000"/>
          <w:kern w:val="2"/>
          <w:sz w:val="24"/>
          <w:szCs w:val="24"/>
        </w:rPr>
        <w:t xml:space="preserve"> </w:t>
      </w:r>
      <w:r>
        <w:rPr>
          <w:rFonts w:hint="eastAsia" w:hAnsi="宋体"/>
          <w:color w:val="000000"/>
          <w:kern w:val="2"/>
          <w:sz w:val="24"/>
          <w:szCs w:val="24"/>
        </w:rPr>
        <w:t>客观</w:t>
      </w:r>
      <w:r>
        <w:rPr>
          <w:rFonts w:hAnsi="宋体"/>
          <w:color w:val="000000"/>
          <w:kern w:val="2"/>
          <w:sz w:val="24"/>
          <w:szCs w:val="24"/>
        </w:rPr>
        <w:t>﹑</w:t>
      </w:r>
      <w:r>
        <w:rPr>
          <w:rFonts w:hint="eastAsia" w:hAnsi="宋体"/>
          <w:color w:val="000000"/>
          <w:kern w:val="2"/>
          <w:sz w:val="24"/>
          <w:szCs w:val="24"/>
        </w:rPr>
        <w:t>公正的对待所有询标响应方，对所有询标评价，均采用相同的程序和标准。在询标期间，询标响应方不得向询标小组成员询问询标情况，不得进行旨在影响询标结果的活动。否则将废除其参加询标资格。</w:t>
      </w:r>
    </w:p>
    <w:p>
      <w:pPr>
        <w:pStyle w:val="14"/>
        <w:snapToGrid w:val="0"/>
        <w:spacing w:beforeLines="50" w:line="360" w:lineRule="auto"/>
        <w:ind w:firstLine="570"/>
        <w:rPr>
          <w:rFonts w:hAnsi="宋体"/>
          <w:color w:val="000000"/>
          <w:kern w:val="2"/>
          <w:sz w:val="24"/>
          <w:szCs w:val="24"/>
        </w:rPr>
      </w:pPr>
      <w:r>
        <w:rPr>
          <w:rFonts w:hint="eastAsia" w:hAnsi="宋体"/>
          <w:color w:val="000000"/>
          <w:kern w:val="2"/>
          <w:sz w:val="24"/>
          <w:szCs w:val="24"/>
        </w:rPr>
        <w:t>在询标过程中，询标小组成员不得与询标响应方私下交换意见，在询标工作结束后，凡与询标情况有接触的任何人不得将询标情况扩散出询标小组成员之外。</w:t>
      </w:r>
    </w:p>
    <w:p>
      <w:pPr>
        <w:widowControl/>
        <w:autoSpaceDE w:val="0"/>
        <w:autoSpaceDN w:val="0"/>
        <w:spacing w:beforeLines="50" w:line="360" w:lineRule="auto"/>
        <w:ind w:firstLine="480" w:firstLineChars="200"/>
        <w:jc w:val="left"/>
        <w:textAlignment w:val="bottom"/>
        <w:rPr>
          <w:rFonts w:ascii="宋体" w:hAnsi="宋体"/>
          <w:color w:val="000000"/>
          <w:sz w:val="24"/>
          <w:szCs w:val="24"/>
        </w:rPr>
      </w:pPr>
      <w:r>
        <w:rPr>
          <w:rFonts w:hint="eastAsia" w:ascii="宋体" w:hAnsi="宋体"/>
          <w:color w:val="000000"/>
          <w:sz w:val="24"/>
          <w:szCs w:val="24"/>
        </w:rPr>
        <w:t>询标小组不向落标方解释落标原因，不退还询标文件。</w:t>
      </w:r>
    </w:p>
    <w:p>
      <w:pPr>
        <w:widowControl/>
        <w:autoSpaceDE w:val="0"/>
        <w:autoSpaceDN w:val="0"/>
        <w:spacing w:beforeLines="50" w:line="360" w:lineRule="auto"/>
        <w:ind w:firstLine="482" w:firstLineChars="200"/>
        <w:jc w:val="left"/>
        <w:textAlignment w:val="bottom"/>
        <w:rPr>
          <w:rFonts w:ascii="宋体" w:hAnsi="宋体"/>
          <w:b/>
          <w:color w:val="000000"/>
          <w:sz w:val="24"/>
          <w:szCs w:val="24"/>
        </w:rPr>
      </w:pPr>
      <w:r>
        <w:rPr>
          <w:rFonts w:hint="eastAsia" w:ascii="宋体" w:hAnsi="宋体"/>
          <w:b/>
          <w:color w:val="000000"/>
          <w:sz w:val="24"/>
          <w:szCs w:val="24"/>
        </w:rPr>
        <w:t>询标小组根据最终有效报价和询标情况综合考评用排序法推荐中标候选单位。</w:t>
      </w:r>
    </w:p>
    <w:p>
      <w:pPr>
        <w:spacing w:beforeLines="50" w:line="360" w:lineRule="auto"/>
        <w:ind w:firstLine="482" w:firstLineChars="200"/>
        <w:rPr>
          <w:rFonts w:ascii="宋体" w:hAnsi="宋体"/>
          <w:b/>
          <w:bCs/>
          <w:color w:val="000000"/>
          <w:sz w:val="24"/>
          <w:szCs w:val="24"/>
        </w:rPr>
      </w:pPr>
      <w:r>
        <w:rPr>
          <w:rFonts w:hint="eastAsia" w:ascii="宋体" w:hAnsi="宋体"/>
          <w:b/>
          <w:bCs/>
          <w:color w:val="000000"/>
          <w:sz w:val="24"/>
          <w:szCs w:val="24"/>
        </w:rPr>
        <w:t>四、询标程序</w:t>
      </w:r>
    </w:p>
    <w:p>
      <w:pPr>
        <w:pStyle w:val="14"/>
        <w:snapToGrid w:val="0"/>
        <w:spacing w:beforeLines="50" w:line="360" w:lineRule="auto"/>
        <w:ind w:firstLine="480" w:firstLineChars="200"/>
        <w:rPr>
          <w:rFonts w:hAnsi="宋体"/>
          <w:bCs/>
          <w:color w:val="000000"/>
          <w:sz w:val="24"/>
          <w:szCs w:val="24"/>
        </w:rPr>
      </w:pPr>
      <w:r>
        <w:rPr>
          <w:rFonts w:hint="eastAsia" w:hAnsi="宋体"/>
          <w:bCs/>
          <w:color w:val="000000"/>
          <w:sz w:val="24"/>
          <w:szCs w:val="24"/>
        </w:rPr>
        <w:t>（一）、询标小组审核投标文件。</w:t>
      </w:r>
    </w:p>
    <w:p>
      <w:pPr>
        <w:widowControl/>
        <w:autoSpaceDE w:val="0"/>
        <w:autoSpaceDN w:val="0"/>
        <w:spacing w:beforeLines="50" w:line="360" w:lineRule="auto"/>
        <w:ind w:firstLine="480" w:firstLineChars="200"/>
        <w:jc w:val="left"/>
        <w:textAlignment w:val="bottom"/>
        <w:rPr>
          <w:rFonts w:ascii="宋体" w:hAnsi="宋体"/>
          <w:color w:val="000000"/>
          <w:sz w:val="24"/>
          <w:szCs w:val="24"/>
        </w:rPr>
      </w:pPr>
      <w:r>
        <w:rPr>
          <w:rFonts w:hint="eastAsia" w:ascii="宋体" w:hAnsi="宋体"/>
          <w:color w:val="000000"/>
          <w:sz w:val="24"/>
          <w:szCs w:val="24"/>
        </w:rPr>
        <w:t>（二）、询标小组汇总并讨论审核情况。</w:t>
      </w:r>
    </w:p>
    <w:p>
      <w:pPr>
        <w:pStyle w:val="14"/>
        <w:snapToGrid w:val="0"/>
        <w:spacing w:beforeLines="50" w:line="360" w:lineRule="auto"/>
        <w:ind w:firstLine="480" w:firstLineChars="200"/>
        <w:rPr>
          <w:rFonts w:hAnsi="宋体"/>
          <w:bCs/>
          <w:color w:val="000000"/>
          <w:sz w:val="24"/>
          <w:szCs w:val="24"/>
        </w:rPr>
      </w:pPr>
      <w:r>
        <w:rPr>
          <w:rFonts w:hint="eastAsia" w:hAnsi="宋体"/>
          <w:bCs/>
          <w:color w:val="000000"/>
          <w:sz w:val="24"/>
          <w:szCs w:val="24"/>
        </w:rPr>
        <w:t>（三）、按标项与各投标商进行商谈。</w:t>
      </w:r>
    </w:p>
    <w:p>
      <w:pPr>
        <w:pStyle w:val="14"/>
        <w:snapToGrid w:val="0"/>
        <w:spacing w:beforeLines="50" w:line="360" w:lineRule="auto"/>
        <w:ind w:firstLine="480" w:firstLineChars="200"/>
        <w:rPr>
          <w:rFonts w:hAnsi="宋体"/>
          <w:bCs/>
          <w:color w:val="000000"/>
          <w:sz w:val="24"/>
          <w:szCs w:val="24"/>
        </w:rPr>
      </w:pPr>
      <w:r>
        <w:rPr>
          <w:rFonts w:hint="eastAsia" w:hAnsi="宋体"/>
          <w:bCs/>
          <w:color w:val="000000"/>
          <w:sz w:val="24"/>
          <w:szCs w:val="24"/>
        </w:rPr>
        <w:t>（四）、询标小组对商谈的情况进行综合评议。</w:t>
      </w:r>
    </w:p>
    <w:p>
      <w:pPr>
        <w:pStyle w:val="14"/>
        <w:snapToGrid w:val="0"/>
        <w:spacing w:beforeLines="50" w:line="360" w:lineRule="auto"/>
        <w:ind w:firstLine="480" w:firstLineChars="200"/>
        <w:rPr>
          <w:rFonts w:hAnsi="宋体"/>
          <w:bCs/>
          <w:color w:val="000000"/>
          <w:sz w:val="24"/>
          <w:szCs w:val="24"/>
        </w:rPr>
      </w:pPr>
      <w:r>
        <w:rPr>
          <w:rFonts w:hint="eastAsia" w:hAnsi="宋体"/>
          <w:bCs/>
          <w:color w:val="000000"/>
          <w:sz w:val="24"/>
          <w:szCs w:val="24"/>
        </w:rPr>
        <w:t>（五）、询标小组根据综合情况讨论并用记名方式投票推荐中标商。</w:t>
      </w:r>
    </w:p>
    <w:p>
      <w:pPr>
        <w:pStyle w:val="14"/>
        <w:snapToGrid w:val="0"/>
        <w:spacing w:beforeLines="50" w:line="360" w:lineRule="auto"/>
        <w:ind w:firstLine="480" w:firstLineChars="200"/>
        <w:rPr>
          <w:rFonts w:hAnsi="宋体"/>
          <w:bCs/>
          <w:color w:val="000000"/>
          <w:sz w:val="24"/>
          <w:szCs w:val="24"/>
        </w:rPr>
      </w:pPr>
      <w:r>
        <w:rPr>
          <w:rFonts w:hint="eastAsia" w:hAnsi="宋体"/>
          <w:bCs/>
          <w:color w:val="000000"/>
          <w:sz w:val="24"/>
          <w:szCs w:val="24"/>
        </w:rPr>
        <w:t>（六）、询标小组拟制中标报告。</w:t>
      </w:r>
    </w:p>
    <w:p>
      <w:pPr>
        <w:widowControl/>
        <w:autoSpaceDE w:val="0"/>
        <w:autoSpaceDN w:val="0"/>
        <w:spacing w:beforeLines="50" w:line="360" w:lineRule="auto"/>
        <w:ind w:firstLine="482" w:firstLineChars="200"/>
        <w:jc w:val="left"/>
        <w:textAlignment w:val="bottom"/>
        <w:rPr>
          <w:rFonts w:ascii="宋体" w:hAnsi="宋体"/>
          <w:b/>
          <w:bCs/>
          <w:color w:val="000000"/>
          <w:sz w:val="24"/>
          <w:szCs w:val="24"/>
        </w:rPr>
      </w:pPr>
      <w:r>
        <w:rPr>
          <w:rFonts w:hint="eastAsia" w:ascii="宋体" w:hAnsi="宋体"/>
          <w:b/>
          <w:bCs/>
          <w:color w:val="000000"/>
          <w:sz w:val="24"/>
          <w:szCs w:val="24"/>
        </w:rPr>
        <w:t>五、中标通知</w:t>
      </w:r>
    </w:p>
    <w:p>
      <w:pPr>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评标结束后，我公司将于三十个工作日内在向</w:t>
      </w:r>
      <w:r>
        <w:rPr>
          <w:rFonts w:hint="eastAsia" w:ascii="宋体" w:hAnsi="宋体"/>
          <w:color w:val="000000"/>
          <w:sz w:val="24"/>
          <w:szCs w:val="24"/>
          <w:lang w:eastAsia="zh-CN"/>
        </w:rPr>
        <w:t>医院官方网站</w:t>
      </w:r>
      <w:r>
        <w:rPr>
          <w:rFonts w:hint="eastAsia" w:ascii="宋体" w:hAnsi="宋体"/>
          <w:color w:val="000000"/>
          <w:sz w:val="24"/>
          <w:szCs w:val="24"/>
        </w:rPr>
        <w:t>发出中标通知书。</w:t>
      </w:r>
    </w:p>
    <w:p>
      <w:pPr>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中标通知书发出后，若中标供应商放弃中标，应当承担相应的法律责任，中标通知书对招标人和中标供应商具有同等法律效力。</w:t>
      </w:r>
    </w:p>
    <w:p>
      <w:pPr>
        <w:spacing w:line="360" w:lineRule="auto"/>
        <w:ind w:left="925"/>
        <w:jc w:val="center"/>
        <w:rPr>
          <w:rFonts w:ascii="宋体" w:hAnsi="宋体"/>
          <w:b/>
          <w:bCs/>
          <w:color w:val="000000"/>
          <w:sz w:val="24"/>
          <w:szCs w:val="24"/>
        </w:rPr>
      </w:pPr>
    </w:p>
    <w:p>
      <w:pPr>
        <w:spacing w:line="360" w:lineRule="auto"/>
        <w:rPr>
          <w:rFonts w:ascii="宋体" w:hAnsi="宋体"/>
          <w:b/>
          <w:bCs/>
          <w:color w:val="000000"/>
          <w:sz w:val="24"/>
          <w:szCs w:val="24"/>
        </w:rPr>
      </w:pPr>
    </w:p>
    <w:p>
      <w:pPr>
        <w:spacing w:line="360" w:lineRule="auto"/>
        <w:ind w:left="925"/>
        <w:jc w:val="center"/>
        <w:rPr>
          <w:rFonts w:ascii="宋体" w:hAnsi="宋体"/>
          <w:b/>
          <w:bCs/>
          <w:color w:val="000000"/>
          <w:szCs w:val="21"/>
        </w:rPr>
      </w:pPr>
    </w:p>
    <w:p>
      <w:pPr>
        <w:spacing w:line="440" w:lineRule="exact"/>
        <w:ind w:left="925"/>
        <w:jc w:val="center"/>
        <w:rPr>
          <w:rFonts w:ascii="宋体" w:hAnsi="宋体"/>
          <w:b/>
          <w:bCs/>
          <w:color w:val="000000"/>
          <w:sz w:val="36"/>
        </w:rPr>
        <w:sectPr>
          <w:pgSz w:w="11906" w:h="16838"/>
          <w:pgMar w:top="1418" w:right="1466" w:bottom="1402" w:left="1620" w:header="794" w:footer="907" w:gutter="0"/>
          <w:pgNumType w:start="1"/>
          <w:cols w:space="425" w:num="1"/>
          <w:titlePg/>
          <w:docGrid w:type="lines" w:linePitch="312" w:charSpace="0"/>
        </w:sectPr>
      </w:pPr>
    </w:p>
    <w:p>
      <w:pPr>
        <w:pStyle w:val="2"/>
        <w:numPr>
          <w:ilvl w:val="0"/>
          <w:numId w:val="0"/>
        </w:numPr>
        <w:tabs>
          <w:tab w:val="clear" w:pos="360"/>
        </w:tabs>
        <w:jc w:val="center"/>
      </w:pPr>
      <w:r>
        <w:rPr>
          <w:rFonts w:hint="eastAsia"/>
        </w:rPr>
        <w:t>第五章  附  件</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附件一：投标书……………………………………………………………………（2）</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附件二：开标一览表………………………………………………………………（3）</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附件三：项目负责人简历表………………………………………………………（4）</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附件四：法定代表人授权书………………………………………………………（5）</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附件五：诚信承诺书………………………………………………………………（6）</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附件六：专业服务（技术）能力的承诺函………………………………………（7）</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附件七：没有重大违法记录的声明函……………………………………………（8）</w:t>
      </w:r>
    </w:p>
    <w:p>
      <w:pPr>
        <w:shd w:val="clear" w:color="auto" w:fill="FFFFFF"/>
        <w:adjustRightInd w:val="0"/>
        <w:snapToGri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附件八：项目合同…………………………………………………………………（9）</w:t>
      </w:r>
    </w:p>
    <w:p>
      <w:pPr>
        <w:shd w:val="clear" w:color="auto" w:fill="FFFFFF"/>
        <w:adjustRightInd w:val="0"/>
        <w:snapToGrid w:val="0"/>
        <w:spacing w:line="360" w:lineRule="auto"/>
        <w:rPr>
          <w:rFonts w:ascii="宋体" w:hAnsi="宋体" w:cs="宋体"/>
          <w:color w:val="000000"/>
          <w:kern w:val="0"/>
          <w:sz w:val="24"/>
          <w:szCs w:val="24"/>
        </w:rPr>
      </w:pPr>
    </w:p>
    <w:p>
      <w:pPr>
        <w:adjustRightInd w:val="0"/>
        <w:snapToGrid w:val="0"/>
        <w:spacing w:line="720" w:lineRule="auto"/>
        <w:jc w:val="center"/>
        <w:rPr>
          <w:rFonts w:ascii="宋体" w:hAnsi="宋体"/>
          <w:b/>
          <w:bCs/>
          <w:color w:val="000000"/>
          <w:sz w:val="44"/>
        </w:rPr>
      </w:pPr>
    </w:p>
    <w:p>
      <w:pPr>
        <w:adjustRightInd w:val="0"/>
        <w:snapToGrid w:val="0"/>
        <w:ind w:left="263" w:leftChars="28" w:hanging="204" w:hangingChars="85"/>
        <w:rPr>
          <w:rFonts w:ascii="宋体" w:hAnsi="宋体"/>
          <w:color w:val="000000"/>
          <w:sz w:val="24"/>
        </w:rPr>
        <w:sectPr>
          <w:pgSz w:w="11906" w:h="16838"/>
          <w:pgMar w:top="1418" w:right="1466" w:bottom="1402" w:left="1620" w:header="794" w:footer="907" w:gutter="0"/>
          <w:pgNumType w:start="1"/>
          <w:cols w:space="425" w:num="1"/>
          <w:titlePg/>
          <w:docGrid w:type="lines" w:linePitch="312" w:charSpace="0"/>
        </w:sectPr>
      </w:pPr>
    </w:p>
    <w:p>
      <w:pPr>
        <w:adjustRightInd w:val="0"/>
        <w:snapToGrid w:val="0"/>
        <w:spacing w:line="440" w:lineRule="atLeast"/>
        <w:rPr>
          <w:rFonts w:ascii="宋体" w:hAnsi="宋体"/>
          <w:color w:val="000000"/>
          <w:sz w:val="24"/>
        </w:rPr>
      </w:pPr>
      <w:r>
        <w:rPr>
          <w:rFonts w:hint="eastAsia" w:ascii="宋体" w:hAnsi="宋体"/>
          <w:color w:val="000000"/>
          <w:sz w:val="24"/>
        </w:rPr>
        <w:t>附件一</w:t>
      </w:r>
    </w:p>
    <w:p>
      <w:pPr>
        <w:pStyle w:val="3"/>
        <w:numPr>
          <w:ilvl w:val="1"/>
          <w:numId w:val="0"/>
        </w:numPr>
        <w:tabs>
          <w:tab w:val="clear" w:pos="720"/>
        </w:tabs>
        <w:jc w:val="center"/>
        <w:rPr>
          <w:b w:val="0"/>
          <w:bCs w:val="0"/>
          <w:sz w:val="36"/>
          <w:szCs w:val="36"/>
        </w:rPr>
      </w:pPr>
      <w:r>
        <w:rPr>
          <w:rFonts w:hint="eastAsia"/>
          <w:b w:val="0"/>
          <w:bCs w:val="0"/>
          <w:sz w:val="36"/>
          <w:szCs w:val="36"/>
        </w:rPr>
        <w:t>投 标 书</w:t>
      </w:r>
    </w:p>
    <w:p>
      <w:pPr>
        <w:adjustRightInd w:val="0"/>
        <w:snapToGrid w:val="0"/>
        <w:spacing w:line="440" w:lineRule="atLeast"/>
        <w:ind w:left="540" w:firstLine="588" w:firstLineChars="210"/>
        <w:rPr>
          <w:rFonts w:ascii="宋体" w:hAnsi="宋体"/>
          <w:color w:val="000000"/>
          <w:sz w:val="28"/>
        </w:rPr>
      </w:pPr>
    </w:p>
    <w:p>
      <w:pPr>
        <w:adjustRightInd w:val="0"/>
        <w:snapToGrid w:val="0"/>
        <w:spacing w:line="440" w:lineRule="atLeast"/>
        <w:jc w:val="left"/>
        <w:rPr>
          <w:rFonts w:ascii="宋体" w:hAnsi="宋体"/>
          <w:color w:val="000000"/>
          <w:sz w:val="36"/>
          <w:szCs w:val="30"/>
        </w:rPr>
      </w:pPr>
      <w:r>
        <w:rPr>
          <w:rFonts w:hint="eastAsia" w:ascii="宋体" w:hAnsi="宋体"/>
          <w:color w:val="000000"/>
          <w:sz w:val="36"/>
          <w:szCs w:val="30"/>
        </w:rPr>
        <w:t>浙江省肿瘤医院</w:t>
      </w:r>
    </w:p>
    <w:p>
      <w:pPr>
        <w:adjustRightInd w:val="0"/>
        <w:snapToGrid w:val="0"/>
        <w:spacing w:line="440" w:lineRule="atLeast"/>
        <w:jc w:val="left"/>
        <w:rPr>
          <w:rFonts w:ascii="宋体" w:hAnsi="宋体"/>
          <w:b/>
          <w:bCs/>
          <w:color w:val="000000"/>
          <w:sz w:val="32"/>
          <w:szCs w:val="32"/>
        </w:rPr>
      </w:pP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我方已详细审查全部招标文件，完全同意该文件的各项要求并认同其合法性，为此,</w:t>
      </w:r>
      <w:r>
        <w:rPr>
          <w:rFonts w:ascii="宋体" w:hAnsi="宋体"/>
          <w:color w:val="000000"/>
          <w:sz w:val="30"/>
          <w:szCs w:val="30"/>
          <w:u w:val="single"/>
        </w:rPr>
        <w:t xml:space="preserve"> (</w:t>
      </w:r>
      <w:r>
        <w:rPr>
          <w:rFonts w:hint="eastAsia" w:ascii="宋体" w:hAnsi="宋体"/>
          <w:color w:val="000000"/>
          <w:sz w:val="30"/>
          <w:szCs w:val="30"/>
          <w:u w:val="single"/>
        </w:rPr>
        <w:t>供货商全称</w:t>
      </w:r>
      <w:r>
        <w:rPr>
          <w:rFonts w:ascii="宋体" w:hAnsi="宋体"/>
          <w:color w:val="000000"/>
          <w:sz w:val="30"/>
          <w:szCs w:val="30"/>
          <w:u w:val="single"/>
        </w:rPr>
        <w:t>)</w:t>
      </w:r>
      <w:r>
        <w:rPr>
          <w:rFonts w:hint="eastAsia" w:ascii="宋体" w:hAnsi="宋体"/>
          <w:color w:val="000000"/>
          <w:sz w:val="30"/>
          <w:szCs w:val="30"/>
          <w:u w:val="single"/>
        </w:rPr>
        <w:t xml:space="preserve">                  </w:t>
      </w:r>
      <w:r>
        <w:rPr>
          <w:rFonts w:hint="eastAsia" w:ascii="宋体" w:hAnsi="宋体"/>
          <w:color w:val="000000"/>
          <w:sz w:val="30"/>
          <w:szCs w:val="30"/>
        </w:rPr>
        <w:t>授权</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hint="eastAsia" w:ascii="宋体" w:hAnsi="宋体"/>
          <w:color w:val="000000"/>
          <w:sz w:val="30"/>
          <w:szCs w:val="30"/>
        </w:rPr>
        <w:t>（全名、职务）为全权代表，参加贵方组织的</w:t>
      </w:r>
      <w:r>
        <w:rPr>
          <w:rFonts w:ascii="宋体" w:hAnsi="宋体"/>
          <w:color w:val="000000"/>
          <w:sz w:val="30"/>
          <w:szCs w:val="30"/>
          <w:u w:val="single"/>
        </w:rPr>
        <w:t xml:space="preserve">              </w:t>
      </w:r>
      <w:r>
        <w:rPr>
          <w:rFonts w:hint="eastAsia" w:ascii="宋体" w:hAnsi="宋体"/>
          <w:color w:val="000000"/>
          <w:sz w:val="30"/>
          <w:szCs w:val="30"/>
        </w:rPr>
        <w:t>（项目名称）（编号为         ）招标有关活动。并保证在该项目的投标文件中所有内容完全属实，绝不存在虚假应标，按要求编制投标书，并且同意在投标有效期内不撤回已经确认的条款，而且还提供招标人可能要求的与其投标有关的任何数据或资料，若有虚假应标，愿意接受没收投标保证金的处理。</w:t>
      </w:r>
    </w:p>
    <w:p>
      <w:pPr>
        <w:adjustRightInd w:val="0"/>
        <w:snapToGrid w:val="0"/>
        <w:spacing w:line="600" w:lineRule="exact"/>
        <w:ind w:firstLine="600" w:firstLineChars="200"/>
        <w:jc w:val="left"/>
        <w:rPr>
          <w:rFonts w:ascii="宋体" w:hAnsi="宋体"/>
          <w:color w:val="000000"/>
          <w:sz w:val="30"/>
          <w:szCs w:val="30"/>
        </w:rPr>
      </w:pPr>
    </w:p>
    <w:p>
      <w:pPr>
        <w:adjustRightInd w:val="0"/>
        <w:snapToGrid w:val="0"/>
        <w:spacing w:line="600" w:lineRule="exact"/>
        <w:ind w:firstLine="600" w:firstLineChars="200"/>
        <w:jc w:val="left"/>
        <w:rPr>
          <w:rFonts w:ascii="宋体" w:hAnsi="宋体"/>
          <w:color w:val="000000"/>
          <w:sz w:val="30"/>
          <w:szCs w:val="30"/>
        </w:rPr>
      </w:pP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供应商全权代表签字：</w:t>
      </w: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供应商名称（公章）：</w:t>
      </w: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地址：</w:t>
      </w: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邮编：</w:t>
      </w: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传真：</w:t>
      </w: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电话：</w:t>
      </w:r>
    </w:p>
    <w:p>
      <w:pPr>
        <w:adjustRightInd w:val="0"/>
        <w:snapToGrid w:val="0"/>
        <w:spacing w:line="600" w:lineRule="exact"/>
        <w:ind w:firstLine="600" w:firstLineChars="200"/>
        <w:jc w:val="left"/>
        <w:rPr>
          <w:rFonts w:ascii="宋体" w:hAnsi="宋体"/>
          <w:color w:val="000000"/>
          <w:sz w:val="30"/>
          <w:szCs w:val="30"/>
        </w:rPr>
      </w:pPr>
      <w:r>
        <w:rPr>
          <w:rFonts w:hint="eastAsia" w:ascii="宋体" w:hAnsi="宋体"/>
          <w:color w:val="000000"/>
          <w:sz w:val="30"/>
          <w:szCs w:val="30"/>
        </w:rPr>
        <w:t>电子邮件：</w:t>
      </w:r>
    </w:p>
    <w:p>
      <w:pPr>
        <w:adjustRightInd w:val="0"/>
        <w:snapToGrid w:val="0"/>
        <w:spacing w:line="600" w:lineRule="exact"/>
        <w:ind w:firstLine="600" w:firstLineChars="200"/>
        <w:jc w:val="left"/>
        <w:rPr>
          <w:rFonts w:ascii="宋体" w:hAnsi="宋体"/>
          <w:color w:val="000000"/>
          <w:sz w:val="30"/>
          <w:szCs w:val="30"/>
        </w:rPr>
        <w:sectPr>
          <w:type w:val="nextColumn"/>
          <w:pgSz w:w="11906" w:h="16838"/>
          <w:pgMar w:top="1418" w:right="1134" w:bottom="1304" w:left="1418" w:header="794" w:footer="907" w:gutter="0"/>
          <w:cols w:space="425" w:num="1"/>
          <w:titlePg/>
          <w:docGrid w:type="lines" w:linePitch="312" w:charSpace="0"/>
        </w:sectPr>
      </w:pPr>
      <w:r>
        <w:rPr>
          <w:rFonts w:hint="eastAsia" w:ascii="宋体" w:hAnsi="宋体"/>
          <w:color w:val="000000"/>
          <w:sz w:val="30"/>
          <w:szCs w:val="30"/>
        </w:rPr>
        <w:t>投标日期：</w:t>
      </w:r>
    </w:p>
    <w:p>
      <w:pPr>
        <w:adjustRightInd w:val="0"/>
        <w:snapToGrid w:val="0"/>
        <w:spacing w:line="440" w:lineRule="atLeast"/>
        <w:ind w:firstLine="560" w:firstLineChars="200"/>
        <w:jc w:val="left"/>
        <w:rPr>
          <w:rFonts w:ascii="宋体" w:hAnsi="宋体"/>
          <w:color w:val="000000"/>
          <w:spacing w:val="20"/>
          <w:sz w:val="24"/>
        </w:rPr>
      </w:pPr>
      <w:r>
        <w:rPr>
          <w:rFonts w:hint="eastAsia" w:ascii="宋体" w:hAnsi="宋体"/>
          <w:color w:val="000000"/>
          <w:spacing w:val="20"/>
          <w:sz w:val="24"/>
        </w:rPr>
        <w:t>附件二</w:t>
      </w:r>
    </w:p>
    <w:p>
      <w:pPr>
        <w:pStyle w:val="3"/>
        <w:numPr>
          <w:ilvl w:val="1"/>
          <w:numId w:val="0"/>
        </w:numPr>
        <w:tabs>
          <w:tab w:val="clear" w:pos="720"/>
        </w:tabs>
        <w:jc w:val="center"/>
        <w:rPr>
          <w:sz w:val="36"/>
          <w:szCs w:val="36"/>
        </w:rPr>
      </w:pPr>
      <w:r>
        <w:rPr>
          <w:rFonts w:hint="eastAsia"/>
          <w:sz w:val="36"/>
          <w:szCs w:val="36"/>
        </w:rPr>
        <w:t>开 标 一 览 表</w:t>
      </w:r>
    </w:p>
    <w:p>
      <w:pPr>
        <w:adjustRightInd w:val="0"/>
        <w:snapToGrid w:val="0"/>
        <w:jc w:val="center"/>
        <w:rPr>
          <w:rFonts w:ascii="宋体" w:hAnsi="宋体"/>
          <w:color w:val="000000"/>
          <w:spacing w:val="20"/>
          <w:sz w:val="32"/>
        </w:rPr>
      </w:pPr>
    </w:p>
    <w:p>
      <w:pPr>
        <w:shd w:val="clear" w:color="auto" w:fill="FFFFFF"/>
        <w:adjustRightInd w:val="0"/>
        <w:snapToGrid w:val="0"/>
        <w:spacing w:line="360" w:lineRule="auto"/>
        <w:rPr>
          <w:rFonts w:ascii="宋体" w:hAnsi="宋体" w:cs="宋体"/>
          <w:b/>
          <w:bCs/>
          <w:color w:val="000000"/>
          <w:sz w:val="24"/>
        </w:rPr>
      </w:pPr>
      <w:r>
        <w:rPr>
          <w:rFonts w:hint="eastAsia" w:ascii="宋体" w:hAnsi="宋体" w:cs="宋体"/>
          <w:color w:val="000000"/>
          <w:sz w:val="24"/>
        </w:rPr>
        <w:t>浙江省肿瘤医院：</w:t>
      </w:r>
    </w:p>
    <w:p>
      <w:pPr>
        <w:adjustRightInd w:val="0"/>
        <w:snapToGrid w:val="0"/>
        <w:spacing w:afterLines="50" w:line="360" w:lineRule="auto"/>
        <w:ind w:firstLine="420"/>
        <w:rPr>
          <w:rFonts w:ascii="宋体" w:hAnsi="宋体"/>
          <w:color w:val="000000"/>
          <w:spacing w:val="20"/>
          <w:sz w:val="28"/>
        </w:rPr>
      </w:pPr>
      <w:r>
        <w:rPr>
          <w:rFonts w:hint="eastAsia" w:ascii="宋体" w:hAnsi="宋体" w:cs="宋体"/>
          <w:color w:val="000000"/>
          <w:kern w:val="0"/>
          <w:sz w:val="24"/>
          <w:lang w:val="zh-CN"/>
        </w:rPr>
        <w:t>按你方招标文件要求，谨此向你方发出要约如下：如你方接受本投标文件，我方承诺按照如下开标一览表的价格完成编号为</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kern w:val="0"/>
          <w:sz w:val="24"/>
          <w:lang w:val="zh-CN"/>
        </w:rPr>
        <w:t>的招标文件实施。</w:t>
      </w:r>
    </w:p>
    <w:tbl>
      <w:tblPr>
        <w:tblStyle w:val="28"/>
        <w:tblW w:w="903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9"/>
        <w:gridCol w:w="3759"/>
        <w:gridCol w:w="1164"/>
        <w:gridCol w:w="1984"/>
        <w:gridCol w:w="99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139" w:type="dxa"/>
            <w:vAlign w:val="center"/>
          </w:tcPr>
          <w:p>
            <w:pPr>
              <w:adjustRightInd w:val="0"/>
              <w:snapToGrid w:val="0"/>
              <w:jc w:val="center"/>
              <w:rPr>
                <w:rFonts w:ascii="宋体" w:hAnsi="宋体"/>
                <w:color w:val="000000"/>
                <w:spacing w:val="20"/>
                <w:sz w:val="30"/>
                <w:szCs w:val="30"/>
              </w:rPr>
            </w:pPr>
            <w:r>
              <w:rPr>
                <w:rFonts w:hint="eastAsia" w:ascii="宋体" w:hAnsi="宋体"/>
                <w:color w:val="000000"/>
                <w:spacing w:val="20"/>
                <w:sz w:val="30"/>
                <w:szCs w:val="30"/>
              </w:rPr>
              <w:t>标项</w:t>
            </w:r>
          </w:p>
        </w:tc>
        <w:tc>
          <w:tcPr>
            <w:tcW w:w="3759" w:type="dxa"/>
            <w:vAlign w:val="center"/>
          </w:tcPr>
          <w:p>
            <w:pPr>
              <w:adjustRightInd w:val="0"/>
              <w:snapToGrid w:val="0"/>
              <w:jc w:val="center"/>
              <w:rPr>
                <w:rFonts w:ascii="宋体" w:hAnsi="宋体"/>
                <w:color w:val="000000"/>
                <w:spacing w:val="20"/>
                <w:sz w:val="30"/>
                <w:szCs w:val="30"/>
              </w:rPr>
            </w:pPr>
            <w:r>
              <w:rPr>
                <w:rFonts w:hint="eastAsia" w:ascii="宋体" w:hAnsi="宋体"/>
                <w:color w:val="000000"/>
                <w:spacing w:val="20"/>
                <w:sz w:val="30"/>
                <w:szCs w:val="30"/>
              </w:rPr>
              <w:t>项目工程名称</w:t>
            </w:r>
          </w:p>
        </w:tc>
        <w:tc>
          <w:tcPr>
            <w:tcW w:w="1164" w:type="dxa"/>
            <w:vAlign w:val="center"/>
          </w:tcPr>
          <w:p>
            <w:pPr>
              <w:adjustRightInd w:val="0"/>
              <w:snapToGrid w:val="0"/>
              <w:jc w:val="center"/>
              <w:rPr>
                <w:rFonts w:ascii="宋体" w:hAnsi="宋体"/>
                <w:color w:val="000000"/>
                <w:spacing w:val="20"/>
                <w:sz w:val="30"/>
                <w:szCs w:val="30"/>
              </w:rPr>
            </w:pPr>
            <w:r>
              <w:rPr>
                <w:rFonts w:hint="eastAsia" w:ascii="宋体" w:hAnsi="宋体"/>
                <w:color w:val="000000"/>
                <w:spacing w:val="20"/>
                <w:sz w:val="30"/>
                <w:szCs w:val="30"/>
              </w:rPr>
              <w:t>数量</w:t>
            </w:r>
          </w:p>
        </w:tc>
        <w:tc>
          <w:tcPr>
            <w:tcW w:w="1984" w:type="dxa"/>
            <w:vAlign w:val="center"/>
          </w:tcPr>
          <w:p>
            <w:pPr>
              <w:adjustRightInd w:val="0"/>
              <w:snapToGrid w:val="0"/>
              <w:jc w:val="center"/>
              <w:rPr>
                <w:rFonts w:ascii="宋体" w:hAnsi="宋体"/>
                <w:color w:val="000000"/>
                <w:spacing w:val="20"/>
                <w:sz w:val="30"/>
                <w:szCs w:val="30"/>
              </w:rPr>
            </w:pPr>
            <w:r>
              <w:rPr>
                <w:rFonts w:hint="eastAsia" w:ascii="宋体" w:hAnsi="宋体"/>
                <w:color w:val="000000"/>
                <w:spacing w:val="20"/>
                <w:sz w:val="30"/>
                <w:szCs w:val="30"/>
              </w:rPr>
              <w:t>金额（万元）</w:t>
            </w:r>
          </w:p>
        </w:tc>
        <w:tc>
          <w:tcPr>
            <w:tcW w:w="993" w:type="dxa"/>
            <w:vAlign w:val="center"/>
          </w:tcPr>
          <w:p>
            <w:pPr>
              <w:adjustRightInd w:val="0"/>
              <w:snapToGrid w:val="0"/>
              <w:jc w:val="center"/>
              <w:rPr>
                <w:rFonts w:ascii="宋体" w:hAnsi="宋体"/>
                <w:color w:val="000000"/>
                <w:spacing w:val="20"/>
                <w:sz w:val="30"/>
                <w:szCs w:val="30"/>
              </w:rPr>
            </w:pPr>
            <w:r>
              <w:rPr>
                <w:rFonts w:hint="eastAsia" w:ascii="宋体" w:hAnsi="宋体"/>
                <w:color w:val="000000"/>
                <w:spacing w:val="20"/>
                <w:sz w:val="30"/>
                <w:szCs w:val="30"/>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139" w:type="dxa"/>
            <w:vAlign w:val="center"/>
          </w:tcPr>
          <w:p>
            <w:pPr>
              <w:adjustRightInd w:val="0"/>
              <w:snapToGrid w:val="0"/>
              <w:jc w:val="center"/>
              <w:rPr>
                <w:rFonts w:ascii="宋体" w:hAnsi="宋体"/>
                <w:color w:val="000000"/>
                <w:spacing w:val="20"/>
                <w:sz w:val="24"/>
                <w:szCs w:val="24"/>
              </w:rPr>
            </w:pPr>
            <w:r>
              <w:rPr>
                <w:rFonts w:hint="eastAsia" w:ascii="宋体" w:hAnsi="宋体"/>
                <w:color w:val="000000"/>
                <w:spacing w:val="20"/>
                <w:sz w:val="24"/>
                <w:szCs w:val="24"/>
              </w:rPr>
              <w:t>1</w:t>
            </w:r>
          </w:p>
        </w:tc>
        <w:tc>
          <w:tcPr>
            <w:tcW w:w="3759" w:type="dxa"/>
            <w:vAlign w:val="center"/>
          </w:tcPr>
          <w:p>
            <w:pPr>
              <w:adjustRightInd w:val="0"/>
              <w:snapToGrid w:val="0"/>
              <w:jc w:val="center"/>
              <w:rPr>
                <w:rFonts w:ascii="宋体" w:hAnsi="宋体"/>
                <w:color w:val="000000"/>
                <w:spacing w:val="20"/>
                <w:sz w:val="24"/>
                <w:szCs w:val="24"/>
              </w:rPr>
            </w:pPr>
            <w:r>
              <w:rPr>
                <w:rFonts w:hint="eastAsia"/>
              </w:rPr>
              <w:t>医用</w:t>
            </w:r>
            <w:r>
              <w:t>耗材</w:t>
            </w:r>
            <w:r>
              <w:rPr>
                <w:rFonts w:hint="eastAsia"/>
              </w:rPr>
              <w:t>中心库房管理系统升级</w:t>
            </w:r>
            <w:r>
              <w:t>改造</w:t>
            </w:r>
          </w:p>
        </w:tc>
        <w:tc>
          <w:tcPr>
            <w:tcW w:w="1164" w:type="dxa"/>
            <w:vAlign w:val="center"/>
          </w:tcPr>
          <w:p>
            <w:pPr>
              <w:adjustRightInd w:val="0"/>
              <w:snapToGrid w:val="0"/>
              <w:jc w:val="center"/>
              <w:rPr>
                <w:sz w:val="24"/>
              </w:rPr>
            </w:pPr>
            <w:r>
              <w:rPr>
                <w:rFonts w:hint="eastAsia"/>
                <w:sz w:val="24"/>
              </w:rPr>
              <w:t>1套</w:t>
            </w:r>
          </w:p>
        </w:tc>
        <w:tc>
          <w:tcPr>
            <w:tcW w:w="1984" w:type="dxa"/>
            <w:vAlign w:val="center"/>
          </w:tcPr>
          <w:p>
            <w:pPr>
              <w:adjustRightInd w:val="0"/>
              <w:snapToGrid w:val="0"/>
              <w:jc w:val="right"/>
              <w:rPr>
                <w:rFonts w:ascii="宋体" w:hAnsi="宋体"/>
                <w:color w:val="000000"/>
                <w:spacing w:val="20"/>
                <w:sz w:val="24"/>
                <w:szCs w:val="24"/>
              </w:rPr>
            </w:pPr>
          </w:p>
        </w:tc>
        <w:tc>
          <w:tcPr>
            <w:tcW w:w="993" w:type="dxa"/>
            <w:vAlign w:val="center"/>
          </w:tcPr>
          <w:p>
            <w:pPr>
              <w:adjustRightInd w:val="0"/>
              <w:snapToGrid w:val="0"/>
              <w:rPr>
                <w:rFonts w:ascii="宋体" w:hAnsi="宋体"/>
                <w:color w:val="000000"/>
                <w:spacing w:val="2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139" w:type="dxa"/>
            <w:vAlign w:val="center"/>
          </w:tcPr>
          <w:p>
            <w:pPr>
              <w:adjustRightInd w:val="0"/>
              <w:snapToGrid w:val="0"/>
              <w:jc w:val="center"/>
              <w:rPr>
                <w:rFonts w:ascii="宋体" w:hAnsi="宋体"/>
                <w:color w:val="000000"/>
                <w:spacing w:val="20"/>
                <w:sz w:val="24"/>
                <w:szCs w:val="24"/>
              </w:rPr>
            </w:pPr>
            <w:r>
              <w:rPr>
                <w:rFonts w:hint="eastAsia" w:ascii="宋体" w:hAnsi="宋体"/>
                <w:color w:val="000000"/>
                <w:spacing w:val="20"/>
                <w:sz w:val="24"/>
                <w:szCs w:val="24"/>
              </w:rPr>
              <w:t>2</w:t>
            </w:r>
          </w:p>
        </w:tc>
        <w:tc>
          <w:tcPr>
            <w:tcW w:w="3759" w:type="dxa"/>
            <w:vAlign w:val="center"/>
          </w:tcPr>
          <w:p>
            <w:pPr>
              <w:jc w:val="center"/>
            </w:pPr>
            <w:r>
              <w:rPr>
                <w:rFonts w:hint="eastAsia"/>
              </w:rPr>
              <w:t>虚拟二级库房管理系统</w:t>
            </w:r>
          </w:p>
          <w:p>
            <w:pPr>
              <w:jc w:val="center"/>
            </w:pPr>
            <w:r>
              <w:rPr>
                <w:rFonts w:hint="eastAsia"/>
              </w:rPr>
              <w:t>（高值耗材条码</w:t>
            </w:r>
            <w:r>
              <w:t>追溯</w:t>
            </w:r>
            <w:r>
              <w:rPr>
                <w:rFonts w:hint="eastAsia"/>
              </w:rPr>
              <w:t>管理系统）</w:t>
            </w:r>
          </w:p>
        </w:tc>
        <w:tc>
          <w:tcPr>
            <w:tcW w:w="1164" w:type="dxa"/>
            <w:vAlign w:val="center"/>
          </w:tcPr>
          <w:p>
            <w:pPr>
              <w:adjustRightInd w:val="0"/>
              <w:snapToGrid w:val="0"/>
              <w:jc w:val="center"/>
              <w:rPr>
                <w:sz w:val="24"/>
              </w:rPr>
            </w:pPr>
            <w:r>
              <w:rPr>
                <w:rFonts w:hint="eastAsia"/>
                <w:sz w:val="24"/>
              </w:rPr>
              <w:t>1套</w:t>
            </w:r>
          </w:p>
        </w:tc>
        <w:tc>
          <w:tcPr>
            <w:tcW w:w="1984" w:type="dxa"/>
            <w:vAlign w:val="center"/>
          </w:tcPr>
          <w:p>
            <w:pPr>
              <w:adjustRightInd w:val="0"/>
              <w:snapToGrid w:val="0"/>
              <w:jc w:val="right"/>
              <w:rPr>
                <w:rFonts w:ascii="宋体" w:hAnsi="宋体"/>
                <w:color w:val="000000"/>
                <w:spacing w:val="20"/>
                <w:sz w:val="24"/>
                <w:szCs w:val="24"/>
              </w:rPr>
            </w:pPr>
          </w:p>
        </w:tc>
        <w:tc>
          <w:tcPr>
            <w:tcW w:w="993" w:type="dxa"/>
            <w:vAlign w:val="center"/>
          </w:tcPr>
          <w:p>
            <w:pPr>
              <w:adjustRightInd w:val="0"/>
              <w:snapToGrid w:val="0"/>
              <w:rPr>
                <w:rFonts w:ascii="宋体" w:hAnsi="宋体"/>
                <w:color w:val="000000"/>
                <w:spacing w:val="2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139" w:type="dxa"/>
            <w:vAlign w:val="center"/>
          </w:tcPr>
          <w:p>
            <w:pPr>
              <w:adjustRightInd w:val="0"/>
              <w:snapToGrid w:val="0"/>
              <w:jc w:val="center"/>
              <w:rPr>
                <w:rFonts w:ascii="宋体" w:hAnsi="宋体"/>
                <w:color w:val="000000"/>
                <w:spacing w:val="20"/>
                <w:sz w:val="24"/>
                <w:szCs w:val="24"/>
              </w:rPr>
            </w:pPr>
            <w:r>
              <w:rPr>
                <w:rFonts w:hint="eastAsia" w:ascii="宋体" w:hAnsi="宋体"/>
                <w:color w:val="000000"/>
                <w:spacing w:val="20"/>
                <w:sz w:val="24"/>
                <w:szCs w:val="24"/>
              </w:rPr>
              <w:t>3</w:t>
            </w:r>
          </w:p>
        </w:tc>
        <w:tc>
          <w:tcPr>
            <w:tcW w:w="3759" w:type="dxa"/>
            <w:vAlign w:val="center"/>
          </w:tcPr>
          <w:p>
            <w:pPr>
              <w:jc w:val="center"/>
            </w:pPr>
            <w:r>
              <w:rPr>
                <w:rFonts w:hint="eastAsia"/>
              </w:rPr>
              <w:t>实物二级库房管理系统</w:t>
            </w:r>
          </w:p>
        </w:tc>
        <w:tc>
          <w:tcPr>
            <w:tcW w:w="1164" w:type="dxa"/>
            <w:vAlign w:val="center"/>
          </w:tcPr>
          <w:p>
            <w:pPr>
              <w:adjustRightInd w:val="0"/>
              <w:snapToGrid w:val="0"/>
              <w:jc w:val="center"/>
              <w:rPr>
                <w:sz w:val="24"/>
              </w:rPr>
            </w:pPr>
            <w:r>
              <w:rPr>
                <w:rFonts w:hint="eastAsia"/>
                <w:sz w:val="24"/>
              </w:rPr>
              <w:t>1套</w:t>
            </w:r>
          </w:p>
        </w:tc>
        <w:tc>
          <w:tcPr>
            <w:tcW w:w="1984" w:type="dxa"/>
            <w:vAlign w:val="center"/>
          </w:tcPr>
          <w:p>
            <w:pPr>
              <w:wordWrap w:val="0"/>
              <w:adjustRightInd w:val="0"/>
              <w:snapToGrid w:val="0"/>
              <w:jc w:val="center"/>
              <w:rPr>
                <w:rFonts w:ascii="宋体" w:hAnsi="宋体"/>
                <w:color w:val="000000"/>
                <w:spacing w:val="20"/>
                <w:sz w:val="24"/>
                <w:szCs w:val="24"/>
              </w:rPr>
            </w:pPr>
          </w:p>
        </w:tc>
        <w:tc>
          <w:tcPr>
            <w:tcW w:w="993" w:type="dxa"/>
            <w:vAlign w:val="center"/>
          </w:tcPr>
          <w:p>
            <w:pPr>
              <w:adjustRightInd w:val="0"/>
              <w:snapToGrid w:val="0"/>
              <w:rPr>
                <w:rFonts w:ascii="宋体" w:hAnsi="宋体"/>
                <w:color w:val="000000"/>
                <w:spacing w:val="2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139" w:type="dxa"/>
            <w:vAlign w:val="center"/>
          </w:tcPr>
          <w:p>
            <w:pPr>
              <w:adjustRightInd w:val="0"/>
              <w:snapToGrid w:val="0"/>
              <w:jc w:val="center"/>
              <w:rPr>
                <w:rFonts w:ascii="宋体" w:hAnsi="宋体"/>
                <w:color w:val="000000"/>
                <w:spacing w:val="20"/>
                <w:sz w:val="24"/>
                <w:szCs w:val="24"/>
              </w:rPr>
            </w:pPr>
            <w:r>
              <w:rPr>
                <w:rFonts w:hint="eastAsia" w:ascii="宋体" w:hAnsi="宋体"/>
                <w:color w:val="000000"/>
                <w:spacing w:val="20"/>
                <w:sz w:val="24"/>
                <w:szCs w:val="24"/>
              </w:rPr>
              <w:t>4</w:t>
            </w:r>
          </w:p>
        </w:tc>
        <w:tc>
          <w:tcPr>
            <w:tcW w:w="3759" w:type="dxa"/>
            <w:vAlign w:val="center"/>
          </w:tcPr>
          <w:p>
            <w:pPr>
              <w:adjustRightInd w:val="0"/>
              <w:snapToGrid w:val="0"/>
              <w:jc w:val="center"/>
              <w:rPr>
                <w:rFonts w:ascii="宋体" w:hAnsi="宋体"/>
                <w:color w:val="000000"/>
                <w:spacing w:val="20"/>
                <w:sz w:val="24"/>
                <w:szCs w:val="24"/>
              </w:rPr>
            </w:pPr>
            <w:r>
              <w:rPr>
                <w:rFonts w:hint="eastAsia" w:ascii="宋体" w:hAnsi="宋体" w:cs="宋体"/>
                <w:kern w:val="0"/>
                <w:sz w:val="24"/>
                <w:szCs w:val="24"/>
              </w:rPr>
              <w:t>接口管理</w:t>
            </w:r>
          </w:p>
        </w:tc>
        <w:tc>
          <w:tcPr>
            <w:tcW w:w="1164" w:type="dxa"/>
            <w:vAlign w:val="center"/>
          </w:tcPr>
          <w:p>
            <w:pPr>
              <w:adjustRightInd w:val="0"/>
              <w:snapToGrid w:val="0"/>
              <w:jc w:val="center"/>
              <w:rPr>
                <w:sz w:val="24"/>
              </w:rPr>
            </w:pPr>
            <w:r>
              <w:rPr>
                <w:rFonts w:hint="eastAsia"/>
                <w:sz w:val="24"/>
              </w:rPr>
              <w:t>1套</w:t>
            </w:r>
          </w:p>
        </w:tc>
        <w:tc>
          <w:tcPr>
            <w:tcW w:w="1984" w:type="dxa"/>
            <w:vAlign w:val="center"/>
          </w:tcPr>
          <w:p>
            <w:pPr>
              <w:adjustRightInd w:val="0"/>
              <w:snapToGrid w:val="0"/>
              <w:jc w:val="right"/>
              <w:rPr>
                <w:rFonts w:ascii="宋体" w:hAnsi="宋体"/>
                <w:color w:val="000000"/>
                <w:spacing w:val="20"/>
                <w:sz w:val="24"/>
                <w:szCs w:val="24"/>
              </w:rPr>
            </w:pPr>
          </w:p>
        </w:tc>
        <w:tc>
          <w:tcPr>
            <w:tcW w:w="993" w:type="dxa"/>
            <w:vAlign w:val="center"/>
          </w:tcPr>
          <w:p>
            <w:pPr>
              <w:adjustRightInd w:val="0"/>
              <w:snapToGrid w:val="0"/>
              <w:rPr>
                <w:rFonts w:ascii="宋体" w:hAnsi="宋体"/>
                <w:color w:val="000000"/>
                <w:spacing w:val="2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567" w:hRule="atLeast"/>
        </w:trPr>
        <w:tc>
          <w:tcPr>
            <w:tcW w:w="1139" w:type="dxa"/>
            <w:vAlign w:val="center"/>
          </w:tcPr>
          <w:p>
            <w:pPr>
              <w:adjustRightInd w:val="0"/>
              <w:snapToGrid w:val="0"/>
              <w:jc w:val="center"/>
              <w:rPr>
                <w:rFonts w:ascii="宋体" w:hAnsi="宋体"/>
                <w:color w:val="000000"/>
                <w:spacing w:val="20"/>
                <w:sz w:val="24"/>
                <w:szCs w:val="24"/>
              </w:rPr>
            </w:pPr>
          </w:p>
        </w:tc>
        <w:tc>
          <w:tcPr>
            <w:tcW w:w="3759" w:type="dxa"/>
            <w:vAlign w:val="center"/>
          </w:tcPr>
          <w:p>
            <w:pPr>
              <w:adjustRightInd w:val="0"/>
              <w:snapToGrid w:val="0"/>
              <w:jc w:val="center"/>
              <w:rPr>
                <w:rFonts w:ascii="宋体" w:hAnsi="宋体" w:cs="宋体"/>
                <w:kern w:val="0"/>
                <w:sz w:val="24"/>
                <w:szCs w:val="24"/>
              </w:rPr>
            </w:pPr>
          </w:p>
        </w:tc>
        <w:tc>
          <w:tcPr>
            <w:tcW w:w="1164" w:type="dxa"/>
            <w:vAlign w:val="center"/>
          </w:tcPr>
          <w:p>
            <w:pPr>
              <w:adjustRightInd w:val="0"/>
              <w:snapToGrid w:val="0"/>
              <w:jc w:val="center"/>
              <w:rPr>
                <w:rFonts w:ascii="宋体" w:hAnsi="宋体"/>
                <w:color w:val="000000"/>
                <w:spacing w:val="20"/>
                <w:sz w:val="30"/>
                <w:szCs w:val="30"/>
              </w:rPr>
            </w:pPr>
          </w:p>
        </w:tc>
        <w:tc>
          <w:tcPr>
            <w:tcW w:w="1984" w:type="dxa"/>
            <w:vAlign w:val="center"/>
          </w:tcPr>
          <w:p>
            <w:pPr>
              <w:adjustRightInd w:val="0"/>
              <w:snapToGrid w:val="0"/>
              <w:jc w:val="right"/>
              <w:rPr>
                <w:rFonts w:ascii="宋体" w:hAnsi="宋体"/>
                <w:color w:val="000000"/>
                <w:spacing w:val="20"/>
                <w:sz w:val="24"/>
                <w:szCs w:val="24"/>
              </w:rPr>
            </w:pPr>
          </w:p>
        </w:tc>
        <w:tc>
          <w:tcPr>
            <w:tcW w:w="993" w:type="dxa"/>
            <w:vAlign w:val="center"/>
          </w:tcPr>
          <w:p>
            <w:pPr>
              <w:adjustRightInd w:val="0"/>
              <w:snapToGrid w:val="0"/>
              <w:rPr>
                <w:rFonts w:ascii="宋体" w:hAnsi="宋体"/>
                <w:color w:val="000000"/>
                <w:spacing w:val="2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4898" w:type="dxa"/>
            <w:gridSpan w:val="2"/>
            <w:vAlign w:val="center"/>
          </w:tcPr>
          <w:p>
            <w:pPr>
              <w:adjustRightInd w:val="0"/>
              <w:snapToGrid w:val="0"/>
              <w:jc w:val="center"/>
              <w:rPr>
                <w:rFonts w:ascii="宋体" w:hAnsi="宋体"/>
                <w:color w:val="000000"/>
                <w:spacing w:val="20"/>
                <w:sz w:val="30"/>
                <w:szCs w:val="30"/>
              </w:rPr>
            </w:pPr>
            <w:r>
              <w:rPr>
                <w:rFonts w:hint="eastAsia" w:ascii="宋体" w:hAnsi="宋体"/>
                <w:color w:val="000000"/>
                <w:spacing w:val="20"/>
                <w:sz w:val="30"/>
                <w:szCs w:val="30"/>
              </w:rPr>
              <w:t>投标总价</w:t>
            </w:r>
          </w:p>
        </w:tc>
        <w:tc>
          <w:tcPr>
            <w:tcW w:w="1164" w:type="dxa"/>
            <w:vAlign w:val="center"/>
          </w:tcPr>
          <w:p>
            <w:pPr>
              <w:adjustRightInd w:val="0"/>
              <w:snapToGrid w:val="0"/>
              <w:jc w:val="center"/>
              <w:rPr>
                <w:rFonts w:ascii="宋体" w:hAnsi="宋体"/>
                <w:color w:val="000000"/>
                <w:spacing w:val="20"/>
                <w:sz w:val="30"/>
                <w:szCs w:val="30"/>
              </w:rPr>
            </w:pPr>
          </w:p>
        </w:tc>
        <w:tc>
          <w:tcPr>
            <w:tcW w:w="2977" w:type="dxa"/>
            <w:gridSpan w:val="2"/>
            <w:vAlign w:val="center"/>
          </w:tcPr>
          <w:p>
            <w:pPr>
              <w:adjustRightInd w:val="0"/>
              <w:snapToGrid w:val="0"/>
              <w:jc w:val="right"/>
              <w:rPr>
                <w:rFonts w:ascii="宋体" w:hAnsi="宋体"/>
                <w:color w:val="000000"/>
                <w:spacing w:val="20"/>
                <w:sz w:val="30"/>
                <w:szCs w:val="30"/>
              </w:rPr>
            </w:pPr>
          </w:p>
        </w:tc>
      </w:tr>
    </w:tbl>
    <w:p>
      <w:pPr>
        <w:shd w:val="clear" w:color="auto" w:fill="FFFFFF"/>
        <w:adjustRightInd w:val="0"/>
        <w:snapToGrid w:val="0"/>
        <w:spacing w:beforeLines="100" w:line="360" w:lineRule="auto"/>
        <w:rPr>
          <w:rFonts w:ascii="宋体" w:hAnsi="宋体" w:cs="宋体"/>
          <w:color w:val="000000"/>
          <w:kern w:val="0"/>
          <w:sz w:val="24"/>
          <w:lang w:val="zh-CN"/>
        </w:rPr>
      </w:pPr>
      <w:r>
        <w:rPr>
          <w:rFonts w:hint="eastAsia" w:ascii="宋体" w:hAnsi="宋体" w:cs="宋体"/>
          <w:color w:val="000000"/>
          <w:kern w:val="0"/>
          <w:sz w:val="24"/>
          <w:lang w:val="zh-CN"/>
        </w:rPr>
        <w:t>注：本投标文件及其所附文件涵盖了我方要约的全部内容。</w:t>
      </w:r>
    </w:p>
    <w:p>
      <w:pPr>
        <w:shd w:val="clear" w:color="auto" w:fill="FFFFFF"/>
        <w:adjustRightInd w:val="0"/>
        <w:snapToGrid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lang w:val="zh-CN"/>
        </w:rPr>
        <w:t>(1)我方要约有效期为自投标截止日起90天；</w:t>
      </w:r>
    </w:p>
    <w:p>
      <w:pPr>
        <w:shd w:val="clear" w:color="auto" w:fill="FFFFFF"/>
        <w:adjustRightInd w:val="0"/>
        <w:snapToGrid w:val="0"/>
        <w:spacing w:line="360" w:lineRule="auto"/>
        <w:ind w:firstLine="480"/>
        <w:rPr>
          <w:rFonts w:ascii="宋体" w:hAnsi="宋体" w:cs="宋体"/>
          <w:color w:val="000000"/>
          <w:kern w:val="0"/>
          <w:sz w:val="24"/>
        </w:rPr>
      </w:pPr>
      <w:r>
        <w:rPr>
          <w:rFonts w:hint="eastAsia" w:ascii="宋体" w:hAnsi="宋体" w:cs="宋体"/>
          <w:color w:val="000000"/>
          <w:kern w:val="0"/>
          <w:sz w:val="24"/>
          <w:lang w:val="zh-CN"/>
        </w:rPr>
        <w:t>(2)在投标有效标期内，我方受投标文件之价目表上我方要约金额的约束。</w:t>
      </w:r>
    </w:p>
    <w:p>
      <w:pPr>
        <w:shd w:val="clear" w:color="auto" w:fill="FFFFFF"/>
        <w:adjustRightInd w:val="0"/>
        <w:snapToGrid w:val="0"/>
        <w:spacing w:line="360" w:lineRule="auto"/>
        <w:rPr>
          <w:rFonts w:ascii="宋体" w:hAnsi="宋体" w:cs="宋体"/>
          <w:color w:val="000000"/>
          <w:kern w:val="0"/>
          <w:sz w:val="24"/>
          <w:lang w:val="zh-CN"/>
        </w:rPr>
      </w:pPr>
    </w:p>
    <w:p>
      <w:pPr>
        <w:shd w:val="clear" w:color="auto" w:fill="FFFFFF"/>
        <w:adjustRightInd w:val="0"/>
        <w:snapToGrid w:val="0"/>
        <w:spacing w:line="360" w:lineRule="auto"/>
        <w:rPr>
          <w:rFonts w:ascii="宋体" w:hAnsi="宋体" w:cs="宋体"/>
          <w:color w:val="000000"/>
          <w:kern w:val="0"/>
          <w:sz w:val="24"/>
          <w:lang w:val="zh-CN"/>
        </w:rPr>
      </w:pPr>
    </w:p>
    <w:p>
      <w:pPr>
        <w:shd w:val="clear" w:color="auto" w:fill="FFFFFF"/>
        <w:adjustRightInd w:val="0"/>
        <w:snapToGrid w:val="0"/>
        <w:spacing w:line="360" w:lineRule="auto"/>
        <w:ind w:firstLine="480"/>
        <w:jc w:val="center"/>
        <w:rPr>
          <w:rFonts w:ascii="宋体" w:hAnsi="宋体" w:cs="宋体"/>
          <w:color w:val="000000"/>
          <w:kern w:val="0"/>
          <w:sz w:val="24"/>
          <w:lang w:val="zh-CN"/>
        </w:rPr>
      </w:pPr>
    </w:p>
    <w:p>
      <w:pPr>
        <w:shd w:val="clear" w:color="auto" w:fill="FFFFFF"/>
        <w:adjustRightInd w:val="0"/>
        <w:snapToGrid w:val="0"/>
        <w:spacing w:line="360" w:lineRule="auto"/>
        <w:ind w:firstLine="480"/>
        <w:jc w:val="center"/>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zh-CN"/>
        </w:rPr>
        <w:t>投标人名称：（公章）</w:t>
      </w:r>
    </w:p>
    <w:p>
      <w:pPr>
        <w:shd w:val="clear" w:color="auto" w:fill="FFFFFF"/>
        <w:adjustRightInd w:val="0"/>
        <w:snapToGrid w:val="0"/>
        <w:spacing w:line="360" w:lineRule="auto"/>
        <w:ind w:firstLine="480"/>
        <w:jc w:val="center"/>
        <w:rPr>
          <w:rFonts w:ascii="宋体" w:hAnsi="宋体" w:cs="宋体"/>
          <w:color w:val="000000"/>
          <w:kern w:val="0"/>
          <w:sz w:val="24"/>
          <w:lang w:val="zh-CN"/>
        </w:rPr>
      </w:pPr>
      <w:r>
        <w:rPr>
          <w:rFonts w:hint="eastAsia" w:ascii="宋体" w:hAnsi="宋体" w:cs="宋体"/>
          <w:color w:val="000000"/>
          <w:kern w:val="0"/>
          <w:sz w:val="24"/>
          <w:lang w:val="zh-CN"/>
        </w:rPr>
        <w:t>法定（授权）代表人（签字）：</w:t>
      </w:r>
    </w:p>
    <w:p>
      <w:pPr>
        <w:shd w:val="clear" w:color="auto" w:fill="FFFFFF"/>
        <w:adjustRightInd w:val="0"/>
        <w:snapToGrid w:val="0"/>
        <w:spacing w:line="360" w:lineRule="auto"/>
        <w:ind w:firstLine="480"/>
        <w:jc w:val="center"/>
        <w:rPr>
          <w:rFonts w:ascii="宋体" w:hAnsi="宋体" w:cs="宋体"/>
          <w:color w:val="000000"/>
          <w:kern w:val="0"/>
          <w:sz w:val="24"/>
          <w:lang w:val="zh-CN"/>
        </w:rPr>
        <w:sectPr>
          <w:pgSz w:w="11906" w:h="16838"/>
          <w:pgMar w:top="1418" w:right="1134" w:bottom="1304" w:left="1418" w:header="794" w:footer="907" w:gutter="0"/>
          <w:cols w:space="425" w:num="1"/>
          <w:titlePg/>
          <w:docGrid w:type="linesAndChars" w:linePitch="312" w:charSpace="0"/>
        </w:sectPr>
      </w:pPr>
      <w:r>
        <w:rPr>
          <w:rFonts w:hint="eastAsia" w:ascii="宋体" w:hAnsi="宋体" w:cs="宋体"/>
          <w:color w:val="000000"/>
          <w:kern w:val="0"/>
          <w:sz w:val="24"/>
        </w:rPr>
        <w:t xml:space="preserve">                      </w:t>
      </w:r>
      <w:r>
        <w:rPr>
          <w:rFonts w:hint="eastAsia" w:ascii="宋体" w:hAnsi="宋体" w:cs="宋体"/>
          <w:color w:val="000000"/>
          <w:kern w:val="0"/>
          <w:sz w:val="24"/>
          <w:lang w:val="zh-CN"/>
        </w:rPr>
        <w:t>日期：</w:t>
      </w:r>
    </w:p>
    <w:p>
      <w:pPr>
        <w:adjustRightInd w:val="0"/>
        <w:snapToGrid w:val="0"/>
        <w:rPr>
          <w:rFonts w:ascii="宋体" w:hAnsi="宋体"/>
          <w:color w:val="000000"/>
          <w:spacing w:val="20"/>
          <w:sz w:val="24"/>
        </w:rPr>
      </w:pPr>
      <w:r>
        <w:rPr>
          <w:rFonts w:hint="eastAsia" w:ascii="宋体" w:hAnsi="宋体"/>
          <w:color w:val="000000"/>
          <w:spacing w:val="20"/>
          <w:sz w:val="24"/>
        </w:rPr>
        <w:t>附件三</w:t>
      </w:r>
    </w:p>
    <w:p>
      <w:pPr>
        <w:pStyle w:val="3"/>
        <w:numPr>
          <w:ilvl w:val="1"/>
          <w:numId w:val="0"/>
        </w:numPr>
        <w:tabs>
          <w:tab w:val="clear" w:pos="720"/>
        </w:tabs>
        <w:jc w:val="center"/>
      </w:pPr>
      <w:r>
        <w:rPr>
          <w:rFonts w:hint="eastAsia"/>
          <w:sz w:val="36"/>
          <w:szCs w:val="36"/>
        </w:rPr>
        <w:t>项目负责人简历表</w:t>
      </w:r>
    </w:p>
    <w:tbl>
      <w:tblPr>
        <w:tblStyle w:val="28"/>
        <w:tblW w:w="88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505"/>
        <w:gridCol w:w="1026"/>
        <w:gridCol w:w="835"/>
        <w:gridCol w:w="503"/>
        <w:gridCol w:w="1173"/>
        <w:gridCol w:w="80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15" w:type="dxa"/>
            <w:vAlign w:val="center"/>
          </w:tcPr>
          <w:p>
            <w:pPr>
              <w:jc w:val="center"/>
              <w:rPr>
                <w:rFonts w:ascii="宋体" w:hAnsi="宋体"/>
                <w:snapToGrid w:val="0"/>
                <w:szCs w:val="21"/>
              </w:rPr>
            </w:pPr>
            <w:r>
              <w:rPr>
                <w:rFonts w:hint="eastAsia" w:ascii="宋体" w:hAnsi="宋体"/>
                <w:snapToGrid w:val="0"/>
                <w:szCs w:val="21"/>
              </w:rPr>
              <w:t>姓名</w:t>
            </w:r>
          </w:p>
        </w:tc>
        <w:tc>
          <w:tcPr>
            <w:tcW w:w="1505" w:type="dxa"/>
          </w:tcPr>
          <w:p>
            <w:pPr>
              <w:rPr>
                <w:rFonts w:ascii="宋体" w:hAnsi="宋体"/>
                <w:snapToGrid w:val="0"/>
                <w:szCs w:val="21"/>
              </w:rPr>
            </w:pPr>
          </w:p>
        </w:tc>
        <w:tc>
          <w:tcPr>
            <w:tcW w:w="1026" w:type="dxa"/>
            <w:vAlign w:val="center"/>
          </w:tcPr>
          <w:p>
            <w:pPr>
              <w:jc w:val="center"/>
              <w:rPr>
                <w:rFonts w:ascii="宋体" w:hAnsi="宋体"/>
                <w:snapToGrid w:val="0"/>
                <w:szCs w:val="21"/>
              </w:rPr>
            </w:pPr>
            <w:r>
              <w:rPr>
                <w:rFonts w:hint="eastAsia" w:ascii="宋体" w:hAnsi="宋体"/>
                <w:snapToGrid w:val="0"/>
                <w:szCs w:val="21"/>
              </w:rPr>
              <w:t>年龄</w:t>
            </w:r>
          </w:p>
        </w:tc>
        <w:tc>
          <w:tcPr>
            <w:tcW w:w="1338" w:type="dxa"/>
            <w:gridSpan w:val="2"/>
          </w:tcPr>
          <w:p>
            <w:pPr>
              <w:rPr>
                <w:rFonts w:ascii="宋体" w:hAnsi="宋体"/>
                <w:snapToGrid w:val="0"/>
                <w:szCs w:val="21"/>
              </w:rPr>
            </w:pPr>
          </w:p>
        </w:tc>
        <w:tc>
          <w:tcPr>
            <w:tcW w:w="1979" w:type="dxa"/>
            <w:gridSpan w:val="2"/>
            <w:vAlign w:val="center"/>
          </w:tcPr>
          <w:p>
            <w:pPr>
              <w:jc w:val="center"/>
              <w:rPr>
                <w:rFonts w:ascii="宋体" w:hAnsi="宋体"/>
                <w:snapToGrid w:val="0"/>
                <w:szCs w:val="21"/>
              </w:rPr>
            </w:pPr>
            <w:r>
              <w:rPr>
                <w:rFonts w:hint="eastAsia" w:ascii="宋体" w:hAnsi="宋体"/>
                <w:snapToGrid w:val="0"/>
                <w:szCs w:val="21"/>
              </w:rPr>
              <w:t>学历</w:t>
            </w:r>
          </w:p>
        </w:tc>
        <w:tc>
          <w:tcPr>
            <w:tcW w:w="1533" w:type="dxa"/>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515" w:type="dxa"/>
            <w:vAlign w:val="center"/>
          </w:tcPr>
          <w:p>
            <w:pPr>
              <w:jc w:val="center"/>
              <w:rPr>
                <w:rFonts w:ascii="宋体" w:hAnsi="宋体"/>
                <w:snapToGrid w:val="0"/>
                <w:szCs w:val="21"/>
              </w:rPr>
            </w:pPr>
            <w:r>
              <w:rPr>
                <w:rFonts w:hint="eastAsia" w:ascii="宋体" w:hAnsi="宋体"/>
                <w:snapToGrid w:val="0"/>
                <w:szCs w:val="21"/>
              </w:rPr>
              <w:t>职称</w:t>
            </w:r>
          </w:p>
        </w:tc>
        <w:tc>
          <w:tcPr>
            <w:tcW w:w="1505" w:type="dxa"/>
          </w:tcPr>
          <w:p>
            <w:pPr>
              <w:rPr>
                <w:rFonts w:ascii="宋体" w:hAnsi="宋体"/>
                <w:snapToGrid w:val="0"/>
                <w:szCs w:val="21"/>
              </w:rPr>
            </w:pPr>
          </w:p>
        </w:tc>
        <w:tc>
          <w:tcPr>
            <w:tcW w:w="1026" w:type="dxa"/>
            <w:vAlign w:val="center"/>
          </w:tcPr>
          <w:p>
            <w:pPr>
              <w:jc w:val="center"/>
              <w:rPr>
                <w:rFonts w:ascii="宋体" w:hAnsi="宋体"/>
                <w:snapToGrid w:val="0"/>
                <w:szCs w:val="21"/>
              </w:rPr>
            </w:pPr>
            <w:r>
              <w:rPr>
                <w:rFonts w:hint="eastAsia" w:ascii="宋体" w:hAnsi="宋体"/>
                <w:snapToGrid w:val="0"/>
                <w:szCs w:val="21"/>
              </w:rPr>
              <w:t>职务</w:t>
            </w:r>
          </w:p>
        </w:tc>
        <w:tc>
          <w:tcPr>
            <w:tcW w:w="1338" w:type="dxa"/>
            <w:gridSpan w:val="2"/>
          </w:tcPr>
          <w:p>
            <w:pPr>
              <w:rPr>
                <w:rFonts w:ascii="宋体" w:hAnsi="宋体"/>
                <w:snapToGrid w:val="0"/>
                <w:szCs w:val="21"/>
              </w:rPr>
            </w:pPr>
          </w:p>
        </w:tc>
        <w:tc>
          <w:tcPr>
            <w:tcW w:w="1979" w:type="dxa"/>
            <w:gridSpan w:val="2"/>
            <w:vAlign w:val="center"/>
          </w:tcPr>
          <w:p>
            <w:pPr>
              <w:jc w:val="center"/>
              <w:rPr>
                <w:rFonts w:ascii="宋体" w:hAnsi="宋体"/>
                <w:snapToGrid w:val="0"/>
                <w:szCs w:val="21"/>
              </w:rPr>
            </w:pPr>
            <w:r>
              <w:rPr>
                <w:rFonts w:hint="eastAsia" w:ascii="宋体" w:hAnsi="宋体"/>
                <w:snapToGrid w:val="0"/>
                <w:szCs w:val="21"/>
              </w:rPr>
              <w:t>拟在本合同任职</w:t>
            </w:r>
          </w:p>
        </w:tc>
        <w:tc>
          <w:tcPr>
            <w:tcW w:w="1533" w:type="dxa"/>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15" w:type="dxa"/>
            <w:vAlign w:val="center"/>
          </w:tcPr>
          <w:p>
            <w:pPr>
              <w:jc w:val="center"/>
              <w:rPr>
                <w:rFonts w:ascii="宋体" w:hAnsi="宋体"/>
                <w:snapToGrid w:val="0"/>
                <w:szCs w:val="21"/>
              </w:rPr>
            </w:pPr>
            <w:r>
              <w:rPr>
                <w:rFonts w:hint="eastAsia" w:ascii="宋体" w:hAnsi="宋体"/>
                <w:snapToGrid w:val="0"/>
                <w:szCs w:val="21"/>
              </w:rPr>
              <w:t>毕业学校</w:t>
            </w:r>
          </w:p>
        </w:tc>
        <w:tc>
          <w:tcPr>
            <w:tcW w:w="7381" w:type="dxa"/>
            <w:gridSpan w:val="7"/>
            <w:vAlign w:val="center"/>
          </w:tcPr>
          <w:p>
            <w:pPr>
              <w:ind w:firstLine="525" w:firstLineChars="250"/>
              <w:jc w:val="center"/>
              <w:rPr>
                <w:rFonts w:ascii="宋体" w:hAnsi="宋体"/>
                <w:snapToGrid w:val="0"/>
                <w:szCs w:val="21"/>
              </w:rPr>
            </w:pPr>
            <w:r>
              <w:rPr>
                <w:rFonts w:hint="eastAsia" w:ascii="宋体" w:hAnsi="宋体"/>
                <w:snapToGrid w:val="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896" w:type="dxa"/>
            <w:gridSpan w:val="8"/>
            <w:vAlign w:val="center"/>
          </w:tcPr>
          <w:p>
            <w:pPr>
              <w:jc w:val="center"/>
              <w:rPr>
                <w:rFonts w:ascii="宋体" w:hAnsi="宋体"/>
                <w:snapToGrid w:val="0"/>
                <w:szCs w:val="21"/>
              </w:rPr>
            </w:pPr>
            <w:r>
              <w:rPr>
                <w:rFonts w:hint="eastAsia" w:ascii="宋体" w:hAnsi="宋体"/>
                <w:snapToGrid w:val="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515" w:type="dxa"/>
            <w:vAlign w:val="center"/>
          </w:tcPr>
          <w:p>
            <w:pPr>
              <w:jc w:val="center"/>
              <w:rPr>
                <w:rFonts w:ascii="宋体" w:hAnsi="宋体"/>
                <w:snapToGrid w:val="0"/>
                <w:szCs w:val="21"/>
              </w:rPr>
            </w:pPr>
            <w:r>
              <w:rPr>
                <w:rFonts w:hint="eastAsia" w:ascii="宋体" w:hAnsi="宋体"/>
                <w:snapToGrid w:val="0"/>
                <w:szCs w:val="21"/>
              </w:rPr>
              <w:t>时间</w:t>
            </w:r>
          </w:p>
        </w:tc>
        <w:tc>
          <w:tcPr>
            <w:tcW w:w="3366" w:type="dxa"/>
            <w:gridSpan w:val="3"/>
            <w:vAlign w:val="center"/>
          </w:tcPr>
          <w:p>
            <w:pPr>
              <w:jc w:val="center"/>
              <w:rPr>
                <w:rFonts w:ascii="宋体" w:hAnsi="宋体"/>
                <w:snapToGrid w:val="0"/>
                <w:szCs w:val="21"/>
              </w:rPr>
            </w:pPr>
            <w:r>
              <w:rPr>
                <w:rFonts w:hint="eastAsia" w:ascii="宋体" w:hAnsi="宋体"/>
                <w:snapToGrid w:val="0"/>
                <w:szCs w:val="21"/>
              </w:rPr>
              <w:t>参加过的类似项目</w:t>
            </w:r>
          </w:p>
        </w:tc>
        <w:tc>
          <w:tcPr>
            <w:tcW w:w="1676" w:type="dxa"/>
            <w:gridSpan w:val="2"/>
            <w:vAlign w:val="center"/>
          </w:tcPr>
          <w:p>
            <w:pPr>
              <w:jc w:val="center"/>
              <w:rPr>
                <w:rFonts w:ascii="宋体" w:hAnsi="宋体"/>
                <w:snapToGrid w:val="0"/>
                <w:szCs w:val="21"/>
              </w:rPr>
            </w:pPr>
            <w:r>
              <w:rPr>
                <w:rFonts w:hint="eastAsia" w:ascii="宋体" w:hAnsi="宋体"/>
                <w:snapToGrid w:val="0"/>
                <w:szCs w:val="21"/>
              </w:rPr>
              <w:t>担任职务</w:t>
            </w:r>
          </w:p>
        </w:tc>
        <w:tc>
          <w:tcPr>
            <w:tcW w:w="2339" w:type="dxa"/>
            <w:gridSpan w:val="2"/>
            <w:vAlign w:val="center"/>
          </w:tcPr>
          <w:p>
            <w:pPr>
              <w:jc w:val="center"/>
              <w:rPr>
                <w:rFonts w:ascii="宋体" w:hAnsi="宋体"/>
                <w:snapToGrid w:val="0"/>
                <w:szCs w:val="21"/>
              </w:rPr>
            </w:pPr>
            <w:r>
              <w:rPr>
                <w:rFonts w:hint="eastAsia" w:ascii="宋体" w:hAnsi="宋体"/>
                <w:snapToGrid w:val="0"/>
                <w:szCs w:val="21"/>
              </w:rPr>
              <w:t>业主单位及联系电话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515" w:type="dxa"/>
          </w:tcPr>
          <w:p>
            <w:pPr>
              <w:rPr>
                <w:rFonts w:ascii="宋体" w:hAnsi="宋体"/>
                <w:snapToGrid w:val="0"/>
                <w:szCs w:val="21"/>
              </w:rPr>
            </w:pPr>
          </w:p>
        </w:tc>
        <w:tc>
          <w:tcPr>
            <w:tcW w:w="3366" w:type="dxa"/>
            <w:gridSpan w:val="3"/>
          </w:tcPr>
          <w:p>
            <w:pPr>
              <w:rPr>
                <w:rFonts w:ascii="宋体" w:hAnsi="宋体"/>
                <w:snapToGrid w:val="0"/>
                <w:szCs w:val="21"/>
              </w:rPr>
            </w:pPr>
          </w:p>
        </w:tc>
        <w:tc>
          <w:tcPr>
            <w:tcW w:w="1676" w:type="dxa"/>
            <w:gridSpan w:val="2"/>
          </w:tcPr>
          <w:p>
            <w:pPr>
              <w:rPr>
                <w:rFonts w:ascii="宋体" w:hAnsi="宋体"/>
                <w:snapToGrid w:val="0"/>
                <w:szCs w:val="21"/>
              </w:rPr>
            </w:pPr>
          </w:p>
        </w:tc>
        <w:tc>
          <w:tcPr>
            <w:tcW w:w="2339" w:type="dxa"/>
            <w:gridSpan w:val="2"/>
          </w:tcPr>
          <w:p>
            <w:pPr>
              <w:rPr>
                <w:rFonts w:ascii="宋体" w:hAnsi="宋体"/>
                <w:snapToGrid w:val="0"/>
                <w:szCs w:val="21"/>
              </w:rPr>
            </w:pPr>
          </w:p>
        </w:tc>
      </w:tr>
    </w:tbl>
    <w:p>
      <w:pPr>
        <w:shd w:val="clear" w:color="auto" w:fill="FFFFFF"/>
        <w:adjustRightInd w:val="0"/>
        <w:snapToGrid w:val="0"/>
        <w:spacing w:line="360" w:lineRule="auto"/>
        <w:ind w:firstLine="480"/>
        <w:jc w:val="center"/>
        <w:rPr>
          <w:rFonts w:ascii="宋体" w:hAnsi="宋体" w:cs="宋体"/>
          <w:color w:val="000000"/>
          <w:kern w:val="0"/>
          <w:sz w:val="24"/>
          <w:lang w:val="zh-CN"/>
        </w:rPr>
      </w:pPr>
    </w:p>
    <w:p>
      <w:pPr>
        <w:shd w:val="clear" w:color="auto" w:fill="FFFFFF"/>
        <w:adjustRightInd w:val="0"/>
        <w:snapToGrid w:val="0"/>
        <w:spacing w:line="360" w:lineRule="auto"/>
        <w:ind w:firstLine="480"/>
        <w:jc w:val="center"/>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zh-CN"/>
        </w:rPr>
        <w:t>投标人名称：（公章）</w:t>
      </w:r>
    </w:p>
    <w:p>
      <w:pPr>
        <w:shd w:val="clear" w:color="auto" w:fill="FFFFFF"/>
        <w:adjustRightInd w:val="0"/>
        <w:snapToGrid w:val="0"/>
        <w:spacing w:line="360" w:lineRule="auto"/>
        <w:ind w:firstLine="480"/>
        <w:jc w:val="center"/>
        <w:rPr>
          <w:rFonts w:ascii="宋体" w:hAnsi="宋体" w:cs="宋体"/>
          <w:color w:val="000000"/>
          <w:kern w:val="0"/>
          <w:sz w:val="24"/>
          <w:lang w:val="zh-CN"/>
        </w:rPr>
      </w:pPr>
      <w:r>
        <w:rPr>
          <w:rFonts w:hint="eastAsia" w:ascii="宋体" w:hAnsi="宋体" w:cs="宋体"/>
          <w:color w:val="000000"/>
          <w:kern w:val="0"/>
          <w:sz w:val="24"/>
          <w:lang w:val="zh-CN"/>
        </w:rPr>
        <w:t>法定（授权）代表人（签字）：</w:t>
      </w:r>
    </w:p>
    <w:p>
      <w:pPr>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日期：</w:t>
      </w:r>
    </w:p>
    <w:p>
      <w:pPr>
        <w:snapToGrid w:val="0"/>
        <w:spacing w:line="360" w:lineRule="auto"/>
        <w:jc w:val="center"/>
        <w:rPr>
          <w:rFonts w:ascii="宋体" w:hAnsi="宋体" w:cs="宋体"/>
          <w:color w:val="000000"/>
          <w:kern w:val="0"/>
          <w:sz w:val="24"/>
          <w:lang w:val="zh-CN"/>
        </w:rPr>
        <w:sectPr>
          <w:pgSz w:w="11906" w:h="16838"/>
          <w:pgMar w:top="1440" w:right="1466" w:bottom="1440" w:left="1800" w:header="851" w:footer="992" w:gutter="0"/>
          <w:cols w:space="425" w:num="1"/>
          <w:docGrid w:type="lines" w:linePitch="312" w:charSpace="0"/>
        </w:sectPr>
      </w:pPr>
    </w:p>
    <w:p>
      <w:pPr>
        <w:snapToGrid w:val="0"/>
        <w:spacing w:line="360" w:lineRule="auto"/>
        <w:jc w:val="center"/>
        <w:rPr>
          <w:rFonts w:ascii="宋体" w:hAnsi="宋体" w:cs="宋体"/>
          <w:color w:val="000000"/>
          <w:kern w:val="0"/>
          <w:sz w:val="24"/>
          <w:lang w:val="zh-CN"/>
        </w:rPr>
      </w:pPr>
    </w:p>
    <w:p>
      <w:pPr>
        <w:adjustRightInd w:val="0"/>
        <w:snapToGrid w:val="0"/>
        <w:rPr>
          <w:rFonts w:ascii="宋体" w:hAnsi="宋体"/>
          <w:color w:val="000000"/>
          <w:spacing w:val="20"/>
          <w:sz w:val="44"/>
        </w:rPr>
      </w:pPr>
      <w:r>
        <w:rPr>
          <w:rFonts w:hint="eastAsia" w:ascii="宋体" w:hAnsi="宋体"/>
          <w:iCs/>
          <w:color w:val="000000"/>
          <w:spacing w:val="20"/>
          <w:sz w:val="24"/>
        </w:rPr>
        <w:t>附件四</w:t>
      </w:r>
    </w:p>
    <w:p>
      <w:pPr>
        <w:pStyle w:val="3"/>
        <w:numPr>
          <w:ilvl w:val="1"/>
          <w:numId w:val="0"/>
        </w:numPr>
        <w:tabs>
          <w:tab w:val="clear" w:pos="720"/>
        </w:tabs>
        <w:jc w:val="center"/>
        <w:rPr>
          <w:sz w:val="36"/>
          <w:szCs w:val="36"/>
        </w:rPr>
      </w:pPr>
      <w:r>
        <w:rPr>
          <w:rFonts w:hint="eastAsia"/>
          <w:sz w:val="36"/>
          <w:szCs w:val="36"/>
        </w:rPr>
        <w:t>法定代表人授权委托书</w:t>
      </w:r>
    </w:p>
    <w:p>
      <w:pPr>
        <w:shd w:val="clear" w:color="auto" w:fill="FFFFFF"/>
        <w:adjustRightInd w:val="0"/>
        <w:snapToGrid w:val="0"/>
        <w:spacing w:line="360" w:lineRule="auto"/>
        <w:rPr>
          <w:rFonts w:ascii="宋体" w:hAnsi="宋体" w:cs="宋体"/>
          <w:color w:val="000000"/>
          <w:sz w:val="24"/>
        </w:rPr>
      </w:pPr>
      <w:r>
        <w:rPr>
          <w:rFonts w:hint="eastAsia" w:ascii="宋体" w:hAnsi="宋体" w:cs="宋体"/>
          <w:color w:val="000000"/>
          <w:sz w:val="24"/>
        </w:rPr>
        <w:t>浙江省肿瘤医院</w:t>
      </w:r>
      <w:r>
        <w:rPr>
          <w:rFonts w:hint="eastAsia" w:ascii="宋体" w:hAnsi="宋体" w:cs="宋体"/>
          <w:color w:val="000000"/>
          <w:kern w:val="0"/>
          <w:sz w:val="24"/>
          <w:lang w:val="zh-CN"/>
        </w:rPr>
        <w:t>：</w:t>
      </w:r>
    </w:p>
    <w:p>
      <w:pPr>
        <w:shd w:val="clear" w:color="auto" w:fill="FFFFFF"/>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兹委派我公司</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先生/女士(其在本公司的职务是：</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w:t>
      </w:r>
      <w:r>
        <w:rPr>
          <w:rFonts w:hint="eastAsia" w:ascii="宋体" w:hAnsi="宋体" w:cs="宋体"/>
          <w:color w:val="000000"/>
          <w:kern w:val="0"/>
          <w:sz w:val="24"/>
        </w:rPr>
        <w:t>身份证号：</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联系电话：</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手机：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)，代表我公司全权处理</w:t>
      </w:r>
      <w:r>
        <w:rPr>
          <w:rFonts w:hint="eastAsia" w:ascii="宋体" w:hAnsi="宋体" w:cs="宋体"/>
          <w:color w:val="000000"/>
          <w:sz w:val="24"/>
        </w:rPr>
        <w:t xml:space="preserve">浙江省肿瘤医院 </w:t>
      </w:r>
      <w:r>
        <w:rPr>
          <w:rFonts w:hint="eastAsia" w:ascii="宋体" w:hAnsi="宋体" w:cs="宋体"/>
          <w:color w:val="000000"/>
          <w:sz w:val="24"/>
          <w:u w:val="single"/>
        </w:rPr>
        <w:t xml:space="preserve">  医用耗材精细化管理  </w:t>
      </w:r>
      <w:r>
        <w:rPr>
          <w:rFonts w:hint="eastAsia" w:ascii="宋体" w:hAnsi="宋体" w:cs="宋体"/>
          <w:color w:val="000000"/>
          <w:sz w:val="24"/>
        </w:rPr>
        <w:t>(编号：</w:t>
      </w:r>
      <w:r>
        <w:rPr>
          <w:rFonts w:ascii="宋体" w:hAnsi="宋体" w:cs="宋体"/>
          <w:color w:val="000000"/>
          <w:sz w:val="24"/>
        </w:rPr>
        <w:t xml:space="preserve">      </w:t>
      </w:r>
      <w:r>
        <w:rPr>
          <w:rFonts w:hint="eastAsia" w:ascii="宋体" w:hAnsi="宋体" w:cs="宋体"/>
          <w:color w:val="000000"/>
          <w:sz w:val="24"/>
        </w:rPr>
        <w:t xml:space="preserve">      )采购投标的一切事项，若中标则全权代表本公司签订相关合同，</w:t>
      </w:r>
      <w:r>
        <w:rPr>
          <w:rFonts w:hint="eastAsia" w:ascii="宋体" w:hAnsi="宋体" w:cs="宋体"/>
          <w:color w:val="000000"/>
          <w:kern w:val="0"/>
          <w:sz w:val="24"/>
          <w:lang w:val="zh-CN"/>
        </w:rPr>
        <w:t>并负责处理合同履行等事宜。</w:t>
      </w:r>
    </w:p>
    <w:p>
      <w:pPr>
        <w:shd w:val="clear" w:color="auto" w:fill="FFFFFF"/>
        <w:adjustRightInd w:val="0"/>
        <w:snapToGrid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lang w:val="zh-CN"/>
        </w:rPr>
        <w:t>特此告知。</w:t>
      </w:r>
    </w:p>
    <w:p>
      <w:pPr>
        <w:shd w:val="clear" w:color="auto" w:fill="FFFFFF"/>
        <w:adjustRightInd w:val="0"/>
        <w:snapToGrid w:val="0"/>
        <w:spacing w:line="360" w:lineRule="auto"/>
        <w:ind w:firstLine="480"/>
        <w:rPr>
          <w:rFonts w:ascii="宋体" w:hAnsi="宋体" w:cs="宋体"/>
          <w:color w:val="000000"/>
          <w:kern w:val="0"/>
          <w:sz w:val="24"/>
          <w:lang w:val="zh-CN"/>
        </w:rPr>
      </w:pPr>
    </w:p>
    <w:p>
      <w:pPr>
        <w:widowControl/>
        <w:snapToGrid w:val="0"/>
        <w:spacing w:line="360" w:lineRule="auto"/>
        <w:ind w:right="210"/>
        <w:jc w:val="left"/>
        <w:rPr>
          <w:sz w:val="24"/>
          <w:szCs w:val="24"/>
        </w:rPr>
      </w:pPr>
      <w:r>
        <w:rPr>
          <w:rFonts w:hAnsi="宋体"/>
          <w:sz w:val="24"/>
          <w:szCs w:val="24"/>
        </w:rPr>
        <w:t>附：加盖投标人公章的授权人和被授权人身份证复印件</w:t>
      </w:r>
    </w:p>
    <w:p>
      <w:pPr>
        <w:shd w:val="clear" w:color="auto" w:fill="FFFFFF"/>
        <w:adjustRightInd w:val="0"/>
        <w:snapToGrid w:val="0"/>
        <w:spacing w:line="360" w:lineRule="auto"/>
        <w:rPr>
          <w:rFonts w:ascii="宋体" w:hAnsi="宋体" w:cs="宋体"/>
          <w:color w:val="000000"/>
          <w:kern w:val="0"/>
          <w:sz w:val="24"/>
          <w:lang w:val="zh-CN"/>
        </w:rPr>
      </w:pPr>
    </w:p>
    <w:p>
      <w:pPr>
        <w:shd w:val="clear" w:color="auto" w:fill="FFFFFF"/>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投标人名称(公章)：</w:t>
      </w:r>
    </w:p>
    <w:p>
      <w:pPr>
        <w:shd w:val="clear" w:color="auto" w:fill="FFFFFF"/>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法定代表人(签字或盖章)：</w:t>
      </w:r>
    </w:p>
    <w:p>
      <w:pPr>
        <w:shd w:val="clear" w:color="auto" w:fill="FFFFFF"/>
        <w:adjustRightInd w:val="0"/>
        <w:snapToGrid w:val="0"/>
        <w:spacing w:line="360" w:lineRule="auto"/>
        <w:ind w:firstLine="5160" w:firstLineChars="2150"/>
        <w:rPr>
          <w:rFonts w:ascii="宋体" w:hAnsi="宋体" w:cs="宋体"/>
          <w:b/>
          <w:bCs/>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w:t>
      </w:r>
    </w:p>
    <w:p>
      <w:pPr>
        <w:adjustRightInd w:val="0"/>
        <w:snapToGrid w:val="0"/>
        <w:rPr>
          <w:rFonts w:ascii="宋体" w:hAnsi="宋体"/>
          <w:color w:val="000000"/>
          <w:spacing w:val="20"/>
          <w:sz w:val="24"/>
        </w:rPr>
      </w:pPr>
    </w:p>
    <w:p>
      <w:pPr>
        <w:adjustRightInd w:val="0"/>
        <w:snapToGrid w:val="0"/>
        <w:rPr>
          <w:rFonts w:ascii="宋体" w:hAnsi="宋体"/>
          <w:color w:val="000000"/>
          <w:spacing w:val="20"/>
          <w:sz w:val="24"/>
        </w:rPr>
      </w:pPr>
    </w:p>
    <w:p>
      <w:pPr>
        <w:adjustRightInd w:val="0"/>
        <w:snapToGrid w:val="0"/>
        <w:rPr>
          <w:rFonts w:ascii="宋体" w:hAnsi="宋体"/>
          <w:color w:val="000000"/>
          <w:spacing w:val="20"/>
          <w:sz w:val="24"/>
        </w:rPr>
        <w:sectPr>
          <w:pgSz w:w="11906" w:h="16838"/>
          <w:pgMar w:top="1440" w:right="1466" w:bottom="1440" w:left="1800" w:header="851" w:footer="992" w:gutter="0"/>
          <w:cols w:space="425" w:num="1"/>
          <w:docGrid w:type="lines" w:linePitch="312" w:charSpace="0"/>
        </w:sectPr>
      </w:pPr>
    </w:p>
    <w:p>
      <w:pPr>
        <w:adjustRightInd w:val="0"/>
        <w:snapToGrid w:val="0"/>
        <w:rPr>
          <w:rFonts w:ascii="宋体" w:hAnsi="宋体"/>
          <w:color w:val="000000"/>
          <w:spacing w:val="20"/>
          <w:sz w:val="24"/>
        </w:rPr>
      </w:pPr>
      <w:r>
        <w:rPr>
          <w:rFonts w:hint="eastAsia" w:ascii="宋体" w:hAnsi="宋体"/>
          <w:color w:val="000000"/>
          <w:spacing w:val="20"/>
          <w:sz w:val="24"/>
        </w:rPr>
        <w:t>附件五</w:t>
      </w:r>
    </w:p>
    <w:p>
      <w:pPr>
        <w:pStyle w:val="3"/>
        <w:numPr>
          <w:ilvl w:val="1"/>
          <w:numId w:val="0"/>
        </w:numPr>
        <w:tabs>
          <w:tab w:val="clear" w:pos="720"/>
        </w:tabs>
        <w:jc w:val="center"/>
      </w:pPr>
      <w:r>
        <w:t>诚信承诺书</w:t>
      </w:r>
    </w:p>
    <w:p>
      <w:pPr>
        <w:widowControl/>
        <w:snapToGrid w:val="0"/>
        <w:spacing w:line="360" w:lineRule="auto"/>
        <w:ind w:right="210"/>
        <w:jc w:val="center"/>
        <w:rPr>
          <w:b/>
          <w:szCs w:val="21"/>
        </w:rPr>
      </w:pPr>
    </w:p>
    <w:p>
      <w:pPr>
        <w:widowControl/>
        <w:snapToGrid w:val="0"/>
        <w:spacing w:line="360" w:lineRule="auto"/>
        <w:ind w:right="210"/>
        <w:jc w:val="left"/>
        <w:rPr>
          <w:szCs w:val="21"/>
          <w:u w:val="single"/>
        </w:rPr>
      </w:pPr>
      <w:r>
        <w:rPr>
          <w:rFonts w:hAnsi="宋体"/>
          <w:szCs w:val="21"/>
        </w:rPr>
        <w:t>致：</w:t>
      </w:r>
      <w:r>
        <w:rPr>
          <w:rFonts w:hAnsi="宋体"/>
          <w:szCs w:val="21"/>
          <w:u w:val="single"/>
        </w:rPr>
        <w:t>(招标人名称)</w:t>
      </w:r>
    </w:p>
    <w:p>
      <w:pPr>
        <w:widowControl/>
        <w:snapToGrid w:val="0"/>
        <w:spacing w:line="360" w:lineRule="auto"/>
        <w:ind w:right="210" w:firstLine="424" w:firstLineChars="202"/>
        <w:jc w:val="left"/>
        <w:rPr>
          <w:szCs w:val="21"/>
        </w:rPr>
      </w:pPr>
      <w:r>
        <w:rPr>
          <w:rFonts w:hAnsi="宋体"/>
          <w:szCs w:val="21"/>
        </w:rPr>
        <w:t>为维护(招标项目名称)招标投标活动的公开、公平、公正，自觉抵制失信、违规、违法行为，我单位在此郑重承诺：</w:t>
      </w:r>
    </w:p>
    <w:p>
      <w:pPr>
        <w:widowControl/>
        <w:snapToGrid w:val="0"/>
        <w:spacing w:line="360" w:lineRule="auto"/>
        <w:ind w:right="210" w:firstLine="424" w:firstLineChars="202"/>
        <w:jc w:val="left"/>
        <w:rPr>
          <w:szCs w:val="21"/>
        </w:rPr>
      </w:pPr>
      <w:r>
        <w:rPr>
          <w:szCs w:val="21"/>
        </w:rPr>
        <w:t>1</w:t>
      </w:r>
      <w:r>
        <w:rPr>
          <w:rFonts w:hAnsi="宋体"/>
          <w:szCs w:val="21"/>
        </w:rPr>
        <w:t>、严格遵守《中华人民共和国招标投标法》和有关法律、法规、规章，诚实守信，自觉接受政府和社会监督。</w:t>
      </w:r>
    </w:p>
    <w:p>
      <w:pPr>
        <w:widowControl/>
        <w:snapToGrid w:val="0"/>
        <w:spacing w:line="360" w:lineRule="auto"/>
        <w:ind w:right="210" w:firstLine="424" w:firstLineChars="202"/>
        <w:jc w:val="left"/>
        <w:rPr>
          <w:szCs w:val="21"/>
        </w:rPr>
      </w:pPr>
      <w:r>
        <w:rPr>
          <w:szCs w:val="21"/>
        </w:rPr>
        <w:t>2</w:t>
      </w:r>
      <w:r>
        <w:rPr>
          <w:rFonts w:hAnsi="宋体"/>
          <w:szCs w:val="21"/>
        </w:rPr>
        <w:t>、本单位将严格遵守法律、法规和招标文件规定的投标程序。绝不隐瞒真实情况、弄虚作假、骗取投标和中标资格。</w:t>
      </w:r>
    </w:p>
    <w:p>
      <w:pPr>
        <w:widowControl/>
        <w:snapToGrid w:val="0"/>
        <w:spacing w:line="360" w:lineRule="auto"/>
        <w:ind w:right="210" w:firstLine="424" w:firstLineChars="202"/>
        <w:jc w:val="left"/>
        <w:rPr>
          <w:szCs w:val="21"/>
        </w:rPr>
      </w:pPr>
      <w:r>
        <w:rPr>
          <w:szCs w:val="21"/>
        </w:rPr>
        <w:t>3</w:t>
      </w:r>
      <w:r>
        <w:rPr>
          <w:rFonts w:hAnsi="宋体"/>
          <w:szCs w:val="21"/>
        </w:rPr>
        <w:t>、本单位坚决抵制和杜绝串标、围标、哄抬报价、贿赂、回扣等违法投标和不正当竞争行为；绝不违背国家有关价格规定或低于成本价竞争。</w:t>
      </w:r>
    </w:p>
    <w:p>
      <w:pPr>
        <w:widowControl/>
        <w:snapToGrid w:val="0"/>
        <w:spacing w:line="360" w:lineRule="auto"/>
        <w:ind w:right="210" w:firstLine="424" w:firstLineChars="202"/>
        <w:jc w:val="left"/>
        <w:rPr>
          <w:szCs w:val="21"/>
        </w:rPr>
      </w:pPr>
      <w:r>
        <w:rPr>
          <w:szCs w:val="21"/>
        </w:rPr>
        <w:t>4</w:t>
      </w:r>
      <w:r>
        <w:rPr>
          <w:rFonts w:hAnsi="宋体"/>
          <w:szCs w:val="21"/>
        </w:rPr>
        <w:t>、经评标委员会推荐为中标候选人后至收到中标通知书之前，未经招标人同意，不撤回投标文件。</w:t>
      </w:r>
    </w:p>
    <w:p>
      <w:pPr>
        <w:widowControl/>
        <w:snapToGrid w:val="0"/>
        <w:spacing w:line="360" w:lineRule="auto"/>
        <w:ind w:right="210" w:firstLine="424" w:firstLineChars="202"/>
        <w:jc w:val="left"/>
        <w:rPr>
          <w:szCs w:val="21"/>
        </w:rPr>
      </w:pPr>
      <w:r>
        <w:rPr>
          <w:szCs w:val="21"/>
        </w:rPr>
        <w:t>5</w:t>
      </w:r>
      <w:r>
        <w:rPr>
          <w:rFonts w:hAnsi="宋体"/>
          <w:szCs w:val="21"/>
        </w:rPr>
        <w:t>、中标后，严格按照招标文件有关规定签订和履行合同，不擅自放弃中标。</w:t>
      </w:r>
    </w:p>
    <w:p>
      <w:pPr>
        <w:widowControl/>
        <w:snapToGrid w:val="0"/>
        <w:spacing w:line="360" w:lineRule="auto"/>
        <w:ind w:right="210" w:firstLine="424" w:firstLineChars="202"/>
        <w:jc w:val="left"/>
        <w:rPr>
          <w:szCs w:val="21"/>
        </w:rPr>
      </w:pPr>
      <w:r>
        <w:rPr>
          <w:szCs w:val="21"/>
        </w:rPr>
        <w:t>6</w:t>
      </w:r>
      <w:r>
        <w:rPr>
          <w:rFonts w:hAnsi="宋体"/>
          <w:szCs w:val="21"/>
        </w:rPr>
        <w:t>、本单位将依法经营、公平竞争，绝不采取虚假、诽谤、恶意投诉等违法或不正当手段损害、侵犯同行企业的正当权益。</w:t>
      </w:r>
    </w:p>
    <w:p>
      <w:pPr>
        <w:widowControl/>
        <w:snapToGrid w:val="0"/>
        <w:spacing w:line="360" w:lineRule="auto"/>
        <w:ind w:right="210" w:firstLine="424" w:firstLineChars="202"/>
        <w:jc w:val="left"/>
        <w:rPr>
          <w:szCs w:val="21"/>
        </w:rPr>
      </w:pPr>
      <w:r>
        <w:rPr>
          <w:szCs w:val="21"/>
        </w:rPr>
        <w:t>7</w:t>
      </w:r>
      <w:r>
        <w:rPr>
          <w:rFonts w:hAnsi="宋体"/>
          <w:szCs w:val="21"/>
        </w:rPr>
        <w:t>、如退出本项目投标，我单位保证在投标截止时间五日前以加盖公章的书面形式向招标人和招标代理正式提出退出投标，并陈述理由，电话等口头形式不作为我单位退出本次投标的书面函件。</w:t>
      </w:r>
    </w:p>
    <w:p>
      <w:pPr>
        <w:widowControl/>
        <w:snapToGrid w:val="0"/>
        <w:spacing w:line="360" w:lineRule="auto"/>
        <w:ind w:right="210" w:firstLine="424" w:firstLineChars="202"/>
        <w:jc w:val="left"/>
        <w:rPr>
          <w:szCs w:val="21"/>
        </w:rPr>
      </w:pPr>
      <w:r>
        <w:rPr>
          <w:szCs w:val="21"/>
        </w:rPr>
        <w:t>8</w:t>
      </w:r>
      <w:r>
        <w:rPr>
          <w:rFonts w:hAnsi="宋体"/>
          <w:szCs w:val="21"/>
        </w:rPr>
        <w:t>、如我单位有幸中标，将按照招标文件规定，在领取中标通知书之前向招标代理一次性支付招标代理服务费和其他相关费用。</w:t>
      </w:r>
    </w:p>
    <w:p>
      <w:pPr>
        <w:widowControl/>
        <w:snapToGrid w:val="0"/>
        <w:spacing w:line="360" w:lineRule="auto"/>
        <w:ind w:right="210" w:firstLine="424" w:firstLineChars="202"/>
        <w:jc w:val="left"/>
        <w:rPr>
          <w:szCs w:val="21"/>
        </w:rPr>
      </w:pPr>
      <w:r>
        <w:rPr>
          <w:rFonts w:hAnsi="宋体"/>
          <w:szCs w:val="21"/>
        </w:rPr>
        <w:t>在本项目的投标活动中，本单位如违背上述承诺，愿意接受行政主管部门的查处，并承担以下后果：</w:t>
      </w:r>
    </w:p>
    <w:p>
      <w:pPr>
        <w:widowControl/>
        <w:snapToGrid w:val="0"/>
        <w:spacing w:line="360" w:lineRule="auto"/>
        <w:ind w:right="210" w:firstLine="424" w:firstLineChars="202"/>
        <w:jc w:val="left"/>
        <w:rPr>
          <w:szCs w:val="21"/>
        </w:rPr>
      </w:pPr>
      <w:r>
        <w:rPr>
          <w:szCs w:val="21"/>
        </w:rPr>
        <w:t>1</w:t>
      </w:r>
      <w:r>
        <w:rPr>
          <w:rFonts w:hAnsi="宋体"/>
          <w:szCs w:val="21"/>
        </w:rPr>
        <w:t>、没收投标保证金；</w:t>
      </w:r>
    </w:p>
    <w:p>
      <w:pPr>
        <w:widowControl/>
        <w:snapToGrid w:val="0"/>
        <w:spacing w:line="360" w:lineRule="auto"/>
        <w:ind w:right="210" w:firstLine="424" w:firstLineChars="202"/>
        <w:jc w:val="left"/>
        <w:rPr>
          <w:szCs w:val="21"/>
        </w:rPr>
      </w:pPr>
      <w:r>
        <w:rPr>
          <w:szCs w:val="21"/>
        </w:rPr>
        <w:t>2</w:t>
      </w:r>
      <w:r>
        <w:rPr>
          <w:rFonts w:hAnsi="宋体"/>
          <w:szCs w:val="21"/>
        </w:rPr>
        <w:t>、行政主管部门的行政处罚；</w:t>
      </w:r>
    </w:p>
    <w:p>
      <w:pPr>
        <w:widowControl/>
        <w:snapToGrid w:val="0"/>
        <w:spacing w:line="360" w:lineRule="auto"/>
        <w:ind w:right="210" w:firstLine="424" w:firstLineChars="202"/>
        <w:jc w:val="left"/>
        <w:rPr>
          <w:szCs w:val="21"/>
        </w:rPr>
      </w:pPr>
      <w:r>
        <w:rPr>
          <w:szCs w:val="21"/>
        </w:rPr>
        <w:t>3</w:t>
      </w:r>
      <w:r>
        <w:rPr>
          <w:rFonts w:hAnsi="宋体"/>
          <w:szCs w:val="21"/>
        </w:rPr>
        <w:t>、法律法规规定的法律责任。</w:t>
      </w:r>
    </w:p>
    <w:p>
      <w:pPr>
        <w:widowControl/>
        <w:snapToGrid w:val="0"/>
        <w:spacing w:line="360" w:lineRule="auto"/>
        <w:ind w:right="210"/>
        <w:jc w:val="left"/>
        <w:rPr>
          <w:szCs w:val="21"/>
        </w:rPr>
      </w:pPr>
    </w:p>
    <w:p>
      <w:pPr>
        <w:shd w:val="clear" w:color="auto" w:fill="FFFFFF"/>
        <w:adjustRightInd w:val="0"/>
        <w:snapToGrid w:val="0"/>
        <w:spacing w:line="360" w:lineRule="auto"/>
        <w:rPr>
          <w:rFonts w:ascii="宋体" w:hAnsi="宋体" w:cs="宋体"/>
          <w:color w:val="000000"/>
          <w:kern w:val="0"/>
          <w:sz w:val="24"/>
          <w:lang w:val="zh-CN"/>
        </w:rPr>
      </w:pPr>
    </w:p>
    <w:p>
      <w:pPr>
        <w:shd w:val="clear" w:color="auto" w:fill="FFFFFF"/>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投标人名称(公章)：</w:t>
      </w:r>
    </w:p>
    <w:p>
      <w:pPr>
        <w:shd w:val="clear" w:color="auto" w:fill="FFFFFF"/>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法定代表人(签字或盖章)：</w:t>
      </w:r>
    </w:p>
    <w:p>
      <w:pPr>
        <w:shd w:val="clear" w:color="auto" w:fill="FFFFFF"/>
        <w:adjustRightInd w:val="0"/>
        <w:snapToGrid w:val="0"/>
        <w:spacing w:line="360" w:lineRule="auto"/>
        <w:ind w:firstLine="5160" w:firstLineChars="2150"/>
        <w:rPr>
          <w:rFonts w:ascii="宋体" w:hAnsi="宋体"/>
          <w:color w:val="000000"/>
          <w:spacing w:val="20"/>
          <w:sz w:val="24"/>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w:t>
      </w:r>
    </w:p>
    <w:p>
      <w:pPr>
        <w:adjustRightInd w:val="0"/>
        <w:snapToGrid w:val="0"/>
        <w:spacing w:line="360" w:lineRule="auto"/>
        <w:rPr>
          <w:rFonts w:ascii="宋体" w:hAnsi="宋体" w:cs="宋体"/>
          <w:b/>
          <w:color w:val="000000"/>
          <w:kern w:val="0"/>
          <w:sz w:val="24"/>
        </w:rPr>
        <w:sectPr>
          <w:pgSz w:w="11906" w:h="16838"/>
          <w:pgMar w:top="1440" w:right="1466" w:bottom="1440" w:left="1800" w:header="851" w:footer="992" w:gutter="0"/>
          <w:cols w:space="425" w:num="1"/>
          <w:docGrid w:type="lines" w:linePitch="312" w:charSpace="0"/>
        </w:sectPr>
      </w:pPr>
    </w:p>
    <w:p>
      <w:pPr>
        <w:adjustRightInd w:val="0"/>
        <w:snapToGrid w:val="0"/>
        <w:rPr>
          <w:rFonts w:ascii="宋体" w:hAnsi="宋体" w:cs="宋体"/>
          <w:color w:val="000000"/>
        </w:rPr>
      </w:pPr>
      <w:r>
        <w:rPr>
          <w:rFonts w:hint="eastAsia" w:ascii="宋体" w:hAnsi="宋体"/>
          <w:color w:val="000000"/>
          <w:sz w:val="24"/>
        </w:rPr>
        <w:t>附件六</w:t>
      </w:r>
    </w:p>
    <w:p>
      <w:pPr>
        <w:pStyle w:val="3"/>
        <w:numPr>
          <w:ilvl w:val="1"/>
          <w:numId w:val="0"/>
        </w:numPr>
        <w:tabs>
          <w:tab w:val="clear" w:pos="720"/>
        </w:tabs>
        <w:jc w:val="center"/>
      </w:pPr>
      <w:bookmarkStart w:id="0" w:name="_Toc9920"/>
      <w:bookmarkStart w:id="1" w:name="_Toc23535"/>
      <w:bookmarkStart w:id="2" w:name="_Toc22702"/>
      <w:bookmarkStart w:id="3" w:name="_Toc30579"/>
      <w:bookmarkStart w:id="4" w:name="_Toc12694"/>
      <w:bookmarkStart w:id="5" w:name="_Toc20673"/>
      <w:r>
        <w:rPr>
          <w:rFonts w:hint="eastAsia"/>
        </w:rPr>
        <w:t>具有履行合同所必需的专业服务（技术）能力的承诺函</w:t>
      </w:r>
      <w:bookmarkEnd w:id="0"/>
      <w:bookmarkEnd w:id="1"/>
      <w:bookmarkEnd w:id="2"/>
      <w:bookmarkEnd w:id="3"/>
      <w:bookmarkEnd w:id="4"/>
      <w:bookmarkEnd w:id="5"/>
    </w:p>
    <w:p>
      <w:pPr>
        <w:adjustRightInd w:val="0"/>
        <w:snapToGrid w:val="0"/>
        <w:rPr>
          <w:rFonts w:ascii="宋体" w:hAnsi="宋体" w:cs="宋体"/>
          <w:color w:val="000000"/>
        </w:rPr>
      </w:pPr>
    </w:p>
    <w:p>
      <w:pPr>
        <w:adjustRightInd w:val="0"/>
        <w:snapToGrid w:val="0"/>
        <w:rPr>
          <w:rFonts w:ascii="宋体" w:hAnsi="宋体" w:cs="宋体"/>
          <w:color w:val="000000"/>
        </w:rPr>
      </w:pPr>
    </w:p>
    <w:p>
      <w:pPr>
        <w:widowControl/>
        <w:adjustRightInd w:val="0"/>
        <w:snapToGrid w:val="0"/>
        <w:spacing w:line="360" w:lineRule="auto"/>
        <w:jc w:val="left"/>
        <w:rPr>
          <w:rFonts w:ascii="宋体" w:hAnsi="宋体" w:cs="宋体"/>
          <w:color w:val="000000"/>
          <w:kern w:val="0"/>
          <w:sz w:val="24"/>
        </w:rPr>
      </w:pPr>
      <w:r>
        <w:rPr>
          <w:rFonts w:hint="eastAsia" w:ascii="宋体" w:hAnsi="宋体" w:cs="宋体"/>
          <w:color w:val="000000"/>
          <w:kern w:val="0"/>
          <w:sz w:val="24"/>
          <w:u w:val="single"/>
        </w:rPr>
        <w:t>浙江省肿瘤医院</w:t>
      </w:r>
      <w:r>
        <w:rPr>
          <w:rFonts w:hint="eastAsia" w:ascii="宋体" w:hAnsi="宋体" w:cs="宋体"/>
          <w:color w:val="000000"/>
          <w:kern w:val="0"/>
          <w:sz w:val="24"/>
        </w:rPr>
        <w:t>：</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w:t>
      </w:r>
      <w:r>
        <w:rPr>
          <w:rFonts w:hint="eastAsia" w:ascii="宋体" w:hAnsi="宋体" w:cs="宋体"/>
          <w:color w:val="000000"/>
          <w:kern w:val="0"/>
          <w:sz w:val="24"/>
        </w:rPr>
        <w:t>承诺具有履行合同所必需的专业服务（技术）能力。如有虚假，采购人可取消我方任何资格（投标/中标/签订合同），我方对此无任何异议。</w:t>
      </w: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特此承诺！</w:t>
      </w: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供应商名称（盖章） ：</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法定代表人或其授权代表（签字或盖章）：</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日期：     年   月   日</w:t>
      </w:r>
    </w:p>
    <w:p>
      <w:pPr>
        <w:widowControl/>
        <w:adjustRightInd w:val="0"/>
        <w:snapToGrid w:val="0"/>
        <w:spacing w:line="360" w:lineRule="auto"/>
        <w:ind w:firstLine="420" w:firstLineChars="200"/>
        <w:jc w:val="left"/>
        <w:rPr>
          <w:rFonts w:ascii="宋体" w:hAnsi="宋体" w:cs="宋体"/>
          <w:color w:val="000000"/>
          <w:kern w:val="0"/>
          <w:szCs w:val="21"/>
        </w:rPr>
      </w:pPr>
    </w:p>
    <w:p>
      <w:pPr>
        <w:widowControl/>
        <w:adjustRightInd w:val="0"/>
        <w:snapToGrid w:val="0"/>
        <w:spacing w:line="360" w:lineRule="auto"/>
        <w:ind w:firstLine="420" w:firstLineChars="200"/>
        <w:jc w:val="left"/>
        <w:rPr>
          <w:rFonts w:ascii="宋体" w:hAnsi="宋体" w:cs="宋体"/>
          <w:color w:val="000000"/>
          <w:kern w:val="0"/>
          <w:szCs w:val="21"/>
        </w:rPr>
        <w:sectPr>
          <w:pgSz w:w="11906" w:h="16838"/>
          <w:pgMar w:top="1440" w:right="1466" w:bottom="1440" w:left="1800" w:header="851" w:footer="992" w:gutter="0"/>
          <w:cols w:space="425" w:num="1"/>
          <w:docGrid w:type="lines" w:linePitch="312" w:charSpace="0"/>
        </w:sectPr>
      </w:pPr>
    </w:p>
    <w:p>
      <w:pPr>
        <w:adjustRightInd w:val="0"/>
        <w:snapToGrid w:val="0"/>
        <w:spacing w:line="440" w:lineRule="atLeast"/>
        <w:rPr>
          <w:rFonts w:ascii="宋体" w:hAnsi="宋体" w:cs="宋体"/>
          <w:color w:val="000000"/>
          <w:kern w:val="0"/>
          <w:szCs w:val="21"/>
        </w:rPr>
      </w:pPr>
      <w:r>
        <w:rPr>
          <w:rFonts w:hint="eastAsia" w:ascii="宋体" w:hAnsi="宋体"/>
          <w:color w:val="000000"/>
          <w:sz w:val="24"/>
        </w:rPr>
        <w:t>附件七</w:t>
      </w:r>
    </w:p>
    <w:p>
      <w:pPr>
        <w:pStyle w:val="3"/>
        <w:numPr>
          <w:ilvl w:val="1"/>
          <w:numId w:val="0"/>
        </w:numPr>
        <w:tabs>
          <w:tab w:val="clear" w:pos="720"/>
        </w:tabs>
        <w:jc w:val="center"/>
      </w:pPr>
      <w:bookmarkStart w:id="6" w:name="_Toc14589"/>
      <w:bookmarkStart w:id="7" w:name="_Toc11360"/>
      <w:bookmarkStart w:id="8" w:name="_Toc28957"/>
      <w:bookmarkStart w:id="9" w:name="_Toc6606"/>
      <w:bookmarkStart w:id="10" w:name="_Toc10630"/>
      <w:bookmarkStart w:id="11" w:name="_Toc31544"/>
      <w:r>
        <w:rPr>
          <w:rFonts w:hint="eastAsia"/>
        </w:rPr>
        <w:t>参加政府采购活动前3年内在经营活动中没有重大违法记录的声明函</w:t>
      </w:r>
      <w:bookmarkEnd w:id="6"/>
      <w:bookmarkEnd w:id="7"/>
      <w:bookmarkEnd w:id="8"/>
      <w:bookmarkEnd w:id="9"/>
      <w:bookmarkEnd w:id="10"/>
      <w:bookmarkEnd w:id="11"/>
    </w:p>
    <w:p>
      <w:pPr>
        <w:widowControl/>
        <w:adjustRightInd w:val="0"/>
        <w:snapToGrid w:val="0"/>
        <w:spacing w:line="360" w:lineRule="auto"/>
        <w:jc w:val="left"/>
        <w:rPr>
          <w:rFonts w:ascii="宋体" w:hAnsi="宋体" w:cs="宋体"/>
          <w:color w:val="000000"/>
          <w:kern w:val="0"/>
          <w:sz w:val="24"/>
        </w:rPr>
      </w:pPr>
      <w:r>
        <w:rPr>
          <w:rFonts w:hint="eastAsia" w:ascii="宋体" w:hAnsi="宋体" w:cs="宋体"/>
          <w:color w:val="000000"/>
          <w:kern w:val="0"/>
          <w:sz w:val="24"/>
          <w:u w:val="single"/>
        </w:rPr>
        <w:t>浙江省肿瘤医院</w:t>
      </w:r>
      <w:r>
        <w:rPr>
          <w:rFonts w:hint="eastAsia" w:ascii="宋体" w:hAnsi="宋体" w:cs="宋体"/>
          <w:color w:val="000000"/>
          <w:kern w:val="0"/>
          <w:sz w:val="24"/>
        </w:rPr>
        <w:t>：</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w:t>
      </w:r>
      <w:r>
        <w:rPr>
          <w:rFonts w:hint="eastAsia" w:ascii="宋体" w:hAnsi="宋体" w:cs="宋体"/>
          <w:color w:val="000000"/>
          <w:kern w:val="0"/>
          <w:sz w:val="24"/>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特此承诺！</w:t>
      </w: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供应商名称（盖章） ：</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法定代表人或其授权代表（签字或盖章）：</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日期：     年   月   日</w:t>
      </w:r>
    </w:p>
    <w:p>
      <w:pPr>
        <w:adjustRightInd w:val="0"/>
        <w:snapToGrid w:val="0"/>
        <w:rPr>
          <w:rFonts w:ascii="宋体" w:hAnsi="宋体" w:cs="宋体"/>
          <w:color w:val="000000"/>
        </w:rPr>
      </w:pPr>
    </w:p>
    <w:p>
      <w:pPr>
        <w:adjustRightInd w:val="0"/>
        <w:snapToGrid w:val="0"/>
        <w:spacing w:line="440" w:lineRule="atLeast"/>
        <w:ind w:firstLine="640" w:firstLineChars="200"/>
        <w:rPr>
          <w:rFonts w:ascii="宋体" w:hAnsi="宋体"/>
          <w:color w:val="000000"/>
          <w:spacing w:val="20"/>
          <w:sz w:val="28"/>
        </w:rPr>
      </w:pPr>
    </w:p>
    <w:p>
      <w:pPr>
        <w:adjustRightInd w:val="0"/>
        <w:snapToGrid w:val="0"/>
        <w:spacing w:line="440" w:lineRule="atLeast"/>
        <w:ind w:firstLine="640" w:firstLineChars="200"/>
        <w:rPr>
          <w:rFonts w:ascii="宋体" w:hAnsi="宋体"/>
          <w:color w:val="000000"/>
          <w:spacing w:val="20"/>
          <w:sz w:val="28"/>
        </w:rPr>
      </w:pPr>
    </w:p>
    <w:p>
      <w:pPr>
        <w:adjustRightInd w:val="0"/>
        <w:snapToGrid w:val="0"/>
        <w:spacing w:line="440" w:lineRule="atLeast"/>
        <w:rPr>
          <w:rFonts w:ascii="宋体" w:hAnsi="宋体"/>
          <w:color w:val="000000"/>
          <w:spacing w:val="20"/>
          <w:sz w:val="28"/>
        </w:rPr>
        <w:sectPr>
          <w:pgSz w:w="11906" w:h="16838"/>
          <w:pgMar w:top="1440" w:right="1466" w:bottom="1440" w:left="1800" w:header="851" w:footer="992" w:gutter="0"/>
          <w:cols w:space="425" w:num="1"/>
          <w:docGrid w:type="lines" w:linePitch="312" w:charSpace="0"/>
        </w:sectPr>
      </w:pPr>
    </w:p>
    <w:p>
      <w:pPr>
        <w:pStyle w:val="2"/>
        <w:numPr>
          <w:ilvl w:val="0"/>
          <w:numId w:val="0"/>
        </w:numPr>
        <w:tabs>
          <w:tab w:val="clear" w:pos="360"/>
        </w:tabs>
        <w:jc w:val="center"/>
        <w:rPr>
          <w:rFonts w:hAnsi="宋体"/>
          <w:kern w:val="0"/>
          <w:sz w:val="32"/>
          <w:szCs w:val="32"/>
        </w:rPr>
      </w:pPr>
      <w:r>
        <w:rPr>
          <w:rFonts w:hint="eastAsia"/>
          <w:sz w:val="32"/>
          <w:szCs w:val="32"/>
        </w:rPr>
        <w:t>浙江省肿瘤医院</w:t>
      </w:r>
      <w:r>
        <w:rPr>
          <w:rFonts w:hint="eastAsia" w:hAnsi="宋体"/>
          <w:sz w:val="24"/>
          <w:szCs w:val="24"/>
          <w:u w:val="single"/>
        </w:rPr>
        <w:t xml:space="preserve">                    </w:t>
      </w:r>
      <w:r>
        <w:rPr>
          <w:rFonts w:hint="eastAsia"/>
          <w:sz w:val="32"/>
          <w:szCs w:val="32"/>
        </w:rPr>
        <w:t>项目合同</w:t>
      </w:r>
    </w:p>
    <w:p>
      <w:pPr>
        <w:pStyle w:val="14"/>
        <w:snapToGrid w:val="0"/>
        <w:spacing w:line="440" w:lineRule="exact"/>
        <w:ind w:firstLine="560" w:firstLineChars="200"/>
        <w:jc w:val="center"/>
        <w:rPr>
          <w:rFonts w:hint="eastAsia" w:hAnsi="宋体"/>
          <w:b/>
          <w:bCs/>
          <w:color w:val="000000"/>
          <w:szCs w:val="21"/>
        </w:rPr>
      </w:pPr>
      <w:r>
        <w:rPr>
          <w:rFonts w:hint="eastAsia" w:hAnsi="宋体"/>
          <w:bCs/>
          <w:color w:val="000000"/>
          <w:sz w:val="28"/>
          <w:szCs w:val="28"/>
        </w:rPr>
        <w:t xml:space="preserve">                        </w:t>
      </w:r>
      <w:r>
        <w:rPr>
          <w:rFonts w:hint="eastAsia" w:hAnsi="宋体"/>
          <w:b/>
          <w:bCs/>
          <w:color w:val="000000"/>
          <w:szCs w:val="21"/>
        </w:rPr>
        <w:t xml:space="preserve">              *（以最终签订的合同为准）</w:t>
      </w:r>
    </w:p>
    <w:p>
      <w:pPr>
        <w:pStyle w:val="14"/>
        <w:snapToGrid w:val="0"/>
        <w:spacing w:line="440" w:lineRule="exact"/>
        <w:ind w:left="2098" w:firstLine="422" w:firstLineChars="200"/>
        <w:jc w:val="center"/>
        <w:rPr>
          <w:rFonts w:hAnsi="宋体"/>
          <w:b/>
          <w:bCs/>
          <w:color w:val="000000"/>
          <w:szCs w:val="21"/>
        </w:rPr>
      </w:pPr>
      <w:r>
        <w:rPr>
          <w:rFonts w:hint="eastAsia" w:hAnsi="宋体"/>
          <w:b/>
          <w:bCs/>
          <w:color w:val="000000"/>
          <w:szCs w:val="21"/>
        </w:rPr>
        <w:t>项目编号：</w:t>
      </w:r>
    </w:p>
    <w:p>
      <w:pPr>
        <w:autoSpaceDE w:val="0"/>
        <w:autoSpaceDN w:val="0"/>
        <w:adjustRightInd w:val="0"/>
        <w:spacing w:beforeLines="50" w:line="420" w:lineRule="exact"/>
        <w:rPr>
          <w:rFonts w:ascii="宋体" w:hAnsi="Courier New"/>
          <w:b/>
          <w:kern w:val="0"/>
          <w:sz w:val="24"/>
        </w:rPr>
      </w:pPr>
      <w:r>
        <w:rPr>
          <w:rFonts w:hint="eastAsia" w:ascii="宋体" w:hAnsi="Courier New"/>
          <w:b/>
          <w:kern w:val="0"/>
          <w:sz w:val="24"/>
        </w:rPr>
        <w:t>甲方：浙江省肿瘤医院                      合同编号：LCYY-CG</w:t>
      </w:r>
      <w:r>
        <w:rPr>
          <w:rFonts w:hint="eastAsia" w:ascii="宋体" w:hAnsi="Courier New"/>
          <w:b/>
          <w:kern w:val="0"/>
          <w:sz w:val="24"/>
          <w:u w:val="single"/>
        </w:rPr>
        <w:t xml:space="preserve">     </w:t>
      </w:r>
      <w:r>
        <w:rPr>
          <w:rFonts w:hint="eastAsia" w:ascii="宋体" w:hAnsi="Courier New"/>
          <w:b/>
          <w:kern w:val="0"/>
          <w:sz w:val="24"/>
        </w:rPr>
        <w:t xml:space="preserve">  </w:t>
      </w:r>
    </w:p>
    <w:p>
      <w:pPr>
        <w:autoSpaceDE w:val="0"/>
        <w:autoSpaceDN w:val="0"/>
        <w:adjustRightInd w:val="0"/>
        <w:spacing w:beforeLines="50" w:line="420" w:lineRule="exact"/>
        <w:rPr>
          <w:rFonts w:ascii="宋体" w:hAnsi="Courier New"/>
          <w:b/>
          <w:kern w:val="0"/>
          <w:sz w:val="24"/>
        </w:rPr>
      </w:pPr>
      <w:r>
        <w:rPr>
          <w:rFonts w:hint="eastAsia" w:ascii="宋体" w:hAnsi="Courier New"/>
          <w:b/>
          <w:kern w:val="0"/>
          <w:sz w:val="24"/>
        </w:rPr>
        <w:t>乙方：</w:t>
      </w:r>
      <w:r>
        <w:rPr>
          <w:rFonts w:ascii="宋体" w:hAnsi="Courier New"/>
          <w:b/>
          <w:kern w:val="0"/>
          <w:sz w:val="24"/>
        </w:rPr>
        <w:t xml:space="preserve"> </w:t>
      </w:r>
    </w:p>
    <w:p>
      <w:pPr>
        <w:autoSpaceDE w:val="0"/>
        <w:autoSpaceDN w:val="0"/>
        <w:adjustRightInd w:val="0"/>
        <w:spacing w:beforeLines="50" w:line="420" w:lineRule="exact"/>
        <w:ind w:firstLine="480" w:firstLineChars="200"/>
        <w:rPr>
          <w:rFonts w:ascii="宋体" w:hAnsi="宋体"/>
          <w:sz w:val="24"/>
        </w:rPr>
      </w:pPr>
      <w:r>
        <w:rPr>
          <w:rFonts w:hint="eastAsia" w:ascii="宋体" w:hAnsi="宋体"/>
          <w:sz w:val="24"/>
        </w:rPr>
        <w:t>经双方协商，乙方承担浙江省肿瘤医院</w:t>
      </w:r>
      <w:r>
        <w:rPr>
          <w:rFonts w:hint="eastAsia" w:ascii="宋体" w:hAnsi="宋体"/>
          <w:sz w:val="24"/>
          <w:u w:val="single"/>
        </w:rPr>
        <w:t xml:space="preserve">                        </w:t>
      </w:r>
      <w:r>
        <w:rPr>
          <w:rFonts w:hint="eastAsia" w:ascii="宋体" w:hAnsi="宋体"/>
          <w:sz w:val="24"/>
        </w:rPr>
        <w:t>项目的供应、安装、调试开通、培训以及相关的服务工作，具体协议如下：</w:t>
      </w:r>
    </w:p>
    <w:p>
      <w:pPr>
        <w:pStyle w:val="14"/>
        <w:widowControl w:val="0"/>
        <w:snapToGrid w:val="0"/>
        <w:spacing w:beforeLines="50" w:line="420" w:lineRule="exact"/>
        <w:ind w:firstLine="482" w:firstLineChars="200"/>
        <w:jc w:val="both"/>
        <w:rPr>
          <w:rFonts w:hAnsi="宋体"/>
          <w:b/>
          <w:sz w:val="24"/>
          <w:szCs w:val="24"/>
        </w:rPr>
      </w:pPr>
      <w:r>
        <w:rPr>
          <w:rFonts w:hint="eastAsia" w:hAnsi="宋体"/>
          <w:b/>
          <w:sz w:val="24"/>
          <w:szCs w:val="24"/>
        </w:rPr>
        <w:t>一、项目清单</w:t>
      </w:r>
    </w:p>
    <w:tbl>
      <w:tblPr>
        <w:tblStyle w:val="28"/>
        <w:tblW w:w="8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99"/>
        <w:gridCol w:w="2673"/>
        <w:gridCol w:w="1619"/>
        <w:gridCol w:w="966"/>
        <w:gridCol w:w="1189"/>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12" w:hRule="atLeast"/>
          <w:jc w:val="center"/>
        </w:trPr>
        <w:tc>
          <w:tcPr>
            <w:tcW w:w="699" w:type="dxa"/>
            <w:vAlign w:val="center"/>
          </w:tcPr>
          <w:p>
            <w:pPr>
              <w:autoSpaceDE w:val="0"/>
              <w:autoSpaceDN w:val="0"/>
              <w:adjustRightInd w:val="0"/>
              <w:spacing w:line="420" w:lineRule="exact"/>
              <w:jc w:val="center"/>
              <w:rPr>
                <w:rFonts w:ascii="宋体" w:cs="宋体"/>
                <w:b/>
                <w:bCs/>
                <w:kern w:val="0"/>
                <w:szCs w:val="21"/>
                <w:lang w:val="zh-CN"/>
              </w:rPr>
            </w:pPr>
            <w:r>
              <w:rPr>
                <w:rFonts w:hint="eastAsia" w:ascii="宋体" w:cs="宋体"/>
                <w:b/>
                <w:bCs/>
                <w:kern w:val="0"/>
                <w:szCs w:val="21"/>
                <w:lang w:val="zh-CN"/>
              </w:rPr>
              <w:t>序号</w:t>
            </w:r>
          </w:p>
        </w:tc>
        <w:tc>
          <w:tcPr>
            <w:tcW w:w="2673" w:type="dxa"/>
            <w:vAlign w:val="center"/>
          </w:tcPr>
          <w:p>
            <w:pPr>
              <w:autoSpaceDE w:val="0"/>
              <w:autoSpaceDN w:val="0"/>
              <w:adjustRightInd w:val="0"/>
              <w:spacing w:line="420" w:lineRule="exact"/>
              <w:jc w:val="center"/>
              <w:rPr>
                <w:rFonts w:ascii="宋体" w:cs="宋体"/>
                <w:b/>
                <w:bCs/>
                <w:kern w:val="0"/>
                <w:szCs w:val="21"/>
                <w:lang w:val="zh-CN"/>
              </w:rPr>
            </w:pPr>
            <w:r>
              <w:rPr>
                <w:rFonts w:hint="eastAsia" w:ascii="宋体" w:cs="宋体"/>
                <w:b/>
                <w:bCs/>
                <w:kern w:val="0"/>
                <w:szCs w:val="21"/>
              </w:rPr>
              <w:t>系统</w:t>
            </w:r>
            <w:r>
              <w:rPr>
                <w:rFonts w:hint="eastAsia" w:ascii="宋体" w:cs="宋体"/>
                <w:b/>
                <w:bCs/>
                <w:kern w:val="0"/>
                <w:szCs w:val="21"/>
                <w:lang w:val="zh-CN"/>
              </w:rPr>
              <w:t>名称</w:t>
            </w:r>
          </w:p>
        </w:tc>
        <w:tc>
          <w:tcPr>
            <w:tcW w:w="1619" w:type="dxa"/>
            <w:vAlign w:val="center"/>
          </w:tcPr>
          <w:p>
            <w:pPr>
              <w:autoSpaceDE w:val="0"/>
              <w:autoSpaceDN w:val="0"/>
              <w:adjustRightInd w:val="0"/>
              <w:spacing w:line="420" w:lineRule="exact"/>
              <w:jc w:val="center"/>
              <w:rPr>
                <w:rFonts w:ascii="宋体" w:cs="宋体"/>
                <w:b/>
                <w:bCs/>
                <w:kern w:val="0"/>
                <w:szCs w:val="21"/>
              </w:rPr>
            </w:pPr>
            <w:r>
              <w:rPr>
                <w:rFonts w:hint="eastAsia" w:ascii="宋体" w:cs="宋体"/>
                <w:b/>
                <w:bCs/>
                <w:kern w:val="0"/>
                <w:szCs w:val="21"/>
              </w:rPr>
              <w:t>版本</w:t>
            </w:r>
          </w:p>
        </w:tc>
        <w:tc>
          <w:tcPr>
            <w:tcW w:w="966" w:type="dxa"/>
            <w:vAlign w:val="center"/>
          </w:tcPr>
          <w:p>
            <w:pPr>
              <w:autoSpaceDE w:val="0"/>
              <w:autoSpaceDN w:val="0"/>
              <w:adjustRightInd w:val="0"/>
              <w:spacing w:line="420" w:lineRule="exact"/>
              <w:jc w:val="center"/>
              <w:rPr>
                <w:rFonts w:ascii="宋体" w:cs="宋体"/>
                <w:b/>
                <w:bCs/>
                <w:kern w:val="0"/>
                <w:szCs w:val="21"/>
                <w:lang w:val="zh-CN"/>
              </w:rPr>
            </w:pPr>
            <w:r>
              <w:rPr>
                <w:rFonts w:hint="eastAsia" w:ascii="宋体" w:cs="宋体"/>
                <w:b/>
                <w:bCs/>
                <w:kern w:val="0"/>
                <w:szCs w:val="21"/>
                <w:lang w:val="zh-CN"/>
              </w:rPr>
              <w:t>数量</w:t>
            </w:r>
          </w:p>
          <w:p>
            <w:pPr>
              <w:autoSpaceDE w:val="0"/>
              <w:autoSpaceDN w:val="0"/>
              <w:adjustRightInd w:val="0"/>
              <w:spacing w:line="420" w:lineRule="exact"/>
              <w:jc w:val="center"/>
              <w:rPr>
                <w:rFonts w:ascii="宋体" w:cs="宋体"/>
                <w:b/>
                <w:bCs/>
                <w:kern w:val="0"/>
                <w:szCs w:val="21"/>
                <w:lang w:val="zh-CN"/>
              </w:rPr>
            </w:pPr>
            <w:r>
              <w:rPr>
                <w:rFonts w:hint="eastAsia" w:ascii="宋体" w:cs="宋体"/>
                <w:b/>
                <w:bCs/>
                <w:kern w:val="0"/>
                <w:szCs w:val="21"/>
                <w:lang w:val="zh-CN"/>
              </w:rPr>
              <w:t>(套)</w:t>
            </w:r>
          </w:p>
        </w:tc>
        <w:tc>
          <w:tcPr>
            <w:tcW w:w="1189" w:type="dxa"/>
            <w:vAlign w:val="center"/>
          </w:tcPr>
          <w:p>
            <w:pPr>
              <w:autoSpaceDE w:val="0"/>
              <w:autoSpaceDN w:val="0"/>
              <w:adjustRightInd w:val="0"/>
              <w:spacing w:line="420" w:lineRule="exact"/>
              <w:jc w:val="center"/>
              <w:rPr>
                <w:rFonts w:ascii="宋体" w:cs="宋体"/>
                <w:b/>
                <w:bCs/>
                <w:kern w:val="0"/>
                <w:szCs w:val="21"/>
                <w:lang w:val="zh-CN"/>
              </w:rPr>
            </w:pPr>
            <w:r>
              <w:rPr>
                <w:rFonts w:hint="eastAsia" w:ascii="宋体" w:cs="宋体"/>
                <w:b/>
                <w:bCs/>
                <w:kern w:val="0"/>
                <w:szCs w:val="21"/>
                <w:lang w:val="zh-CN"/>
              </w:rPr>
              <w:t>价格（万）</w:t>
            </w:r>
          </w:p>
        </w:tc>
        <w:tc>
          <w:tcPr>
            <w:tcW w:w="941" w:type="dxa"/>
            <w:vAlign w:val="center"/>
          </w:tcPr>
          <w:p>
            <w:pPr>
              <w:autoSpaceDE w:val="0"/>
              <w:autoSpaceDN w:val="0"/>
              <w:adjustRightInd w:val="0"/>
              <w:spacing w:line="420" w:lineRule="exact"/>
              <w:jc w:val="center"/>
              <w:rPr>
                <w:rFonts w:ascii="宋体" w:cs="宋体"/>
                <w:b/>
                <w:bCs/>
                <w:kern w:val="0"/>
                <w:szCs w:val="21"/>
              </w:rPr>
            </w:pPr>
            <w:r>
              <w:rPr>
                <w:rFonts w:hint="eastAsia" w:asci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5" w:hRule="atLeast"/>
          <w:jc w:val="center"/>
        </w:trPr>
        <w:tc>
          <w:tcPr>
            <w:tcW w:w="699" w:type="dxa"/>
            <w:vAlign w:val="center"/>
          </w:tcPr>
          <w:p>
            <w:pPr>
              <w:autoSpaceDE w:val="0"/>
              <w:autoSpaceDN w:val="0"/>
              <w:adjustRightInd w:val="0"/>
              <w:spacing w:line="420" w:lineRule="exact"/>
              <w:jc w:val="center"/>
              <w:rPr>
                <w:rFonts w:ascii="宋体" w:cs="宋体"/>
                <w:b/>
                <w:kern w:val="0"/>
                <w:sz w:val="24"/>
                <w:szCs w:val="21"/>
                <w:lang w:val="zh-CN"/>
              </w:rPr>
            </w:pPr>
          </w:p>
        </w:tc>
        <w:tc>
          <w:tcPr>
            <w:tcW w:w="2673" w:type="dxa"/>
            <w:vAlign w:val="center"/>
          </w:tcPr>
          <w:p>
            <w:pPr>
              <w:autoSpaceDE w:val="0"/>
              <w:autoSpaceDN w:val="0"/>
              <w:adjustRightInd w:val="0"/>
              <w:spacing w:line="420" w:lineRule="exact"/>
              <w:jc w:val="center"/>
              <w:rPr>
                <w:rFonts w:ascii="宋体" w:cs="宋体"/>
                <w:b/>
                <w:kern w:val="0"/>
                <w:sz w:val="24"/>
                <w:szCs w:val="21"/>
                <w:lang w:val="zh-CN"/>
              </w:rPr>
            </w:pPr>
          </w:p>
        </w:tc>
        <w:tc>
          <w:tcPr>
            <w:tcW w:w="1619" w:type="dxa"/>
            <w:vAlign w:val="center"/>
          </w:tcPr>
          <w:p>
            <w:pPr>
              <w:spacing w:line="420" w:lineRule="exact"/>
              <w:jc w:val="center"/>
              <w:rPr>
                <w:rFonts w:ascii="宋体" w:cs="宋体"/>
                <w:b/>
                <w:kern w:val="0"/>
                <w:sz w:val="24"/>
                <w:szCs w:val="21"/>
                <w:lang w:val="zh-CN"/>
              </w:rPr>
            </w:pPr>
          </w:p>
        </w:tc>
        <w:tc>
          <w:tcPr>
            <w:tcW w:w="966" w:type="dxa"/>
            <w:vAlign w:val="center"/>
          </w:tcPr>
          <w:p>
            <w:pPr>
              <w:autoSpaceDE w:val="0"/>
              <w:autoSpaceDN w:val="0"/>
              <w:adjustRightInd w:val="0"/>
              <w:spacing w:line="420" w:lineRule="exact"/>
              <w:jc w:val="center"/>
              <w:rPr>
                <w:rFonts w:ascii="宋体" w:cs="宋体"/>
                <w:b/>
                <w:kern w:val="0"/>
                <w:sz w:val="24"/>
                <w:szCs w:val="21"/>
                <w:lang w:val="zh-CN"/>
              </w:rPr>
            </w:pPr>
          </w:p>
        </w:tc>
        <w:tc>
          <w:tcPr>
            <w:tcW w:w="1189" w:type="dxa"/>
            <w:vAlign w:val="center"/>
          </w:tcPr>
          <w:p>
            <w:pPr>
              <w:autoSpaceDE w:val="0"/>
              <w:autoSpaceDN w:val="0"/>
              <w:adjustRightInd w:val="0"/>
              <w:spacing w:line="420" w:lineRule="exact"/>
              <w:jc w:val="center"/>
              <w:rPr>
                <w:rFonts w:ascii="宋体" w:cs="宋体"/>
                <w:b/>
                <w:kern w:val="0"/>
                <w:sz w:val="24"/>
                <w:szCs w:val="21"/>
                <w:lang w:val="zh-CN"/>
              </w:rPr>
            </w:pPr>
          </w:p>
        </w:tc>
        <w:tc>
          <w:tcPr>
            <w:tcW w:w="941" w:type="dxa"/>
            <w:vAlign w:val="center"/>
          </w:tcPr>
          <w:p>
            <w:pPr>
              <w:autoSpaceDE w:val="0"/>
              <w:autoSpaceDN w:val="0"/>
              <w:adjustRightInd w:val="0"/>
              <w:spacing w:line="420" w:lineRule="exact"/>
              <w:jc w:val="center"/>
              <w:rPr>
                <w:rFonts w:ascii="宋体" w:cs="宋体"/>
                <w:b/>
                <w:kern w:val="0"/>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5" w:hRule="atLeast"/>
          <w:jc w:val="center"/>
        </w:trPr>
        <w:tc>
          <w:tcPr>
            <w:tcW w:w="699" w:type="dxa"/>
            <w:vAlign w:val="center"/>
          </w:tcPr>
          <w:p>
            <w:pPr>
              <w:autoSpaceDE w:val="0"/>
              <w:autoSpaceDN w:val="0"/>
              <w:adjustRightInd w:val="0"/>
              <w:spacing w:line="420" w:lineRule="exact"/>
              <w:jc w:val="center"/>
              <w:rPr>
                <w:rFonts w:ascii="宋体" w:cs="宋体"/>
                <w:b/>
                <w:kern w:val="0"/>
                <w:sz w:val="24"/>
                <w:szCs w:val="21"/>
                <w:lang w:val="zh-CN"/>
              </w:rPr>
            </w:pPr>
          </w:p>
        </w:tc>
        <w:tc>
          <w:tcPr>
            <w:tcW w:w="2673" w:type="dxa"/>
            <w:vAlign w:val="center"/>
          </w:tcPr>
          <w:p>
            <w:pPr>
              <w:autoSpaceDE w:val="0"/>
              <w:autoSpaceDN w:val="0"/>
              <w:adjustRightInd w:val="0"/>
              <w:spacing w:line="420" w:lineRule="exact"/>
              <w:jc w:val="center"/>
              <w:rPr>
                <w:rFonts w:ascii="宋体" w:cs="宋体"/>
                <w:b/>
                <w:kern w:val="0"/>
                <w:sz w:val="24"/>
                <w:szCs w:val="21"/>
                <w:lang w:val="zh-CN"/>
              </w:rPr>
            </w:pPr>
          </w:p>
        </w:tc>
        <w:tc>
          <w:tcPr>
            <w:tcW w:w="1619" w:type="dxa"/>
            <w:vAlign w:val="center"/>
          </w:tcPr>
          <w:p>
            <w:pPr>
              <w:spacing w:line="420" w:lineRule="exact"/>
              <w:jc w:val="center"/>
              <w:rPr>
                <w:rFonts w:ascii="宋体" w:cs="宋体"/>
                <w:b/>
                <w:kern w:val="0"/>
                <w:sz w:val="24"/>
                <w:szCs w:val="21"/>
                <w:lang w:val="zh-CN"/>
              </w:rPr>
            </w:pPr>
          </w:p>
        </w:tc>
        <w:tc>
          <w:tcPr>
            <w:tcW w:w="966" w:type="dxa"/>
            <w:vAlign w:val="center"/>
          </w:tcPr>
          <w:p>
            <w:pPr>
              <w:autoSpaceDE w:val="0"/>
              <w:autoSpaceDN w:val="0"/>
              <w:adjustRightInd w:val="0"/>
              <w:spacing w:line="420" w:lineRule="exact"/>
              <w:jc w:val="center"/>
              <w:rPr>
                <w:rFonts w:ascii="宋体" w:cs="宋体"/>
                <w:b/>
                <w:kern w:val="0"/>
                <w:sz w:val="24"/>
                <w:szCs w:val="21"/>
                <w:lang w:val="zh-CN"/>
              </w:rPr>
            </w:pPr>
          </w:p>
        </w:tc>
        <w:tc>
          <w:tcPr>
            <w:tcW w:w="1189" w:type="dxa"/>
            <w:vAlign w:val="center"/>
          </w:tcPr>
          <w:p>
            <w:pPr>
              <w:autoSpaceDE w:val="0"/>
              <w:autoSpaceDN w:val="0"/>
              <w:adjustRightInd w:val="0"/>
              <w:spacing w:line="420" w:lineRule="exact"/>
              <w:jc w:val="center"/>
              <w:rPr>
                <w:rFonts w:ascii="宋体" w:cs="宋体"/>
                <w:b/>
                <w:kern w:val="0"/>
                <w:sz w:val="24"/>
                <w:szCs w:val="21"/>
                <w:lang w:val="zh-CN"/>
              </w:rPr>
            </w:pPr>
          </w:p>
        </w:tc>
        <w:tc>
          <w:tcPr>
            <w:tcW w:w="941" w:type="dxa"/>
            <w:vAlign w:val="center"/>
          </w:tcPr>
          <w:p>
            <w:pPr>
              <w:autoSpaceDE w:val="0"/>
              <w:autoSpaceDN w:val="0"/>
              <w:adjustRightInd w:val="0"/>
              <w:spacing w:line="420" w:lineRule="exact"/>
              <w:jc w:val="center"/>
              <w:rPr>
                <w:rFonts w:ascii="宋体" w:cs="宋体"/>
                <w:b/>
                <w:kern w:val="0"/>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5" w:hRule="atLeast"/>
          <w:jc w:val="center"/>
        </w:trPr>
        <w:tc>
          <w:tcPr>
            <w:tcW w:w="699" w:type="dxa"/>
            <w:vAlign w:val="center"/>
          </w:tcPr>
          <w:p>
            <w:pPr>
              <w:autoSpaceDE w:val="0"/>
              <w:autoSpaceDN w:val="0"/>
              <w:adjustRightInd w:val="0"/>
              <w:spacing w:line="420" w:lineRule="exact"/>
              <w:jc w:val="center"/>
              <w:rPr>
                <w:rFonts w:ascii="宋体" w:cs="宋体"/>
                <w:b/>
                <w:kern w:val="0"/>
                <w:sz w:val="24"/>
                <w:szCs w:val="21"/>
                <w:lang w:val="zh-CN"/>
              </w:rPr>
            </w:pPr>
          </w:p>
        </w:tc>
        <w:tc>
          <w:tcPr>
            <w:tcW w:w="2673" w:type="dxa"/>
            <w:vAlign w:val="center"/>
          </w:tcPr>
          <w:p>
            <w:pPr>
              <w:autoSpaceDE w:val="0"/>
              <w:autoSpaceDN w:val="0"/>
              <w:adjustRightInd w:val="0"/>
              <w:spacing w:line="420" w:lineRule="exact"/>
              <w:jc w:val="center"/>
              <w:rPr>
                <w:rFonts w:ascii="宋体" w:cs="宋体"/>
                <w:b/>
                <w:kern w:val="0"/>
                <w:sz w:val="24"/>
                <w:szCs w:val="21"/>
                <w:lang w:val="zh-CN"/>
              </w:rPr>
            </w:pPr>
          </w:p>
        </w:tc>
        <w:tc>
          <w:tcPr>
            <w:tcW w:w="1619" w:type="dxa"/>
            <w:vAlign w:val="center"/>
          </w:tcPr>
          <w:p>
            <w:pPr>
              <w:spacing w:line="420" w:lineRule="exact"/>
              <w:jc w:val="center"/>
              <w:rPr>
                <w:rFonts w:ascii="宋体" w:cs="宋体"/>
                <w:b/>
                <w:kern w:val="0"/>
                <w:sz w:val="24"/>
                <w:szCs w:val="21"/>
                <w:lang w:val="zh-CN"/>
              </w:rPr>
            </w:pPr>
          </w:p>
        </w:tc>
        <w:tc>
          <w:tcPr>
            <w:tcW w:w="966" w:type="dxa"/>
            <w:vAlign w:val="center"/>
          </w:tcPr>
          <w:p>
            <w:pPr>
              <w:autoSpaceDE w:val="0"/>
              <w:autoSpaceDN w:val="0"/>
              <w:adjustRightInd w:val="0"/>
              <w:spacing w:line="420" w:lineRule="exact"/>
              <w:jc w:val="center"/>
              <w:rPr>
                <w:rFonts w:ascii="宋体" w:cs="宋体"/>
                <w:b/>
                <w:kern w:val="0"/>
                <w:sz w:val="24"/>
                <w:szCs w:val="21"/>
                <w:lang w:val="zh-CN"/>
              </w:rPr>
            </w:pPr>
          </w:p>
        </w:tc>
        <w:tc>
          <w:tcPr>
            <w:tcW w:w="1189" w:type="dxa"/>
            <w:vAlign w:val="center"/>
          </w:tcPr>
          <w:p>
            <w:pPr>
              <w:autoSpaceDE w:val="0"/>
              <w:autoSpaceDN w:val="0"/>
              <w:adjustRightInd w:val="0"/>
              <w:spacing w:line="420" w:lineRule="exact"/>
              <w:jc w:val="center"/>
              <w:rPr>
                <w:rFonts w:ascii="宋体" w:cs="宋体"/>
                <w:b/>
                <w:kern w:val="0"/>
                <w:sz w:val="24"/>
                <w:szCs w:val="21"/>
                <w:lang w:val="zh-CN"/>
              </w:rPr>
            </w:pPr>
          </w:p>
        </w:tc>
        <w:tc>
          <w:tcPr>
            <w:tcW w:w="941" w:type="dxa"/>
            <w:vAlign w:val="center"/>
          </w:tcPr>
          <w:p>
            <w:pPr>
              <w:autoSpaceDE w:val="0"/>
              <w:autoSpaceDN w:val="0"/>
              <w:adjustRightInd w:val="0"/>
              <w:spacing w:line="420" w:lineRule="exact"/>
              <w:jc w:val="center"/>
              <w:rPr>
                <w:rFonts w:ascii="宋体" w:cs="宋体"/>
                <w:b/>
                <w:kern w:val="0"/>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5" w:hRule="atLeast"/>
          <w:jc w:val="center"/>
        </w:trPr>
        <w:tc>
          <w:tcPr>
            <w:tcW w:w="699" w:type="dxa"/>
            <w:vAlign w:val="center"/>
          </w:tcPr>
          <w:p>
            <w:pPr>
              <w:autoSpaceDE w:val="0"/>
              <w:autoSpaceDN w:val="0"/>
              <w:adjustRightInd w:val="0"/>
              <w:spacing w:line="420" w:lineRule="exact"/>
              <w:jc w:val="center"/>
              <w:rPr>
                <w:rFonts w:ascii="宋体" w:cs="宋体"/>
                <w:b/>
                <w:kern w:val="0"/>
                <w:sz w:val="24"/>
                <w:szCs w:val="21"/>
                <w:lang w:val="zh-CN"/>
              </w:rPr>
            </w:pPr>
          </w:p>
        </w:tc>
        <w:tc>
          <w:tcPr>
            <w:tcW w:w="2673" w:type="dxa"/>
            <w:vAlign w:val="center"/>
          </w:tcPr>
          <w:p>
            <w:pPr>
              <w:autoSpaceDE w:val="0"/>
              <w:autoSpaceDN w:val="0"/>
              <w:adjustRightInd w:val="0"/>
              <w:spacing w:line="420" w:lineRule="exact"/>
              <w:jc w:val="center"/>
              <w:rPr>
                <w:rFonts w:ascii="宋体" w:cs="宋体"/>
                <w:b/>
                <w:kern w:val="0"/>
                <w:sz w:val="24"/>
                <w:szCs w:val="21"/>
                <w:lang w:val="zh-CN"/>
              </w:rPr>
            </w:pPr>
          </w:p>
        </w:tc>
        <w:tc>
          <w:tcPr>
            <w:tcW w:w="1619" w:type="dxa"/>
            <w:vAlign w:val="center"/>
          </w:tcPr>
          <w:p>
            <w:pPr>
              <w:spacing w:line="420" w:lineRule="exact"/>
              <w:jc w:val="center"/>
              <w:rPr>
                <w:rFonts w:ascii="宋体" w:cs="宋体"/>
                <w:b/>
                <w:kern w:val="0"/>
                <w:sz w:val="24"/>
                <w:szCs w:val="21"/>
                <w:lang w:val="zh-CN"/>
              </w:rPr>
            </w:pPr>
          </w:p>
        </w:tc>
        <w:tc>
          <w:tcPr>
            <w:tcW w:w="966" w:type="dxa"/>
            <w:vAlign w:val="center"/>
          </w:tcPr>
          <w:p>
            <w:pPr>
              <w:autoSpaceDE w:val="0"/>
              <w:autoSpaceDN w:val="0"/>
              <w:adjustRightInd w:val="0"/>
              <w:spacing w:line="420" w:lineRule="exact"/>
              <w:jc w:val="center"/>
              <w:rPr>
                <w:rFonts w:ascii="宋体" w:cs="宋体"/>
                <w:b/>
                <w:kern w:val="0"/>
                <w:sz w:val="24"/>
                <w:szCs w:val="21"/>
                <w:lang w:val="zh-CN"/>
              </w:rPr>
            </w:pPr>
          </w:p>
        </w:tc>
        <w:tc>
          <w:tcPr>
            <w:tcW w:w="1189" w:type="dxa"/>
            <w:vAlign w:val="center"/>
          </w:tcPr>
          <w:p>
            <w:pPr>
              <w:autoSpaceDE w:val="0"/>
              <w:autoSpaceDN w:val="0"/>
              <w:adjustRightInd w:val="0"/>
              <w:spacing w:line="420" w:lineRule="exact"/>
              <w:jc w:val="center"/>
              <w:rPr>
                <w:rFonts w:ascii="宋体" w:cs="宋体"/>
                <w:b/>
                <w:kern w:val="0"/>
                <w:sz w:val="24"/>
                <w:szCs w:val="21"/>
                <w:lang w:val="zh-CN"/>
              </w:rPr>
            </w:pPr>
          </w:p>
        </w:tc>
        <w:tc>
          <w:tcPr>
            <w:tcW w:w="941" w:type="dxa"/>
            <w:vAlign w:val="center"/>
          </w:tcPr>
          <w:p>
            <w:pPr>
              <w:autoSpaceDE w:val="0"/>
              <w:autoSpaceDN w:val="0"/>
              <w:adjustRightInd w:val="0"/>
              <w:spacing w:line="420" w:lineRule="exact"/>
              <w:jc w:val="center"/>
              <w:rPr>
                <w:rFonts w:ascii="宋体" w:cs="宋体"/>
                <w:b/>
                <w:kern w:val="0"/>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5" w:hRule="atLeast"/>
          <w:jc w:val="center"/>
        </w:trPr>
        <w:tc>
          <w:tcPr>
            <w:tcW w:w="699" w:type="dxa"/>
            <w:vAlign w:val="center"/>
          </w:tcPr>
          <w:p>
            <w:pPr>
              <w:autoSpaceDE w:val="0"/>
              <w:autoSpaceDN w:val="0"/>
              <w:adjustRightInd w:val="0"/>
              <w:spacing w:line="420" w:lineRule="exact"/>
              <w:jc w:val="center"/>
              <w:rPr>
                <w:rFonts w:ascii="宋体" w:cs="宋体"/>
                <w:b/>
                <w:kern w:val="0"/>
                <w:sz w:val="24"/>
                <w:szCs w:val="21"/>
                <w:lang w:val="zh-CN"/>
              </w:rPr>
            </w:pPr>
          </w:p>
        </w:tc>
        <w:tc>
          <w:tcPr>
            <w:tcW w:w="2673" w:type="dxa"/>
            <w:vAlign w:val="center"/>
          </w:tcPr>
          <w:p>
            <w:pPr>
              <w:autoSpaceDE w:val="0"/>
              <w:autoSpaceDN w:val="0"/>
              <w:adjustRightInd w:val="0"/>
              <w:spacing w:line="420" w:lineRule="exact"/>
              <w:jc w:val="center"/>
              <w:rPr>
                <w:rFonts w:ascii="宋体" w:cs="宋体"/>
                <w:b/>
                <w:kern w:val="0"/>
                <w:sz w:val="24"/>
                <w:szCs w:val="21"/>
                <w:lang w:val="zh-CN"/>
              </w:rPr>
            </w:pPr>
          </w:p>
        </w:tc>
        <w:tc>
          <w:tcPr>
            <w:tcW w:w="1619" w:type="dxa"/>
            <w:vAlign w:val="center"/>
          </w:tcPr>
          <w:p>
            <w:pPr>
              <w:spacing w:line="420" w:lineRule="exact"/>
              <w:jc w:val="center"/>
              <w:rPr>
                <w:rFonts w:ascii="宋体" w:cs="宋体"/>
                <w:b/>
                <w:kern w:val="0"/>
                <w:sz w:val="24"/>
                <w:szCs w:val="21"/>
                <w:lang w:val="zh-CN"/>
              </w:rPr>
            </w:pPr>
          </w:p>
        </w:tc>
        <w:tc>
          <w:tcPr>
            <w:tcW w:w="966" w:type="dxa"/>
            <w:vAlign w:val="center"/>
          </w:tcPr>
          <w:p>
            <w:pPr>
              <w:autoSpaceDE w:val="0"/>
              <w:autoSpaceDN w:val="0"/>
              <w:adjustRightInd w:val="0"/>
              <w:spacing w:line="420" w:lineRule="exact"/>
              <w:jc w:val="center"/>
              <w:rPr>
                <w:rFonts w:ascii="宋体" w:cs="宋体"/>
                <w:b/>
                <w:kern w:val="0"/>
                <w:sz w:val="24"/>
                <w:szCs w:val="21"/>
                <w:lang w:val="zh-CN"/>
              </w:rPr>
            </w:pPr>
          </w:p>
        </w:tc>
        <w:tc>
          <w:tcPr>
            <w:tcW w:w="1189" w:type="dxa"/>
            <w:vAlign w:val="center"/>
          </w:tcPr>
          <w:p>
            <w:pPr>
              <w:autoSpaceDE w:val="0"/>
              <w:autoSpaceDN w:val="0"/>
              <w:adjustRightInd w:val="0"/>
              <w:spacing w:line="420" w:lineRule="exact"/>
              <w:jc w:val="center"/>
              <w:rPr>
                <w:rFonts w:ascii="宋体" w:cs="宋体"/>
                <w:b/>
                <w:kern w:val="0"/>
                <w:sz w:val="24"/>
                <w:szCs w:val="21"/>
                <w:lang w:val="zh-CN"/>
              </w:rPr>
            </w:pPr>
          </w:p>
        </w:tc>
        <w:tc>
          <w:tcPr>
            <w:tcW w:w="941" w:type="dxa"/>
            <w:vAlign w:val="center"/>
          </w:tcPr>
          <w:p>
            <w:pPr>
              <w:autoSpaceDE w:val="0"/>
              <w:autoSpaceDN w:val="0"/>
              <w:adjustRightInd w:val="0"/>
              <w:spacing w:line="420" w:lineRule="exact"/>
              <w:jc w:val="center"/>
              <w:rPr>
                <w:rFonts w:ascii="宋体" w:cs="宋体"/>
                <w:b/>
                <w:kern w:val="0"/>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5" w:hRule="atLeast"/>
          <w:jc w:val="center"/>
        </w:trPr>
        <w:tc>
          <w:tcPr>
            <w:tcW w:w="699" w:type="dxa"/>
            <w:vAlign w:val="center"/>
          </w:tcPr>
          <w:p>
            <w:pPr>
              <w:autoSpaceDE w:val="0"/>
              <w:autoSpaceDN w:val="0"/>
              <w:adjustRightInd w:val="0"/>
              <w:spacing w:line="420" w:lineRule="exact"/>
              <w:jc w:val="center"/>
              <w:rPr>
                <w:rFonts w:ascii="宋体" w:cs="宋体"/>
                <w:b/>
                <w:kern w:val="0"/>
                <w:sz w:val="24"/>
                <w:szCs w:val="21"/>
                <w:lang w:val="zh-CN"/>
              </w:rPr>
            </w:pPr>
          </w:p>
        </w:tc>
        <w:tc>
          <w:tcPr>
            <w:tcW w:w="2673" w:type="dxa"/>
            <w:vAlign w:val="center"/>
          </w:tcPr>
          <w:p>
            <w:pPr>
              <w:autoSpaceDE w:val="0"/>
              <w:autoSpaceDN w:val="0"/>
              <w:adjustRightInd w:val="0"/>
              <w:spacing w:line="420" w:lineRule="exact"/>
              <w:jc w:val="center"/>
              <w:rPr>
                <w:rFonts w:ascii="宋体" w:cs="宋体"/>
                <w:b/>
                <w:kern w:val="0"/>
                <w:sz w:val="24"/>
                <w:szCs w:val="21"/>
              </w:rPr>
            </w:pPr>
            <w:r>
              <w:rPr>
                <w:rFonts w:hint="eastAsia" w:ascii="宋体" w:cs="宋体"/>
                <w:b/>
                <w:kern w:val="0"/>
                <w:sz w:val="24"/>
                <w:szCs w:val="21"/>
              </w:rPr>
              <w:t>总计</w:t>
            </w:r>
          </w:p>
        </w:tc>
        <w:tc>
          <w:tcPr>
            <w:tcW w:w="1619" w:type="dxa"/>
            <w:vAlign w:val="center"/>
          </w:tcPr>
          <w:p>
            <w:pPr>
              <w:spacing w:line="420" w:lineRule="exact"/>
              <w:jc w:val="center"/>
              <w:rPr>
                <w:rFonts w:ascii="宋体" w:cs="宋体"/>
                <w:b/>
                <w:kern w:val="0"/>
                <w:sz w:val="24"/>
                <w:szCs w:val="21"/>
                <w:lang w:val="zh-CN"/>
              </w:rPr>
            </w:pPr>
          </w:p>
        </w:tc>
        <w:tc>
          <w:tcPr>
            <w:tcW w:w="966" w:type="dxa"/>
            <w:vAlign w:val="center"/>
          </w:tcPr>
          <w:p>
            <w:pPr>
              <w:autoSpaceDE w:val="0"/>
              <w:autoSpaceDN w:val="0"/>
              <w:adjustRightInd w:val="0"/>
              <w:spacing w:line="420" w:lineRule="exact"/>
              <w:jc w:val="center"/>
              <w:rPr>
                <w:rFonts w:ascii="宋体" w:cs="宋体"/>
                <w:b/>
                <w:kern w:val="0"/>
                <w:sz w:val="24"/>
                <w:szCs w:val="21"/>
                <w:lang w:val="zh-CN"/>
              </w:rPr>
            </w:pPr>
          </w:p>
        </w:tc>
        <w:tc>
          <w:tcPr>
            <w:tcW w:w="1189" w:type="dxa"/>
            <w:vAlign w:val="center"/>
          </w:tcPr>
          <w:p>
            <w:pPr>
              <w:autoSpaceDE w:val="0"/>
              <w:autoSpaceDN w:val="0"/>
              <w:adjustRightInd w:val="0"/>
              <w:spacing w:line="420" w:lineRule="exact"/>
              <w:jc w:val="center"/>
              <w:rPr>
                <w:rFonts w:ascii="宋体" w:cs="宋体"/>
                <w:b/>
                <w:kern w:val="0"/>
                <w:sz w:val="24"/>
                <w:szCs w:val="21"/>
                <w:lang w:val="zh-CN"/>
              </w:rPr>
            </w:pPr>
          </w:p>
        </w:tc>
        <w:tc>
          <w:tcPr>
            <w:tcW w:w="941" w:type="dxa"/>
            <w:vAlign w:val="center"/>
          </w:tcPr>
          <w:p>
            <w:pPr>
              <w:autoSpaceDE w:val="0"/>
              <w:autoSpaceDN w:val="0"/>
              <w:adjustRightInd w:val="0"/>
              <w:spacing w:line="420" w:lineRule="exact"/>
              <w:jc w:val="center"/>
              <w:rPr>
                <w:rFonts w:ascii="宋体" w:cs="宋体"/>
                <w:b/>
                <w:kern w:val="0"/>
                <w:sz w:val="24"/>
                <w:szCs w:val="21"/>
                <w:lang w:val="zh-CN"/>
              </w:rPr>
            </w:pPr>
          </w:p>
        </w:tc>
      </w:tr>
    </w:tbl>
    <w:p>
      <w:pPr>
        <w:autoSpaceDE w:val="0"/>
        <w:autoSpaceDN w:val="0"/>
        <w:adjustRightInd w:val="0"/>
        <w:spacing w:beforeLines="50" w:line="420" w:lineRule="exact"/>
        <w:ind w:firstLine="420"/>
        <w:rPr>
          <w:rFonts w:ascii="宋体" w:cs="宋体"/>
          <w:b/>
          <w:sz w:val="24"/>
          <w:u w:val="single"/>
          <w:lang w:val="zh-CN"/>
        </w:rPr>
      </w:pPr>
      <w:r>
        <w:rPr>
          <w:rFonts w:hint="eastAsia" w:ascii="宋体" w:cs="宋体"/>
          <w:b/>
          <w:sz w:val="24"/>
          <w:lang w:val="zh-CN"/>
        </w:rPr>
        <w:t>总计人民币（大写）</w:t>
      </w:r>
      <w:r>
        <w:rPr>
          <w:rFonts w:hint="eastAsia" w:ascii="宋体" w:cs="宋体"/>
          <w:b/>
          <w:sz w:val="24"/>
          <w:u w:val="single"/>
          <w:lang w:val="zh-CN"/>
        </w:rPr>
        <w:t>：          。</w:t>
      </w:r>
    </w:p>
    <w:p>
      <w:pPr>
        <w:autoSpaceDE w:val="0"/>
        <w:autoSpaceDN w:val="0"/>
        <w:adjustRightInd w:val="0"/>
        <w:spacing w:beforeLines="50" w:line="420" w:lineRule="exact"/>
        <w:ind w:firstLine="420"/>
        <w:rPr>
          <w:rFonts w:ascii="宋体" w:cs="宋体"/>
          <w:sz w:val="24"/>
          <w:lang w:val="zh-CN"/>
        </w:rPr>
      </w:pPr>
      <w:r>
        <w:rPr>
          <w:rFonts w:hint="eastAsia" w:ascii="宋体" w:cs="宋体"/>
          <w:sz w:val="24"/>
          <w:lang w:val="zh-CN"/>
        </w:rPr>
        <w:t>上述</w:t>
      </w:r>
      <w:r>
        <w:rPr>
          <w:rFonts w:hint="eastAsia" w:ascii="宋体" w:cs="宋体"/>
          <w:sz w:val="24"/>
        </w:rPr>
        <w:t>项目</w:t>
      </w:r>
      <w:r>
        <w:rPr>
          <w:rFonts w:hint="eastAsia" w:ascii="宋体" w:cs="宋体"/>
          <w:sz w:val="24"/>
          <w:lang w:val="zh-CN"/>
        </w:rPr>
        <w:t>详细配置详见</w:t>
      </w:r>
      <w:r>
        <w:rPr>
          <w:rFonts w:hint="eastAsia" w:ascii="宋体" w:cs="宋体"/>
          <w:sz w:val="24"/>
        </w:rPr>
        <w:t>招标文件第三章项目技术规范和服务要求</w:t>
      </w:r>
      <w:r>
        <w:rPr>
          <w:rFonts w:hint="eastAsia" w:ascii="宋体" w:cs="宋体"/>
          <w:sz w:val="24"/>
          <w:lang w:val="zh-CN"/>
        </w:rPr>
        <w:t>。</w:t>
      </w:r>
    </w:p>
    <w:p>
      <w:pPr>
        <w:spacing w:line="360" w:lineRule="auto"/>
        <w:rPr>
          <w:rFonts w:ascii="宋体" w:hAnsi="宋体"/>
          <w:b/>
          <w:sz w:val="24"/>
        </w:rPr>
      </w:pPr>
      <w:r>
        <w:rPr>
          <w:rFonts w:hint="eastAsia" w:ascii="宋体" w:hAnsi="宋体"/>
          <w:b/>
          <w:sz w:val="24"/>
        </w:rPr>
        <w:t>1、定义</w:t>
      </w:r>
    </w:p>
    <w:p>
      <w:pPr>
        <w:spacing w:line="360" w:lineRule="auto"/>
        <w:ind w:firstLine="480" w:firstLineChars="200"/>
        <w:rPr>
          <w:rFonts w:ascii="宋体" w:hAnsi="宋体"/>
          <w:b/>
          <w:sz w:val="24"/>
        </w:rPr>
      </w:pPr>
      <w:r>
        <w:rPr>
          <w:rFonts w:hint="eastAsia" w:ascii="宋体" w:hAnsi="宋体"/>
          <w:sz w:val="24"/>
        </w:rPr>
        <w:t>1.1  “</w:t>
      </w:r>
      <w:r>
        <w:rPr>
          <w:rFonts w:hint="eastAsia" w:ascii="宋体" w:hAnsi="宋体" w:cs="仿宋_GB2312"/>
          <w:kern w:val="0"/>
          <w:sz w:val="24"/>
          <w:lang w:val="zh-CN"/>
        </w:rPr>
        <w:t>合同”</w:t>
      </w:r>
      <w:r>
        <w:rPr>
          <w:rFonts w:hint="eastAsia" w:ascii="宋体" w:hAnsi="宋体"/>
          <w:sz w:val="24"/>
        </w:rPr>
        <w:t>即由</w:t>
      </w:r>
      <w:r>
        <w:rPr>
          <w:rFonts w:hint="eastAsia" w:ascii="宋体" w:hAnsi="宋体" w:cs="仿宋_GB2312"/>
          <w:kern w:val="0"/>
          <w:sz w:val="24"/>
          <w:lang w:val="zh-CN"/>
        </w:rPr>
        <w:t>甲乙方</w:t>
      </w:r>
      <w:r>
        <w:rPr>
          <w:rFonts w:hint="eastAsia" w:ascii="宋体" w:hAnsi="宋体"/>
          <w:sz w:val="24"/>
        </w:rPr>
        <w:t>双方签订的合同格式中的文件，包括所有的附件、附录和组成合同部分的所有其他文件。</w:t>
      </w:r>
    </w:p>
    <w:p>
      <w:pPr>
        <w:spacing w:line="360" w:lineRule="auto"/>
        <w:ind w:firstLine="480" w:firstLineChars="200"/>
        <w:rPr>
          <w:rFonts w:ascii="宋体" w:hAnsi="宋体"/>
          <w:sz w:val="24"/>
        </w:rPr>
      </w:pPr>
      <w:r>
        <w:rPr>
          <w:rFonts w:hint="eastAsia" w:ascii="宋体" w:hAnsi="宋体"/>
          <w:sz w:val="24"/>
        </w:rPr>
        <w:t>合同将由浙江省肿瘤医院（以下简称甲方）与经评审最终确定的中标人（以下简称乙方）结合本项目具体情况协商后签订</w:t>
      </w:r>
      <w:r>
        <w:rPr>
          <w:rFonts w:hint="eastAsia" w:ascii="宋体" w:hAnsi="宋体" w:cs="仿宋_GB2312"/>
          <w:kern w:val="0"/>
          <w:sz w:val="24"/>
          <w:lang w:val="zh-CN"/>
        </w:rPr>
        <w:t>。以下为招标人提出涉及乙方的主要条款，投标人在投标文件中应对其进行确认或拒绝。如投标人在其投标文件中未做拒绝或提出修改要求的，招标人将视作认同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1.2 “合同价格”系指根据合同规定，在供应商全面正确地履行合同义务时，招标人应支付给供应商的款项。</w:t>
      </w:r>
    </w:p>
    <w:p>
      <w:pPr>
        <w:spacing w:line="360" w:lineRule="auto"/>
        <w:ind w:firstLine="480" w:firstLineChars="200"/>
        <w:rPr>
          <w:rFonts w:ascii="宋体" w:hAnsi="宋体"/>
          <w:sz w:val="24"/>
        </w:rPr>
      </w:pPr>
      <w:r>
        <w:rPr>
          <w:rFonts w:hint="eastAsia" w:ascii="宋体" w:hAnsi="宋体"/>
          <w:sz w:val="24"/>
        </w:rPr>
        <w:t>1.3 “服务”系指招标文件规定供应商须承担的系统</w:t>
      </w:r>
      <w:r>
        <w:rPr>
          <w:rFonts w:ascii="宋体" w:hAnsi="宋体"/>
          <w:sz w:val="24"/>
        </w:rPr>
        <w:t>升级、运行维护</w:t>
      </w:r>
      <w:r>
        <w:rPr>
          <w:rFonts w:hint="eastAsia" w:ascii="宋体" w:hAnsi="宋体"/>
          <w:sz w:val="24"/>
        </w:rPr>
        <w:t>、技术协助、校准、培训以及其它类似的义务。</w:t>
      </w:r>
    </w:p>
    <w:p>
      <w:pPr>
        <w:spacing w:line="360" w:lineRule="auto"/>
        <w:ind w:firstLine="480" w:firstLineChars="200"/>
        <w:rPr>
          <w:rFonts w:ascii="宋体" w:hAnsi="宋体"/>
          <w:sz w:val="24"/>
        </w:rPr>
      </w:pPr>
      <w:r>
        <w:rPr>
          <w:rFonts w:hint="eastAsia" w:ascii="宋体" w:hAnsi="宋体"/>
          <w:sz w:val="24"/>
        </w:rPr>
        <w:t>1.4 “甲方”系指通过采购接受合同及服务的浙江省肿瘤医院。</w:t>
      </w:r>
    </w:p>
    <w:p>
      <w:pPr>
        <w:spacing w:line="360" w:lineRule="auto"/>
        <w:ind w:firstLine="480" w:firstLineChars="200"/>
        <w:rPr>
          <w:rFonts w:ascii="宋体" w:hAnsi="宋体"/>
          <w:sz w:val="24"/>
        </w:rPr>
      </w:pPr>
      <w:r>
        <w:rPr>
          <w:rFonts w:hint="eastAsia" w:ascii="宋体" w:hAnsi="宋体"/>
          <w:sz w:val="24"/>
        </w:rPr>
        <w:t>1.5 “乙方”系指</w:t>
      </w:r>
      <w:r>
        <w:rPr>
          <w:rFonts w:hint="eastAsia" w:ascii="宋体" w:hAnsi="宋体" w:cs="仿宋_GB2312"/>
          <w:kern w:val="0"/>
          <w:sz w:val="24"/>
          <w:lang w:val="zh-CN"/>
        </w:rPr>
        <w:t>经评审最终确定的中标人</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 “现场”系指将要进行系统安装和运转的地点。</w:t>
      </w:r>
    </w:p>
    <w:p>
      <w:pPr>
        <w:spacing w:line="360" w:lineRule="auto"/>
        <w:ind w:firstLine="480" w:firstLineChars="200"/>
        <w:rPr>
          <w:rFonts w:ascii="宋体" w:hAnsi="宋体"/>
          <w:sz w:val="24"/>
        </w:rPr>
      </w:pPr>
      <w:r>
        <w:rPr>
          <w:rFonts w:hint="eastAsia" w:ascii="宋体" w:hAnsi="宋体"/>
          <w:sz w:val="24"/>
        </w:rPr>
        <w:t>1.7 “验收”系指招标人依据技术规格规定接受合同所依据的程序和条件。</w:t>
      </w:r>
    </w:p>
    <w:p>
      <w:pPr>
        <w:spacing w:line="360" w:lineRule="auto"/>
        <w:rPr>
          <w:rFonts w:ascii="宋体" w:hAnsi="宋体"/>
          <w:b/>
          <w:sz w:val="24"/>
        </w:rPr>
      </w:pPr>
      <w:r>
        <w:rPr>
          <w:rFonts w:hint="eastAsia" w:ascii="宋体" w:hAnsi="宋体"/>
          <w:b/>
          <w:sz w:val="24"/>
        </w:rPr>
        <w:t>2、适用范围</w:t>
      </w:r>
    </w:p>
    <w:p>
      <w:pPr>
        <w:autoSpaceDE w:val="0"/>
        <w:autoSpaceDN w:val="0"/>
        <w:adjustRightInd w:val="0"/>
        <w:spacing w:line="360" w:lineRule="auto"/>
        <w:ind w:firstLine="480"/>
        <w:rPr>
          <w:rFonts w:ascii="宋体" w:hAnsi="宋体"/>
          <w:sz w:val="24"/>
        </w:rPr>
      </w:pPr>
      <w:r>
        <w:rPr>
          <w:rFonts w:hint="eastAsia" w:ascii="宋体" w:hAnsi="宋体"/>
          <w:sz w:val="24"/>
        </w:rPr>
        <w:t>本合同条款适用与本次采购活动。项目实施范围详见附件——招标文件和投标文件及补充文件、承诺书等。</w:t>
      </w:r>
    </w:p>
    <w:p>
      <w:pPr>
        <w:spacing w:line="360" w:lineRule="auto"/>
        <w:rPr>
          <w:rFonts w:ascii="宋体" w:hAnsi="宋体"/>
          <w:b/>
          <w:sz w:val="24"/>
        </w:rPr>
      </w:pPr>
      <w:r>
        <w:rPr>
          <w:rFonts w:hint="eastAsia" w:ascii="宋体" w:hAnsi="宋体"/>
          <w:b/>
          <w:sz w:val="24"/>
        </w:rPr>
        <w:t>3、合同期限</w:t>
      </w:r>
    </w:p>
    <w:p>
      <w:pPr>
        <w:spacing w:line="360" w:lineRule="auto"/>
        <w:ind w:firstLine="480" w:firstLineChars="200"/>
        <w:rPr>
          <w:rFonts w:ascii="宋体" w:hAnsi="宋体"/>
          <w:sz w:val="24"/>
        </w:rPr>
      </w:pPr>
      <w:r>
        <w:rPr>
          <w:rFonts w:hint="eastAsia" w:ascii="宋体" w:hAnsi="宋体"/>
          <w:sz w:val="24"/>
        </w:rPr>
        <w:t>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日。合同期内，乙方能严格履行合同。</w:t>
      </w:r>
    </w:p>
    <w:p>
      <w:pPr>
        <w:spacing w:line="360" w:lineRule="auto"/>
        <w:rPr>
          <w:rFonts w:ascii="宋体" w:hAnsi="宋体"/>
          <w:b/>
          <w:sz w:val="24"/>
        </w:rPr>
      </w:pPr>
      <w:r>
        <w:rPr>
          <w:rFonts w:hint="eastAsia" w:ascii="宋体" w:hAnsi="宋体"/>
          <w:b/>
          <w:sz w:val="24"/>
        </w:rPr>
        <w:t>4、系统建设</w:t>
      </w:r>
    </w:p>
    <w:p>
      <w:pPr>
        <w:spacing w:line="360" w:lineRule="auto"/>
        <w:ind w:firstLine="480" w:firstLineChars="200"/>
        <w:rPr>
          <w:rFonts w:ascii="宋体" w:hAnsi="宋体"/>
          <w:sz w:val="24"/>
        </w:rPr>
      </w:pPr>
      <w:r>
        <w:rPr>
          <w:rFonts w:hint="eastAsia" w:ascii="宋体" w:hAnsi="宋体"/>
          <w:sz w:val="24"/>
        </w:rPr>
        <w:t>4.1 乙方必须根据招标文件规定的服务内容，进一步深入需求分析，对需要改建和新建内容，编制详细技术方案，同时</w:t>
      </w:r>
      <w:r>
        <w:rPr>
          <w:rFonts w:hint="eastAsia" w:ascii="宋体" w:hAnsi="宋体"/>
          <w:kern w:val="0"/>
          <w:sz w:val="24"/>
          <w:lang w:val="zh-CN"/>
        </w:rPr>
        <w:t>编制全部服务内容的详细实施方案，向甲方提供上述文档并需经甲方审查。</w:t>
      </w:r>
    </w:p>
    <w:p>
      <w:pPr>
        <w:spacing w:line="360" w:lineRule="auto"/>
        <w:ind w:firstLine="480" w:firstLineChars="200"/>
        <w:rPr>
          <w:rFonts w:ascii="宋体" w:hAnsi="宋体"/>
          <w:b/>
          <w:sz w:val="24"/>
        </w:rPr>
      </w:pPr>
      <w:r>
        <w:rPr>
          <w:rFonts w:hint="eastAsia" w:ascii="宋体" w:hAnsi="宋体"/>
          <w:sz w:val="24"/>
        </w:rPr>
        <w:t xml:space="preserve">4.2 </w:t>
      </w:r>
      <w:r>
        <w:rPr>
          <w:rFonts w:hint="eastAsia" w:ascii="宋体" w:hAnsi="宋体"/>
          <w:kern w:val="0"/>
          <w:sz w:val="24"/>
          <w:lang w:val="zh-CN"/>
        </w:rPr>
        <w:t>乙方对甲方提供的业务资料、技术资料应严格保密，不得扩散。</w:t>
      </w:r>
    </w:p>
    <w:p>
      <w:pPr>
        <w:autoSpaceDE w:val="0"/>
        <w:autoSpaceDN w:val="0"/>
        <w:adjustRightInd w:val="0"/>
        <w:spacing w:line="360" w:lineRule="auto"/>
        <w:ind w:firstLine="480"/>
        <w:rPr>
          <w:rFonts w:ascii="宋体" w:hAnsi="宋体"/>
          <w:kern w:val="0"/>
          <w:sz w:val="24"/>
          <w:lang w:val="zh-CN"/>
        </w:rPr>
      </w:pPr>
      <w:r>
        <w:rPr>
          <w:rFonts w:hint="eastAsia" w:ascii="宋体" w:hAnsi="宋体"/>
          <w:sz w:val="24"/>
        </w:rPr>
        <w:t xml:space="preserve">4.3 </w:t>
      </w:r>
      <w:r>
        <w:rPr>
          <w:rFonts w:hint="eastAsia" w:ascii="宋体" w:hAnsi="宋体"/>
          <w:kern w:val="0"/>
          <w:sz w:val="24"/>
          <w:lang w:val="zh-CN"/>
        </w:rPr>
        <w:t>乙方对在项目建设期间所获得的甲方的情报和资料有保密义务，泄漏秘密应承担的责任。不论本合同是否变更、解除、终止，本条款均有效。</w:t>
      </w:r>
    </w:p>
    <w:p>
      <w:pPr>
        <w:autoSpaceDE w:val="0"/>
        <w:autoSpaceDN w:val="0"/>
        <w:adjustRightInd w:val="0"/>
        <w:spacing w:line="360" w:lineRule="auto"/>
        <w:ind w:firstLine="480"/>
        <w:rPr>
          <w:rFonts w:ascii="宋体" w:hAnsi="宋体"/>
          <w:kern w:val="0"/>
          <w:sz w:val="24"/>
          <w:lang w:val="zh-CN"/>
        </w:rPr>
      </w:pPr>
      <w:r>
        <w:rPr>
          <w:rFonts w:hint="eastAsia" w:ascii="宋体" w:hAnsi="宋体"/>
          <w:sz w:val="24"/>
        </w:rPr>
        <w:t xml:space="preserve">4.4 </w:t>
      </w:r>
      <w:r>
        <w:rPr>
          <w:rFonts w:hint="eastAsia" w:ascii="宋体" w:hAnsi="宋体" w:cs="仿宋_GB2312"/>
          <w:kern w:val="0"/>
          <w:sz w:val="24"/>
          <w:lang w:val="zh-CN"/>
        </w:rPr>
        <w:t>乙方</w:t>
      </w:r>
      <w:r>
        <w:rPr>
          <w:rFonts w:hint="eastAsia" w:ascii="宋体" w:hAnsi="宋体"/>
          <w:sz w:val="24"/>
          <w:szCs w:val="21"/>
        </w:rPr>
        <w:t>对所提供的产品、技术和服务等拥有</w:t>
      </w:r>
      <w:r>
        <w:rPr>
          <w:rFonts w:hint="eastAsia" w:ascii="宋体" w:hAnsi="宋体" w:cs="Vrinda"/>
          <w:sz w:val="24"/>
        </w:rPr>
        <w:t>合法的占有和处置权，并对涉及项目的</w:t>
      </w:r>
      <w:r>
        <w:rPr>
          <w:rFonts w:hint="eastAsia" w:ascii="宋体" w:hAnsi="宋体"/>
          <w:sz w:val="24"/>
          <w:szCs w:val="21"/>
        </w:rPr>
        <w:t>所有内容可能侵权行为指控负责，保证不伤害</w:t>
      </w:r>
      <w:r>
        <w:rPr>
          <w:rFonts w:hint="eastAsia" w:ascii="宋体" w:hAnsi="宋体"/>
          <w:sz w:val="24"/>
        </w:rPr>
        <w:t>甲方</w:t>
      </w:r>
      <w:r>
        <w:rPr>
          <w:rFonts w:hint="eastAsia" w:ascii="宋体" w:hAnsi="宋体"/>
          <w:sz w:val="24"/>
          <w:szCs w:val="21"/>
        </w:rPr>
        <w:t>的利益。在法律范围内，如果出现文字、图片、商标和技术等侵权行为而造成的纠纷和产生的一切费用，</w:t>
      </w:r>
      <w:r>
        <w:rPr>
          <w:rFonts w:hint="eastAsia" w:ascii="宋体" w:hAnsi="宋体"/>
          <w:sz w:val="24"/>
        </w:rPr>
        <w:t>甲方</w:t>
      </w:r>
      <w:r>
        <w:rPr>
          <w:rFonts w:hint="eastAsia" w:ascii="宋体" w:hAnsi="宋体"/>
          <w:sz w:val="24"/>
          <w:szCs w:val="21"/>
        </w:rPr>
        <w:t>概不负责，由此给</w:t>
      </w:r>
      <w:r>
        <w:rPr>
          <w:rFonts w:hint="eastAsia" w:ascii="宋体" w:hAnsi="宋体"/>
          <w:sz w:val="24"/>
        </w:rPr>
        <w:t>甲方</w:t>
      </w:r>
      <w:r>
        <w:rPr>
          <w:rFonts w:hint="eastAsia" w:ascii="宋体" w:hAnsi="宋体"/>
          <w:sz w:val="24"/>
          <w:szCs w:val="21"/>
        </w:rPr>
        <w:t>造成损失的，</w:t>
      </w:r>
      <w:r>
        <w:rPr>
          <w:rFonts w:hint="eastAsia" w:ascii="宋体" w:hAnsi="宋体" w:cs="仿宋_GB2312"/>
          <w:kern w:val="0"/>
          <w:sz w:val="24"/>
          <w:lang w:val="zh-CN"/>
        </w:rPr>
        <w:t>乙方</w:t>
      </w:r>
      <w:r>
        <w:rPr>
          <w:rFonts w:hint="eastAsia" w:ascii="宋体" w:hAnsi="宋体"/>
          <w:sz w:val="24"/>
        </w:rPr>
        <w:t>要承担相应后果，</w:t>
      </w:r>
      <w:r>
        <w:rPr>
          <w:rFonts w:hint="eastAsia" w:ascii="宋体" w:hAnsi="宋体"/>
          <w:kern w:val="0"/>
          <w:sz w:val="24"/>
          <w:lang w:val="zh-CN"/>
        </w:rPr>
        <w:t>并负责赔偿。</w:t>
      </w:r>
      <w:r>
        <w:rPr>
          <w:rFonts w:hint="eastAsia" w:ascii="宋体" w:hAnsi="宋体" w:cs="仿宋_GB2312"/>
          <w:kern w:val="0"/>
          <w:sz w:val="24"/>
          <w:lang w:val="zh-CN"/>
        </w:rPr>
        <w:t>乙方</w:t>
      </w:r>
      <w:r>
        <w:rPr>
          <w:rFonts w:hint="eastAsia" w:ascii="宋体" w:hAnsi="宋体"/>
          <w:sz w:val="24"/>
        </w:rPr>
        <w:t>为执行本项目合同而提供的技术资料等归甲方所有。</w:t>
      </w:r>
    </w:p>
    <w:p>
      <w:pPr>
        <w:spacing w:line="360" w:lineRule="auto"/>
        <w:rPr>
          <w:rFonts w:ascii="宋体" w:hAnsi="宋体"/>
          <w:b/>
          <w:sz w:val="24"/>
        </w:rPr>
      </w:pPr>
      <w:r>
        <w:rPr>
          <w:rFonts w:hint="eastAsia" w:ascii="宋体" w:hAnsi="宋体"/>
          <w:b/>
          <w:sz w:val="24"/>
        </w:rPr>
        <w:t>5、安装调试</w:t>
      </w:r>
    </w:p>
    <w:p>
      <w:pPr>
        <w:spacing w:line="360" w:lineRule="auto"/>
        <w:ind w:firstLine="480" w:firstLineChars="200"/>
        <w:rPr>
          <w:rFonts w:ascii="宋体" w:hAnsi="宋体"/>
          <w:sz w:val="24"/>
        </w:rPr>
      </w:pPr>
      <w:r>
        <w:rPr>
          <w:rFonts w:hint="eastAsia" w:ascii="宋体" w:hAnsi="宋体"/>
          <w:sz w:val="24"/>
        </w:rPr>
        <w:t>5.1 甲方提供堆放材料和工具场地，设备和材料的堆放安全由乙方负责。</w:t>
      </w:r>
    </w:p>
    <w:p>
      <w:pPr>
        <w:spacing w:line="360" w:lineRule="auto"/>
        <w:ind w:firstLine="480" w:firstLineChars="200"/>
        <w:rPr>
          <w:rFonts w:ascii="宋体" w:hAnsi="宋体"/>
          <w:sz w:val="24"/>
        </w:rPr>
      </w:pPr>
      <w:r>
        <w:rPr>
          <w:rFonts w:hint="eastAsia" w:ascii="宋体" w:hAnsi="宋体"/>
          <w:sz w:val="24"/>
        </w:rPr>
        <w:t>5.2 乙方项目实施人员须服从甲方、监理管理人员管理，项目质量纳入现场监理。乙方项目实施人员必须遵守现场的各项规章制度。</w:t>
      </w:r>
    </w:p>
    <w:p>
      <w:pPr>
        <w:spacing w:line="360" w:lineRule="auto"/>
        <w:ind w:firstLine="480" w:firstLineChars="200"/>
        <w:rPr>
          <w:rFonts w:ascii="宋体" w:hAnsi="宋体"/>
          <w:sz w:val="24"/>
        </w:rPr>
      </w:pPr>
      <w:r>
        <w:rPr>
          <w:rFonts w:hint="eastAsia" w:ascii="宋体" w:hAnsi="宋体"/>
          <w:sz w:val="24"/>
        </w:rPr>
        <w:t>5.3 乙方应根据项目情况提供系统升级及</w:t>
      </w:r>
      <w:r>
        <w:rPr>
          <w:rFonts w:ascii="宋体" w:hAnsi="宋体"/>
          <w:sz w:val="24"/>
        </w:rPr>
        <w:t>运行维护实施计划</w:t>
      </w:r>
      <w:r>
        <w:rPr>
          <w:rFonts w:hint="eastAsia" w:ascii="宋体" w:hAnsi="宋体"/>
          <w:sz w:val="24"/>
        </w:rPr>
        <w:t>，经甲、乙双方共同确定后作为双方共同执行的合同条款。</w:t>
      </w:r>
    </w:p>
    <w:p>
      <w:pPr>
        <w:spacing w:line="360" w:lineRule="auto"/>
        <w:rPr>
          <w:rFonts w:ascii="宋体" w:hAnsi="宋体"/>
          <w:sz w:val="24"/>
        </w:rPr>
      </w:pPr>
      <w:r>
        <w:rPr>
          <w:rFonts w:ascii="宋体" w:hAnsi="宋体"/>
          <w:b/>
          <w:sz w:val="24"/>
        </w:rPr>
        <w:t>6</w:t>
      </w:r>
      <w:r>
        <w:rPr>
          <w:rFonts w:hint="eastAsia" w:ascii="宋体" w:hAnsi="宋体"/>
          <w:b/>
          <w:sz w:val="24"/>
        </w:rPr>
        <w:t>、验收</w:t>
      </w:r>
    </w:p>
    <w:p>
      <w:pPr>
        <w:autoSpaceDE w:val="0"/>
        <w:autoSpaceDN w:val="0"/>
        <w:adjustRightInd w:val="0"/>
        <w:spacing w:line="360" w:lineRule="auto"/>
        <w:ind w:firstLine="480"/>
        <w:rPr>
          <w:rFonts w:ascii="宋体" w:hAnsi="宋体"/>
          <w:sz w:val="24"/>
        </w:rPr>
      </w:pPr>
      <w:r>
        <w:rPr>
          <w:rFonts w:ascii="宋体" w:hAnsi="宋体"/>
          <w:sz w:val="24"/>
        </w:rPr>
        <w:t>6</w:t>
      </w:r>
      <w:r>
        <w:rPr>
          <w:rFonts w:hint="eastAsia" w:ascii="宋体" w:hAnsi="宋体"/>
          <w:sz w:val="24"/>
        </w:rPr>
        <w:t>.1 乙方</w:t>
      </w:r>
      <w:r>
        <w:rPr>
          <w:rFonts w:hint="eastAsia" w:ascii="宋体" w:hAnsi="宋体" w:cs="仿宋_GB2312"/>
          <w:kern w:val="0"/>
          <w:sz w:val="24"/>
          <w:lang w:val="zh-CN"/>
        </w:rPr>
        <w:t>完成全部系统建设任务，</w:t>
      </w:r>
      <w:r>
        <w:rPr>
          <w:rFonts w:hint="eastAsia" w:ascii="宋体" w:hAnsi="宋体"/>
          <w:kern w:val="0"/>
          <w:sz w:val="24"/>
          <w:lang w:val="zh-CN"/>
        </w:rPr>
        <w:t xml:space="preserve"> 并经甲方确认满足使用要求。</w:t>
      </w:r>
    </w:p>
    <w:p>
      <w:pPr>
        <w:autoSpaceDE w:val="0"/>
        <w:autoSpaceDN w:val="0"/>
        <w:adjustRightInd w:val="0"/>
        <w:spacing w:line="360" w:lineRule="auto"/>
        <w:ind w:firstLine="480"/>
        <w:rPr>
          <w:rFonts w:ascii="宋体" w:hAnsi="宋体"/>
          <w:sz w:val="24"/>
        </w:rPr>
      </w:pPr>
      <w:r>
        <w:rPr>
          <w:rFonts w:ascii="宋体" w:hAnsi="宋体"/>
          <w:sz w:val="24"/>
        </w:rPr>
        <w:t>6</w:t>
      </w:r>
      <w:r>
        <w:rPr>
          <w:rFonts w:hint="eastAsia" w:ascii="宋体" w:hAnsi="宋体"/>
          <w:sz w:val="24"/>
        </w:rPr>
        <w:t>.2 如果发现与合同中要求不符，乙方须承担由此发生的一切损失和费用，并接受相应的处罚。</w:t>
      </w:r>
    </w:p>
    <w:p>
      <w:pPr>
        <w:autoSpaceDE w:val="0"/>
        <w:autoSpaceDN w:val="0"/>
        <w:adjustRightInd w:val="0"/>
        <w:spacing w:line="360" w:lineRule="auto"/>
        <w:ind w:firstLine="480"/>
        <w:rPr>
          <w:rFonts w:ascii="宋体" w:hAnsi="宋体"/>
          <w:sz w:val="24"/>
        </w:rPr>
      </w:pPr>
      <w:r>
        <w:rPr>
          <w:rFonts w:ascii="宋体" w:hAnsi="宋体"/>
          <w:sz w:val="24"/>
        </w:rPr>
        <w:t>6</w:t>
      </w:r>
      <w:r>
        <w:rPr>
          <w:rFonts w:hint="eastAsia" w:ascii="宋体" w:hAnsi="宋体"/>
          <w:sz w:val="24"/>
        </w:rPr>
        <w:t>.3 按实施</w:t>
      </w:r>
      <w:r>
        <w:rPr>
          <w:rFonts w:ascii="宋体" w:hAnsi="宋体"/>
          <w:sz w:val="24"/>
        </w:rPr>
        <w:t>计划分阶段</w:t>
      </w:r>
      <w:r>
        <w:rPr>
          <w:rFonts w:hint="eastAsia" w:ascii="宋体" w:hAnsi="宋体"/>
          <w:sz w:val="24"/>
        </w:rPr>
        <w:t>提供完整的验收资料，包括招标文件</w:t>
      </w:r>
      <w:r>
        <w:rPr>
          <w:rFonts w:hint="eastAsia" w:ascii="宋体" w:hAnsi="宋体"/>
          <w:bCs/>
          <w:sz w:val="24"/>
        </w:rPr>
        <w:t>第三部分项目技术规范和服务要求中所列的所有文档资料</w:t>
      </w:r>
      <w:r>
        <w:rPr>
          <w:rFonts w:hint="eastAsia" w:ascii="宋体" w:hAnsi="宋体"/>
          <w:sz w:val="24"/>
        </w:rPr>
        <w:t>等。</w:t>
      </w:r>
    </w:p>
    <w:p>
      <w:pPr>
        <w:spacing w:line="360" w:lineRule="auto"/>
        <w:rPr>
          <w:rFonts w:ascii="宋体" w:hAnsi="宋体"/>
          <w:b/>
          <w:sz w:val="24"/>
        </w:rPr>
      </w:pPr>
      <w:r>
        <w:rPr>
          <w:rFonts w:ascii="宋体" w:hAnsi="宋体"/>
          <w:b/>
          <w:sz w:val="24"/>
        </w:rPr>
        <w:t>7</w:t>
      </w:r>
      <w:r>
        <w:rPr>
          <w:rFonts w:hint="eastAsia" w:ascii="宋体" w:hAnsi="宋体"/>
          <w:b/>
          <w:sz w:val="24"/>
        </w:rPr>
        <w:t>、</w:t>
      </w:r>
      <w:r>
        <w:rPr>
          <w:rFonts w:hint="eastAsia" w:ascii="宋体" w:hAnsi="宋体" w:cs="仿宋_GB2312"/>
          <w:b/>
          <w:bCs/>
          <w:kern w:val="0"/>
          <w:sz w:val="24"/>
          <w:lang w:val="zh-CN"/>
        </w:rPr>
        <w:t>系统运行维护</w:t>
      </w:r>
    </w:p>
    <w:p>
      <w:pPr>
        <w:spacing w:line="360" w:lineRule="auto"/>
        <w:ind w:firstLine="480" w:firstLineChars="200"/>
        <w:rPr>
          <w:rFonts w:ascii="宋体" w:hAnsi="宋体"/>
          <w:sz w:val="24"/>
        </w:rPr>
      </w:pPr>
      <w:r>
        <w:rPr>
          <w:rFonts w:hint="eastAsia" w:ascii="宋体" w:hAnsi="宋体"/>
          <w:sz w:val="24"/>
        </w:rPr>
        <w:t>乙方向甲方提供招标文件和合同规定的所有服务内容，并承诺免费服务二年，</w:t>
      </w:r>
      <w:r>
        <w:rPr>
          <w:rFonts w:ascii="宋体" w:hAnsi="宋体"/>
          <w:sz w:val="24"/>
        </w:rPr>
        <w:t>过保</w:t>
      </w:r>
      <w:r>
        <w:rPr>
          <w:rFonts w:hint="eastAsia" w:ascii="宋体" w:hAnsi="宋体"/>
          <w:sz w:val="24"/>
        </w:rPr>
        <w:t>后另外签订维保合同。</w:t>
      </w:r>
    </w:p>
    <w:p>
      <w:pPr>
        <w:spacing w:line="360" w:lineRule="auto"/>
        <w:rPr>
          <w:rFonts w:ascii="宋体" w:hAnsi="宋体"/>
          <w:b/>
          <w:sz w:val="24"/>
        </w:rPr>
      </w:pPr>
      <w:r>
        <w:rPr>
          <w:rFonts w:hint="eastAsia" w:ascii="宋体" w:hAnsi="宋体"/>
          <w:b/>
          <w:sz w:val="24"/>
        </w:rPr>
        <w:t>8、支付</w:t>
      </w:r>
    </w:p>
    <w:p>
      <w:pPr>
        <w:autoSpaceDE w:val="0"/>
        <w:autoSpaceDN w:val="0"/>
        <w:adjustRightInd w:val="0"/>
        <w:spacing w:line="360" w:lineRule="auto"/>
        <w:ind w:firstLine="480"/>
        <w:rPr>
          <w:rFonts w:ascii="宋体" w:hAnsi="宋体" w:cs="仿宋_GB2312"/>
          <w:kern w:val="0"/>
          <w:sz w:val="24"/>
        </w:rPr>
      </w:pPr>
      <w:r>
        <w:rPr>
          <w:rFonts w:hint="eastAsia" w:ascii="宋体" w:hAnsi="宋体" w:cs="仿宋_GB2312"/>
          <w:kern w:val="0"/>
          <w:sz w:val="24"/>
          <w:lang w:val="zh-CN"/>
        </w:rPr>
        <w:t>本次项目合同总价为人民币</w:t>
      </w:r>
      <w:r>
        <w:rPr>
          <w:rFonts w:hint="eastAsia" w:ascii="宋体" w:hAnsi="宋体" w:cs="仿宋_GB2312"/>
          <w:kern w:val="0"/>
          <w:sz w:val="24"/>
          <w:u w:val="single"/>
          <w:lang w:val="zh-CN"/>
        </w:rPr>
        <w:t xml:space="preserve">            （</w:t>
      </w:r>
      <w:r>
        <w:rPr>
          <w:rFonts w:hint="eastAsia" w:ascii="宋体" w:hAnsi="宋体" w:cs="仿宋_GB2312"/>
          <w:kern w:val="0"/>
          <w:sz w:val="24"/>
          <w:lang w:val="zh-CN"/>
        </w:rPr>
        <w:t>￥    元）</w:t>
      </w:r>
      <w:r>
        <w:rPr>
          <w:rFonts w:hint="eastAsia" w:ascii="宋体" w:hAnsi="宋体" w:cs="仿宋_GB2312"/>
          <w:kern w:val="0"/>
          <w:sz w:val="24"/>
        </w:rPr>
        <w:t>：</w:t>
      </w:r>
    </w:p>
    <w:p>
      <w:pPr>
        <w:spacing w:line="360" w:lineRule="auto"/>
        <w:ind w:firstLine="480" w:firstLineChars="200"/>
        <w:rPr>
          <w:rFonts w:ascii="宋体" w:hAnsi="宋体" w:cs="仿宋_GB2312"/>
          <w:kern w:val="0"/>
          <w:sz w:val="24"/>
          <w:lang w:val="zh-CN"/>
        </w:rPr>
      </w:pPr>
      <w:r>
        <w:rPr>
          <w:rFonts w:hint="eastAsia" w:ascii="宋体" w:hAnsi="宋体" w:cs="仿宋_GB2312"/>
          <w:kern w:val="0"/>
          <w:sz w:val="24"/>
          <w:lang w:val="zh-CN"/>
        </w:rPr>
        <w:t>1）合同签订后5个工作日内细化系统实施方案，乙方凭甲方的支付通知书办理合同总价50%的服务款结算手续；</w:t>
      </w:r>
    </w:p>
    <w:p>
      <w:pPr>
        <w:spacing w:line="360" w:lineRule="auto"/>
        <w:ind w:firstLine="480" w:firstLineChars="200"/>
        <w:rPr>
          <w:rFonts w:ascii="宋体" w:hAnsi="宋体" w:cs="仿宋_GB2312"/>
          <w:kern w:val="0"/>
          <w:sz w:val="24"/>
          <w:lang w:val="zh-CN"/>
        </w:rPr>
      </w:pPr>
      <w:r>
        <w:rPr>
          <w:rFonts w:hint="eastAsia" w:ascii="宋体" w:hAnsi="宋体" w:cs="仿宋_GB2312"/>
          <w:kern w:val="0"/>
          <w:sz w:val="24"/>
          <w:lang w:val="zh-CN"/>
        </w:rPr>
        <w:t>2）系统经验收合格，无质量和服务问题，乙方凭甲方签字盖章的支付通知书结清合同余款。</w:t>
      </w:r>
    </w:p>
    <w:p>
      <w:pPr>
        <w:spacing w:line="360" w:lineRule="auto"/>
        <w:rPr>
          <w:rFonts w:ascii="宋体" w:hAnsi="宋体"/>
          <w:b/>
          <w:sz w:val="24"/>
        </w:rPr>
      </w:pPr>
      <w:r>
        <w:rPr>
          <w:rFonts w:hint="eastAsia" w:ascii="宋体" w:hAnsi="宋体" w:cs="仿宋_GB2312"/>
          <w:b/>
          <w:kern w:val="0"/>
          <w:sz w:val="24"/>
          <w:lang w:val="zh-CN"/>
        </w:rPr>
        <w:t>9</w:t>
      </w:r>
      <w:r>
        <w:rPr>
          <w:rFonts w:hint="eastAsia" w:ascii="宋体" w:hAnsi="宋体"/>
          <w:b/>
          <w:sz w:val="24"/>
        </w:rPr>
        <w:t>、延期交付与核定损失额</w:t>
      </w:r>
    </w:p>
    <w:p>
      <w:pPr>
        <w:spacing w:line="360" w:lineRule="auto"/>
        <w:ind w:firstLine="480" w:firstLineChars="200"/>
        <w:rPr>
          <w:rFonts w:ascii="宋体" w:hAnsi="宋体"/>
          <w:sz w:val="24"/>
        </w:rPr>
      </w:pPr>
      <w:r>
        <w:rPr>
          <w:rFonts w:hint="eastAsia" w:ascii="宋体" w:hAnsi="宋体"/>
          <w:sz w:val="24"/>
        </w:rPr>
        <w:t>如果</w:t>
      </w:r>
      <w:r>
        <w:rPr>
          <w:rFonts w:hint="eastAsia" w:ascii="宋体" w:hAnsi="宋体"/>
          <w:kern w:val="0"/>
          <w:sz w:val="24"/>
          <w:lang w:val="zh-CN"/>
        </w:rPr>
        <w:t>乙方</w:t>
      </w:r>
      <w:r>
        <w:rPr>
          <w:rFonts w:hint="eastAsia" w:ascii="宋体" w:hAnsi="宋体"/>
          <w:sz w:val="24"/>
        </w:rPr>
        <w:t>在正常情况下未能按合同规定的时间按期交付使用，</w:t>
      </w:r>
      <w:r>
        <w:rPr>
          <w:rFonts w:hint="eastAsia" w:ascii="宋体" w:hAnsi="宋体"/>
          <w:kern w:val="0"/>
          <w:sz w:val="24"/>
          <w:lang w:val="zh-CN"/>
        </w:rPr>
        <w:t>乙方</w:t>
      </w:r>
      <w:r>
        <w:rPr>
          <w:rFonts w:hint="eastAsia" w:ascii="宋体" w:hAnsi="宋体"/>
          <w:sz w:val="24"/>
        </w:rPr>
        <w:t>应承担相应后果。</w:t>
      </w:r>
      <w:r>
        <w:rPr>
          <w:rFonts w:hint="eastAsia" w:ascii="宋体" w:hAnsi="宋体"/>
          <w:kern w:val="0"/>
          <w:sz w:val="24"/>
          <w:lang w:val="zh-CN"/>
        </w:rPr>
        <w:t>如果乙方未能按合同规定履行其义务，甲方有权从履约保证金中取得补偿。</w:t>
      </w:r>
    </w:p>
    <w:p>
      <w:pPr>
        <w:spacing w:line="360" w:lineRule="auto"/>
        <w:rPr>
          <w:rFonts w:ascii="宋体" w:hAnsi="宋体"/>
          <w:b/>
          <w:sz w:val="24"/>
        </w:rPr>
      </w:pPr>
      <w:r>
        <w:rPr>
          <w:rFonts w:hint="eastAsia" w:ascii="宋体" w:hAnsi="宋体"/>
          <w:b/>
          <w:sz w:val="24"/>
        </w:rPr>
        <w:t>10、不可抗力</w:t>
      </w:r>
    </w:p>
    <w:p>
      <w:pPr>
        <w:autoSpaceDE w:val="0"/>
        <w:autoSpaceDN w:val="0"/>
        <w:adjustRightInd w:val="0"/>
        <w:spacing w:line="360" w:lineRule="auto"/>
        <w:ind w:firstLine="480"/>
        <w:rPr>
          <w:rFonts w:ascii="宋体" w:hAnsi="宋体"/>
          <w:sz w:val="24"/>
        </w:rPr>
      </w:pPr>
      <w:r>
        <w:rPr>
          <w:rFonts w:hint="eastAsia" w:ascii="宋体" w:hAnsi="宋体"/>
          <w:sz w:val="24"/>
        </w:rPr>
        <w:t>签约双方任一方由于不可抗力事故的影响而不能执行合同时，履行合同的期限应予以延长。不可抗力事故系指甲乙双方在缔结合同时所不能预见的，并且它的发生及其后果无法避免和无法克服的事故。</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11、乙方的责任与义务</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11.1 根据投标文件的承诺向甲方委派</w:t>
      </w:r>
      <w:r>
        <w:rPr>
          <w:rFonts w:hint="eastAsia" w:ascii="宋体" w:hAnsi="宋体"/>
          <w:sz w:val="24"/>
        </w:rPr>
        <w:t>项目负责人、技术负责人</w:t>
      </w:r>
      <w:r>
        <w:rPr>
          <w:rFonts w:hint="eastAsia" w:ascii="宋体" w:hAnsi="宋体"/>
          <w:kern w:val="0"/>
          <w:sz w:val="24"/>
          <w:lang w:val="zh-CN"/>
        </w:rPr>
        <w:t>和专业技术人员。</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11.2 在履行本合同义务的期间，应运用合理的技能，认真、勤奋的工作。</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11.3 在本合同期内或合同终止后，未征得有关方同意，不得泄漏与本项目、本合同有关的技术、资料等，不得以任何形式侵害甲方的知识产权。</w:t>
      </w:r>
    </w:p>
    <w:p>
      <w:pPr>
        <w:autoSpaceDE w:val="0"/>
        <w:autoSpaceDN w:val="0"/>
        <w:adjustRightInd w:val="0"/>
        <w:spacing w:line="360" w:lineRule="auto"/>
        <w:ind w:firstLine="480"/>
        <w:rPr>
          <w:rFonts w:ascii="宋体" w:hAnsi="宋体"/>
          <w:sz w:val="24"/>
        </w:rPr>
      </w:pPr>
      <w:r>
        <w:rPr>
          <w:rFonts w:hint="eastAsia" w:ascii="宋体" w:hAnsi="宋体"/>
          <w:kern w:val="0"/>
          <w:sz w:val="24"/>
          <w:lang w:val="zh-CN"/>
        </w:rPr>
        <w:t xml:space="preserve">11.4 </w:t>
      </w:r>
      <w:r>
        <w:rPr>
          <w:rFonts w:hint="eastAsia" w:ascii="宋体" w:hAnsi="宋体"/>
          <w:sz w:val="24"/>
        </w:rPr>
        <w:t>负责本系统项目建设及整体联动，负责处理好与其他项目实施单位的协调。</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11.5 项目建设有关事项包括：项目规划、设计标准、规范和使用功能要求，向甲方的建议权；</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11.6 项目设计中的技术问题，按照安全和优化的原则，提出建议，并向甲方提出书面报告。如果由于拟提出的建议会提高项目造价，或延长工期，应当事先取的甲方的同意；</w:t>
      </w:r>
    </w:p>
    <w:p>
      <w:pPr>
        <w:autoSpaceDE w:val="0"/>
        <w:autoSpaceDN w:val="0"/>
        <w:adjustRightInd w:val="0"/>
        <w:spacing w:line="360" w:lineRule="auto"/>
        <w:ind w:firstLine="480"/>
        <w:rPr>
          <w:rFonts w:ascii="宋体" w:hAnsi="宋体"/>
          <w:sz w:val="24"/>
        </w:rPr>
      </w:pPr>
      <w:r>
        <w:rPr>
          <w:rFonts w:hint="eastAsia" w:ascii="宋体" w:hAnsi="宋体"/>
          <w:kern w:val="0"/>
          <w:sz w:val="24"/>
          <w:lang w:val="zh-CN"/>
        </w:rPr>
        <w:t>11.7 项目实施组织设计和技术方案，按照保质量、保工期和降低成本的原则，向甲方提出书面报告。如果由于拟提出的建议会提高项目造价，或延长工期，应当事先取得甲方的同意。</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12、甲方的责任与义务</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12.1甲方应当主要负责项目建设的所有外部关系的联系与协调，为乙方工作提供良好的外部条件。</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12.2 甲方应当按合同专用条款双方约定的内容和时间，向乙方提供与项目建设有关的项目等资料。</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12.3 甲方应当按合同专用条款约定的时间就乙方书面提交并要求做出决定的一切事宜做出书面决定。逾期应视为甲方同意。</w:t>
      </w:r>
    </w:p>
    <w:p>
      <w:pPr>
        <w:autoSpaceDE w:val="0"/>
        <w:autoSpaceDN w:val="0"/>
        <w:adjustRightInd w:val="0"/>
        <w:spacing w:line="360" w:lineRule="auto"/>
        <w:ind w:firstLine="480"/>
        <w:rPr>
          <w:rFonts w:ascii="宋体" w:hAnsi="宋体"/>
          <w:kern w:val="0"/>
          <w:sz w:val="24"/>
          <w:lang w:val="zh-CN"/>
        </w:rPr>
      </w:pPr>
      <w:r>
        <w:rPr>
          <w:rFonts w:hint="eastAsia" w:ascii="宋体" w:hAnsi="宋体"/>
          <w:kern w:val="0"/>
          <w:sz w:val="24"/>
          <w:lang w:val="zh-CN"/>
        </w:rPr>
        <w:t>12.4 甲方应授权一名熟悉本项目情况、能迅速做出决定的项目代表，负责与乙方联系。更换代表，要提前通知乙方。</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12.5 甲方有与乙方订立补充合同的签订权。</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12.6 甲方有对项目规模、设计标准、规范和设计使用功能要求的认定权，以及对项目建设、设计变更的审批权。</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12.7 甲方有权要求乙方提交工作月度报告及专项报告等。</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13、合同生效、变更和终止</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 xml:space="preserve">13.1 </w:t>
      </w:r>
      <w:r>
        <w:rPr>
          <w:rFonts w:hint="eastAsia" w:ascii="宋体" w:hAnsi="宋体"/>
          <w:sz w:val="24"/>
        </w:rPr>
        <w:t>本合同经甲乙双方法定代表人或其委托人签字盖章，由乙方向甲方缴纳5%履约保证金后生效。</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13.2 在甲乙双方的责任期即合同的有效期，经双方协商，如因项目建设进度的推迟或延误而超过约定的日期，双方应重新约定相应延长的合同期。</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13.3 在合同签订后，实际情况发生变化，使得乙方不能全部或部分执行项目时，乙方应当立即通知甲方。该项目的完成时间应延长。当恢复执行项目时，是否需增加时间用于恢复执行，由双方协商确定。</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13.4 当事人一方要求变更或解除合同时，应当在30天前通知对方，因变更或解除合同使一方遭受损失的，除依法可以免除责任的外，应由责任方负责赔偿。变更或解除合同的通知或协议应当采取书面形式，协议未达成之前，原合同仍然有效。</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14、违约责任</w:t>
      </w:r>
    </w:p>
    <w:p>
      <w:pPr>
        <w:autoSpaceDE w:val="0"/>
        <w:autoSpaceDN w:val="0"/>
        <w:adjustRightInd w:val="0"/>
        <w:spacing w:line="360" w:lineRule="auto"/>
        <w:ind w:firstLine="480" w:firstLineChars="200"/>
        <w:jc w:val="left"/>
        <w:rPr>
          <w:rFonts w:ascii="宋体" w:hAnsi="宋体"/>
          <w:b/>
          <w:kern w:val="0"/>
          <w:sz w:val="24"/>
          <w:lang w:val="zh-CN"/>
        </w:rPr>
      </w:pPr>
      <w:r>
        <w:rPr>
          <w:rFonts w:hint="eastAsia" w:ascii="宋体" w:hAnsi="宋体"/>
          <w:kern w:val="0"/>
          <w:sz w:val="24"/>
          <w:lang w:val="zh-CN"/>
        </w:rPr>
        <w:t>甲方应当履行合同约定的义务，如有违反，须承担相应的违约责任。</w:t>
      </w:r>
    </w:p>
    <w:p>
      <w:pPr>
        <w:spacing w:line="360" w:lineRule="auto"/>
        <w:ind w:firstLine="480" w:firstLineChars="200"/>
        <w:rPr>
          <w:rFonts w:ascii="宋体" w:hAnsi="宋体"/>
          <w:sz w:val="24"/>
        </w:rPr>
      </w:pPr>
      <w:r>
        <w:rPr>
          <w:rFonts w:hint="eastAsia" w:ascii="宋体" w:hAnsi="宋体"/>
          <w:kern w:val="0"/>
          <w:sz w:val="24"/>
          <w:lang w:val="zh-CN"/>
        </w:rPr>
        <w:t xml:space="preserve">14.1 </w:t>
      </w:r>
      <w:r>
        <w:rPr>
          <w:rFonts w:hint="eastAsia" w:ascii="宋体" w:hAnsi="宋体"/>
          <w:sz w:val="24"/>
        </w:rPr>
        <w:t>乙方须按项目</w:t>
      </w:r>
      <w:r>
        <w:rPr>
          <w:rFonts w:ascii="宋体" w:hAnsi="宋体"/>
          <w:sz w:val="24"/>
        </w:rPr>
        <w:t>实施计划分步骤完成甲方要求的系统升级、运行维护等</w:t>
      </w:r>
      <w:r>
        <w:rPr>
          <w:rFonts w:hint="eastAsia" w:ascii="宋体" w:hAnsi="宋体"/>
          <w:sz w:val="24"/>
        </w:rPr>
        <w:t>服务</w:t>
      </w:r>
      <w:r>
        <w:rPr>
          <w:rFonts w:ascii="宋体" w:hAnsi="宋体"/>
          <w:sz w:val="24"/>
        </w:rPr>
        <w:t>内容</w:t>
      </w:r>
      <w:r>
        <w:rPr>
          <w:rFonts w:hint="eastAsia" w:ascii="宋体" w:hAnsi="宋体"/>
          <w:sz w:val="24"/>
        </w:rPr>
        <w:t>，并会同甲方及有关部门共同按有关规范验收，如因项目实施质量问题，不能按期验收或验收不合格，乙方应负责返工所造成的经济损失。由此而造成推迟交付的时间按超期天数计算，每超过一天乙方按本项目总价款的1‰赔偿甲方的经济损失。如因甲方原因造成不能按期完工，工期相应顺延。</w:t>
      </w:r>
    </w:p>
    <w:p>
      <w:pPr>
        <w:spacing w:line="360" w:lineRule="auto"/>
        <w:ind w:firstLine="480" w:firstLineChars="200"/>
        <w:rPr>
          <w:rFonts w:ascii="宋体" w:hAnsi="宋体"/>
          <w:sz w:val="24"/>
        </w:rPr>
      </w:pPr>
      <w:r>
        <w:rPr>
          <w:rFonts w:hint="eastAsia" w:ascii="宋体" w:hAnsi="宋体" w:cs="仿宋_GB2312"/>
          <w:sz w:val="24"/>
          <w:lang w:val="zh-CN"/>
        </w:rPr>
        <w:t>14.2 如因乙方原因达不到合格等级的，则必须无条件返工至合格，并全额没收履约保证金。</w:t>
      </w:r>
    </w:p>
    <w:p>
      <w:pPr>
        <w:spacing w:line="360" w:lineRule="auto"/>
        <w:ind w:firstLine="480" w:firstLineChars="200"/>
        <w:rPr>
          <w:rFonts w:ascii="宋体" w:hAnsi="宋体" w:cs="仿宋_GB2312"/>
          <w:kern w:val="0"/>
          <w:sz w:val="24"/>
        </w:rPr>
      </w:pPr>
      <w:r>
        <w:rPr>
          <w:rFonts w:hint="eastAsia" w:ascii="宋体" w:hAnsi="宋体"/>
          <w:sz w:val="24"/>
        </w:rPr>
        <w:t>14.3</w:t>
      </w:r>
      <w:r>
        <w:rPr>
          <w:rFonts w:ascii="宋体" w:hAnsi="宋体"/>
          <w:sz w:val="24"/>
        </w:rPr>
        <w:t xml:space="preserve"> </w:t>
      </w:r>
      <w:r>
        <w:rPr>
          <w:rFonts w:hint="eastAsia" w:ascii="宋体" w:hAnsi="宋体"/>
          <w:sz w:val="24"/>
        </w:rPr>
        <w:t>未经甲方同意，乙方不得在任何时期擅自更换投标文件中规定的项目负责人和技术负责人，同时必须确保项目技术人员的数量和水平与投标文件一致，否则</w:t>
      </w:r>
      <w:r>
        <w:rPr>
          <w:rFonts w:hint="eastAsia" w:ascii="宋体" w:hAnsi="宋体" w:cs="仿宋_GB2312"/>
          <w:kern w:val="0"/>
          <w:sz w:val="24"/>
        </w:rPr>
        <w:t>甲方有权放弃或终止合同，并没收投标保证金或履约保证金。</w:t>
      </w:r>
      <w:r>
        <w:rPr>
          <w:rFonts w:hint="eastAsia" w:ascii="宋体" w:hAnsi="宋体"/>
          <w:sz w:val="24"/>
        </w:rPr>
        <w:t>项目负责人和技术负责人必须常驻实施现场，暂离现场必须事先征得甲方批准，如未经批准擅自离岗，按每离岗一天没收</w:t>
      </w:r>
      <w:r>
        <w:rPr>
          <w:rFonts w:hint="eastAsia" w:ascii="宋体" w:hAnsi="宋体" w:cs="仿宋_GB2312"/>
          <w:kern w:val="0"/>
          <w:sz w:val="24"/>
        </w:rPr>
        <w:t>履约保证金5%计，</w:t>
      </w:r>
      <w:r>
        <w:rPr>
          <w:rFonts w:hint="eastAsia" w:ascii="宋体" w:hAnsi="宋体"/>
          <w:sz w:val="24"/>
        </w:rPr>
        <w:t>擅自离岗连续超过10天或累计超过15天的，</w:t>
      </w:r>
      <w:r>
        <w:rPr>
          <w:rFonts w:hint="eastAsia" w:ascii="宋体" w:hAnsi="宋体" w:cs="仿宋_GB2312"/>
          <w:kern w:val="0"/>
          <w:sz w:val="24"/>
        </w:rPr>
        <w:t>甲方有权终止合同，并没收全部履约保证金。</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 xml:space="preserve">4 </w:t>
      </w:r>
      <w:r>
        <w:rPr>
          <w:rFonts w:hint="eastAsia" w:ascii="宋体" w:hAnsi="宋体"/>
          <w:sz w:val="24"/>
        </w:rPr>
        <w:t>因乙方原因造成招标人其他系统不能正常运行，酿成重大事故（正常工作日系统中断一天或一天以上）的，将承担全部法律责任，并赔偿经济损失，赔偿金额为项目总价的50%。</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sz w:val="24"/>
        </w:rPr>
        <w:t>14.</w:t>
      </w:r>
      <w:r>
        <w:rPr>
          <w:rFonts w:ascii="宋体" w:hAnsi="宋体"/>
          <w:sz w:val="24"/>
        </w:rPr>
        <w:t>5</w:t>
      </w:r>
      <w:r>
        <w:rPr>
          <w:rFonts w:hint="eastAsia" w:ascii="宋体" w:hAnsi="宋体"/>
          <w:sz w:val="24"/>
        </w:rPr>
        <w:t xml:space="preserve"> </w:t>
      </w:r>
      <w:r>
        <w:rPr>
          <w:rFonts w:hint="eastAsia" w:ascii="宋体" w:hAnsi="宋体" w:cs="仿宋_GB2312"/>
          <w:kern w:val="0"/>
          <w:sz w:val="24"/>
          <w:lang w:val="zh-CN"/>
        </w:rPr>
        <w:t>履行本合同的过程中，确因在现有水平和条件下难以克服的技术困难，导致部分或全部失败所造成的损失，风险责任由乙方全部承担。</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sz w:val="24"/>
        </w:rPr>
        <w:t>1</w:t>
      </w:r>
      <w:r>
        <w:rPr>
          <w:rFonts w:ascii="宋体" w:hAnsi="宋体"/>
          <w:sz w:val="24"/>
        </w:rPr>
        <w:t>4</w:t>
      </w:r>
      <w:r>
        <w:rPr>
          <w:rFonts w:hint="eastAsia" w:ascii="宋体" w:hAnsi="宋体"/>
          <w:sz w:val="24"/>
        </w:rPr>
        <w:t>.</w:t>
      </w:r>
      <w:r>
        <w:rPr>
          <w:rFonts w:ascii="宋体" w:hAnsi="宋体"/>
          <w:sz w:val="24"/>
        </w:rPr>
        <w:t>6</w:t>
      </w:r>
      <w:r>
        <w:rPr>
          <w:rFonts w:hint="eastAsia" w:ascii="宋体" w:hAnsi="宋体"/>
          <w:sz w:val="24"/>
        </w:rPr>
        <w:t xml:space="preserve"> </w:t>
      </w:r>
      <w:r>
        <w:rPr>
          <w:rFonts w:hint="eastAsia" w:ascii="宋体" w:hAnsi="宋体"/>
          <w:kern w:val="0"/>
          <w:sz w:val="24"/>
          <w:lang w:val="zh-CN"/>
        </w:rPr>
        <w:t>因不可抗力导致合同不能全部或部分履行，</w:t>
      </w:r>
      <w:r>
        <w:rPr>
          <w:rFonts w:hint="eastAsia" w:ascii="宋体" w:hAnsi="宋体"/>
          <w:sz w:val="24"/>
        </w:rPr>
        <w:t>甲、</w:t>
      </w:r>
      <w:r>
        <w:rPr>
          <w:rFonts w:hint="eastAsia" w:ascii="宋体" w:hAnsi="宋体"/>
          <w:kern w:val="0"/>
          <w:sz w:val="24"/>
          <w:lang w:val="zh-CN"/>
        </w:rPr>
        <w:t>乙双方协商解决。</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15、项目质量</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15.1 乙方保证按ISO9000系列标准或相应的质量管理和质量保证体系，对项目实施、调试、检测等各个环节进行严格的质量和质量控制。</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15.2 乙方须严格按设计方案和国家现行项目实施验收规范有关规定，精心组织实施、记录、检测。</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15.3 项目的质量、技术标准如在招标文件和投标文件中无相应说明，则按中华人民共和国有关部门颁布的最新的国家或专业（部）标准或相应的国际标准执行。没有国家或专业（部）标准的，按企业标准执行。</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15.4 项目竣工验收：应按设计方案、技术交底、会审纪要、设计变更通知单、国家和（部）颁发的有关规范和质量检验评定标准、相关的国际标准为依据，并有相关专业测试单位出具相应的测验结论报告。</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15.5 项目实施过程中应严格做好安全防范措施，如乙方项目实施人员在实施中违反操作规定造成人员伤亡事故或实施现场防范措施设置不明造成人员伤害事故，一切责任均有乙方负责。</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16、争议处理</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16.1 合同在履行过程中发生争议时，甲方与乙方及时协商解决。协商不成时，向合同签署地人民法院提起诉讼。</w:t>
      </w:r>
    </w:p>
    <w:p>
      <w:pPr>
        <w:spacing w:line="360" w:lineRule="auto"/>
        <w:ind w:firstLine="480" w:firstLineChars="200"/>
        <w:rPr>
          <w:rFonts w:ascii="宋体" w:hAnsi="宋体"/>
          <w:kern w:val="0"/>
          <w:sz w:val="24"/>
          <w:lang w:val="zh-CN"/>
        </w:rPr>
      </w:pPr>
      <w:r>
        <w:rPr>
          <w:rFonts w:hint="eastAsia" w:ascii="宋体" w:hAnsi="宋体"/>
          <w:kern w:val="0"/>
          <w:sz w:val="24"/>
          <w:lang w:val="zh-CN"/>
        </w:rPr>
        <w:t>16.2 对于因违反或终止合同而引起的损失、损害的赔偿，由甲方与乙方友好协商</w:t>
      </w:r>
    </w:p>
    <w:p>
      <w:pPr>
        <w:autoSpaceDE w:val="0"/>
        <w:autoSpaceDN w:val="0"/>
        <w:adjustRightInd w:val="0"/>
        <w:spacing w:line="360" w:lineRule="auto"/>
        <w:jc w:val="left"/>
        <w:rPr>
          <w:rFonts w:ascii="宋体" w:hAnsi="宋体"/>
          <w:b/>
          <w:kern w:val="0"/>
          <w:sz w:val="24"/>
          <w:lang w:val="zh-CN"/>
        </w:rPr>
      </w:pPr>
      <w:r>
        <w:rPr>
          <w:rFonts w:hint="eastAsia" w:ascii="宋体" w:hAnsi="宋体"/>
          <w:kern w:val="0"/>
          <w:sz w:val="24"/>
          <w:lang w:val="zh-CN"/>
        </w:rPr>
        <w:t>解决，经协商仍未能达成一致的，向合同签署地人民法院提起诉讼。</w:t>
      </w:r>
    </w:p>
    <w:p>
      <w:pPr>
        <w:autoSpaceDE w:val="0"/>
        <w:autoSpaceDN w:val="0"/>
        <w:adjustRightInd w:val="0"/>
        <w:spacing w:line="360" w:lineRule="auto"/>
        <w:jc w:val="left"/>
        <w:rPr>
          <w:rFonts w:ascii="宋体" w:hAnsi="宋体"/>
          <w:b/>
          <w:kern w:val="0"/>
          <w:sz w:val="24"/>
          <w:lang w:val="zh-CN"/>
        </w:rPr>
      </w:pPr>
      <w:r>
        <w:rPr>
          <w:rFonts w:hint="eastAsia" w:ascii="宋体" w:hAnsi="宋体"/>
          <w:b/>
          <w:kern w:val="0"/>
          <w:sz w:val="24"/>
          <w:lang w:val="zh-CN"/>
        </w:rPr>
        <w:t>17、其他</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17.1 未经过甲方的书面同意，乙方不得转让其应履行的合同项下的义务，和将部分合同项下的义务分包给其他单位完成。</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17.2 乙方不得参与可能与合同规定的与甲方的利益相冲突的任何活动。</w:t>
      </w:r>
    </w:p>
    <w:p>
      <w:pPr>
        <w:autoSpaceDE w:val="0"/>
        <w:autoSpaceDN w:val="0"/>
        <w:adjustRightInd w:val="0"/>
        <w:spacing w:line="360" w:lineRule="auto"/>
        <w:ind w:firstLine="480" w:firstLineChars="200"/>
        <w:jc w:val="left"/>
        <w:rPr>
          <w:rFonts w:ascii="宋体" w:hAnsi="宋体"/>
          <w:kern w:val="0"/>
          <w:sz w:val="24"/>
          <w:lang w:val="zh-CN"/>
        </w:rPr>
      </w:pPr>
      <w:r>
        <w:rPr>
          <w:rFonts w:hint="eastAsia" w:ascii="宋体" w:hAnsi="宋体"/>
          <w:kern w:val="0"/>
          <w:sz w:val="24"/>
          <w:lang w:val="zh-CN"/>
        </w:rPr>
        <w:t>17.3 乙方人员在甲方场地工作时，应遵守甲方相关规章、制度。</w:t>
      </w:r>
    </w:p>
    <w:p>
      <w:pPr>
        <w:autoSpaceDE w:val="0"/>
        <w:autoSpaceDN w:val="0"/>
        <w:adjustRightInd w:val="0"/>
        <w:spacing w:line="360" w:lineRule="auto"/>
        <w:ind w:firstLine="480" w:firstLineChars="200"/>
        <w:jc w:val="left"/>
        <w:rPr>
          <w:rFonts w:ascii="宋体" w:hAnsi="宋体"/>
          <w:sz w:val="24"/>
        </w:rPr>
      </w:pPr>
      <w:r>
        <w:rPr>
          <w:rFonts w:hint="eastAsia" w:ascii="宋体" w:hAnsi="宋体"/>
          <w:kern w:val="0"/>
          <w:sz w:val="24"/>
          <w:lang w:val="zh-CN"/>
        </w:rPr>
        <w:t xml:space="preserve">17.4 </w:t>
      </w:r>
      <w:r>
        <w:rPr>
          <w:rFonts w:hint="eastAsia" w:ascii="宋体" w:hAnsi="宋体"/>
          <w:sz w:val="24"/>
        </w:rPr>
        <w:t>本合同任何一方给另一方的通知，都应以书面或电传/传真/电报的形式发送，而另一方应以书面形式确认并发送到对方明确的地址。</w:t>
      </w:r>
    </w:p>
    <w:p>
      <w:pPr>
        <w:autoSpaceDE w:val="0"/>
        <w:autoSpaceDN w:val="0"/>
        <w:adjustRightInd w:val="0"/>
        <w:spacing w:line="360" w:lineRule="auto"/>
        <w:ind w:firstLine="480" w:firstLineChars="200"/>
        <w:jc w:val="left"/>
        <w:rPr>
          <w:rFonts w:ascii="宋体" w:hAnsi="宋体"/>
          <w:sz w:val="24"/>
        </w:rPr>
      </w:pPr>
      <w:r>
        <w:rPr>
          <w:rFonts w:hint="eastAsia" w:ascii="宋体" w:hAnsi="宋体"/>
          <w:kern w:val="0"/>
          <w:sz w:val="24"/>
          <w:lang w:val="zh-CN"/>
        </w:rPr>
        <w:t xml:space="preserve">17.5 </w:t>
      </w:r>
      <w:r>
        <w:rPr>
          <w:rFonts w:hint="eastAsia" w:ascii="宋体" w:hAnsi="宋体"/>
          <w:sz w:val="24"/>
        </w:rPr>
        <w:t>合同履行期内甲乙双方均不得随意变更或解除合同。合同若有未尽事宜，需经双方共同协商，订立补充协议，补充协议与本合同有同等法律效力。</w:t>
      </w:r>
    </w:p>
    <w:p>
      <w:pPr>
        <w:autoSpaceDE w:val="0"/>
        <w:autoSpaceDN w:val="0"/>
        <w:adjustRightInd w:val="0"/>
        <w:spacing w:line="360" w:lineRule="auto"/>
        <w:ind w:firstLine="480" w:firstLineChars="200"/>
        <w:jc w:val="left"/>
        <w:rPr>
          <w:rFonts w:ascii="宋体" w:hAnsi="宋体"/>
          <w:sz w:val="24"/>
        </w:rPr>
      </w:pPr>
      <w:r>
        <w:rPr>
          <w:rFonts w:hint="eastAsia" w:ascii="宋体" w:hAnsi="宋体"/>
          <w:kern w:val="0"/>
          <w:sz w:val="24"/>
          <w:lang w:val="zh-CN"/>
        </w:rPr>
        <w:t xml:space="preserve">17.6 </w:t>
      </w:r>
      <w:r>
        <w:rPr>
          <w:rFonts w:hint="eastAsia" w:ascii="宋体" w:hAnsi="宋体"/>
          <w:sz w:val="24"/>
        </w:rPr>
        <w:t>招标文件（项目编号：ZL</w:t>
      </w:r>
      <w:r>
        <w:rPr>
          <w:rFonts w:hint="eastAsia" w:ascii="宋体" w:hAnsi="宋体"/>
          <w:sz w:val="24"/>
          <w:lang w:val="en-US" w:eastAsia="zh-CN"/>
        </w:rPr>
        <w:t>XXK-ZB1811-016</w:t>
      </w:r>
      <w:r>
        <w:rPr>
          <w:rFonts w:hint="eastAsia" w:ascii="宋体" w:hAnsi="宋体"/>
          <w:sz w:val="24"/>
        </w:rPr>
        <w:t>）、投标文件及评标过程中形成的文字资料、询标纪要均作为本合同的组成部分，具有同等效力。</w:t>
      </w:r>
    </w:p>
    <w:p>
      <w:pPr>
        <w:autoSpaceDE w:val="0"/>
        <w:autoSpaceDN w:val="0"/>
        <w:adjustRightInd w:val="0"/>
        <w:spacing w:line="360" w:lineRule="auto"/>
        <w:ind w:firstLine="480" w:firstLineChars="200"/>
        <w:jc w:val="left"/>
        <w:rPr>
          <w:rFonts w:ascii="宋体" w:hAnsi="宋体"/>
          <w:sz w:val="24"/>
        </w:rPr>
      </w:pPr>
      <w:r>
        <w:rPr>
          <w:rFonts w:hint="eastAsia" w:ascii="宋体" w:hAnsi="宋体"/>
          <w:kern w:val="0"/>
          <w:sz w:val="24"/>
          <w:lang w:val="zh-CN"/>
        </w:rPr>
        <w:t xml:space="preserve">17.7 </w:t>
      </w:r>
      <w:r>
        <w:rPr>
          <w:rFonts w:hint="eastAsia" w:ascii="宋体" w:hAnsi="宋体"/>
          <w:sz w:val="24"/>
        </w:rPr>
        <w:t>本合同经甲乙双方法定代表人或其委托人签字盖章，由乙方向甲方缴纳5%履约保证金</w:t>
      </w:r>
      <w:r>
        <w:rPr>
          <w:rFonts w:hint="eastAsia" w:ascii="宋体" w:hAnsi="宋体"/>
          <w:sz w:val="24"/>
          <w:lang w:val="zh-CN"/>
        </w:rPr>
        <w:t>后生效</w:t>
      </w:r>
      <w:r>
        <w:rPr>
          <w:rFonts w:hint="eastAsia" w:ascii="宋体" w:hAnsi="宋体"/>
          <w:sz w:val="24"/>
        </w:rPr>
        <w:t>。</w:t>
      </w:r>
    </w:p>
    <w:p>
      <w:pPr>
        <w:autoSpaceDE w:val="0"/>
        <w:autoSpaceDN w:val="0"/>
        <w:adjustRightInd w:val="0"/>
        <w:spacing w:line="360" w:lineRule="auto"/>
        <w:ind w:firstLine="480" w:firstLineChars="200"/>
        <w:jc w:val="left"/>
        <w:rPr>
          <w:rFonts w:ascii="宋体" w:hAnsi="宋体"/>
          <w:sz w:val="24"/>
        </w:rPr>
      </w:pPr>
      <w:r>
        <w:rPr>
          <w:rFonts w:hint="eastAsia" w:ascii="宋体" w:hAnsi="宋体"/>
          <w:kern w:val="0"/>
          <w:sz w:val="24"/>
          <w:lang w:val="zh-CN"/>
        </w:rPr>
        <w:t xml:space="preserve">17.8 </w:t>
      </w:r>
      <w:r>
        <w:rPr>
          <w:rFonts w:hint="eastAsia" w:ascii="宋体" w:hAnsi="宋体"/>
          <w:sz w:val="24"/>
        </w:rPr>
        <w:t>本合同一式四份，甲乙双方各执二份。</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17.9 适用法律：本合同应按照中华人民共和国的法律进行解释。</w:t>
      </w:r>
    </w:p>
    <w:p>
      <w:pPr>
        <w:autoSpaceDE w:val="0"/>
        <w:autoSpaceDN w:val="0"/>
        <w:adjustRightInd w:val="0"/>
        <w:spacing w:line="360" w:lineRule="auto"/>
        <w:ind w:firstLine="480" w:firstLineChars="200"/>
        <w:jc w:val="left"/>
        <w:rPr>
          <w:rFonts w:ascii="宋体" w:hAnsi="宋体"/>
          <w:sz w:val="24"/>
        </w:rPr>
      </w:pPr>
    </w:p>
    <w:tbl>
      <w:tblPr>
        <w:tblStyle w:val="28"/>
        <w:tblW w:w="9606" w:type="dxa"/>
        <w:tblInd w:w="0" w:type="dxa"/>
        <w:tblLayout w:type="fixed"/>
        <w:tblCellMar>
          <w:top w:w="0" w:type="dxa"/>
          <w:left w:w="108" w:type="dxa"/>
          <w:bottom w:w="0" w:type="dxa"/>
          <w:right w:w="108" w:type="dxa"/>
        </w:tblCellMar>
      </w:tblPr>
      <w:tblGrid>
        <w:gridCol w:w="1728"/>
        <w:gridCol w:w="2633"/>
        <w:gridCol w:w="1858"/>
        <w:gridCol w:w="3387"/>
      </w:tblGrid>
      <w:tr>
        <w:tblPrEx>
          <w:tblLayout w:type="fixed"/>
          <w:tblCellMar>
            <w:top w:w="0" w:type="dxa"/>
            <w:left w:w="108" w:type="dxa"/>
            <w:bottom w:w="0" w:type="dxa"/>
            <w:right w:w="108" w:type="dxa"/>
          </w:tblCellMar>
        </w:tblPrEx>
        <w:trPr>
          <w:trHeight w:val="604" w:hRule="atLeast"/>
        </w:trPr>
        <w:tc>
          <w:tcPr>
            <w:tcW w:w="1728" w:type="dxa"/>
            <w:vAlign w:val="center"/>
          </w:tcPr>
          <w:p>
            <w:pPr>
              <w:pStyle w:val="14"/>
              <w:widowControl w:val="0"/>
              <w:snapToGrid w:val="0"/>
              <w:spacing w:beforeLines="50" w:line="420" w:lineRule="exact"/>
              <w:jc w:val="both"/>
              <w:rPr>
                <w:rFonts w:hAnsi="宋体"/>
                <w:b/>
                <w:sz w:val="24"/>
                <w:szCs w:val="24"/>
              </w:rPr>
            </w:pPr>
            <w:r>
              <w:rPr>
                <w:rFonts w:hint="eastAsia"/>
                <w:b/>
                <w:sz w:val="24"/>
                <w:szCs w:val="24"/>
              </w:rPr>
              <w:t>甲方（公章）：</w:t>
            </w:r>
          </w:p>
        </w:tc>
        <w:tc>
          <w:tcPr>
            <w:tcW w:w="2633" w:type="dxa"/>
            <w:vAlign w:val="center"/>
          </w:tcPr>
          <w:p>
            <w:pPr>
              <w:pStyle w:val="14"/>
              <w:widowControl w:val="0"/>
              <w:snapToGrid w:val="0"/>
              <w:spacing w:beforeLines="50" w:line="420" w:lineRule="exact"/>
              <w:jc w:val="both"/>
              <w:rPr>
                <w:b/>
                <w:sz w:val="24"/>
                <w:szCs w:val="24"/>
              </w:rPr>
            </w:pPr>
            <w:r>
              <w:rPr>
                <w:rFonts w:hint="eastAsia"/>
                <w:b/>
                <w:sz w:val="24"/>
                <w:szCs w:val="24"/>
              </w:rPr>
              <w:t xml:space="preserve">浙江省肿瘤医院  </w:t>
            </w:r>
          </w:p>
        </w:tc>
        <w:tc>
          <w:tcPr>
            <w:tcW w:w="1858" w:type="dxa"/>
            <w:vAlign w:val="center"/>
          </w:tcPr>
          <w:p>
            <w:pPr>
              <w:pStyle w:val="14"/>
              <w:widowControl w:val="0"/>
              <w:snapToGrid w:val="0"/>
              <w:spacing w:beforeLines="50" w:line="420" w:lineRule="exact"/>
              <w:jc w:val="both"/>
              <w:rPr>
                <w:b/>
                <w:sz w:val="24"/>
                <w:szCs w:val="24"/>
              </w:rPr>
            </w:pPr>
            <w:r>
              <w:rPr>
                <w:rFonts w:hint="eastAsia"/>
                <w:b/>
                <w:sz w:val="24"/>
                <w:szCs w:val="24"/>
              </w:rPr>
              <w:t>乙方（公章）：</w:t>
            </w:r>
          </w:p>
        </w:tc>
        <w:tc>
          <w:tcPr>
            <w:tcW w:w="3387" w:type="dxa"/>
            <w:vAlign w:val="center"/>
          </w:tcPr>
          <w:p>
            <w:pPr>
              <w:ind w:right="280"/>
              <w:jc w:val="right"/>
              <w:rPr>
                <w:sz w:val="24"/>
              </w:rPr>
            </w:pPr>
          </w:p>
        </w:tc>
      </w:tr>
      <w:tr>
        <w:tblPrEx>
          <w:tblLayout w:type="fixed"/>
          <w:tblCellMar>
            <w:top w:w="0" w:type="dxa"/>
            <w:left w:w="108" w:type="dxa"/>
            <w:bottom w:w="0" w:type="dxa"/>
            <w:right w:w="108" w:type="dxa"/>
          </w:tblCellMar>
        </w:tblPrEx>
        <w:tc>
          <w:tcPr>
            <w:tcW w:w="1728" w:type="dxa"/>
            <w:vAlign w:val="center"/>
          </w:tcPr>
          <w:p>
            <w:pPr>
              <w:autoSpaceDE w:val="0"/>
              <w:autoSpaceDN w:val="0"/>
              <w:adjustRightInd w:val="0"/>
              <w:spacing w:beforeLines="50" w:line="420" w:lineRule="exact"/>
              <w:rPr>
                <w:rFonts w:hAnsi="宋体"/>
                <w:b/>
                <w:sz w:val="24"/>
              </w:rPr>
            </w:pPr>
            <w:r>
              <w:rPr>
                <w:rFonts w:hint="eastAsia" w:hAnsi="宋体"/>
                <w:b/>
                <w:sz w:val="24"/>
              </w:rPr>
              <w:t>法定代表人：</w:t>
            </w:r>
          </w:p>
        </w:tc>
        <w:tc>
          <w:tcPr>
            <w:tcW w:w="2633" w:type="dxa"/>
            <w:vAlign w:val="center"/>
          </w:tcPr>
          <w:p>
            <w:pPr>
              <w:pStyle w:val="14"/>
              <w:widowControl w:val="0"/>
              <w:snapToGrid w:val="0"/>
              <w:spacing w:beforeLines="50" w:line="420" w:lineRule="exact"/>
              <w:jc w:val="both"/>
              <w:rPr>
                <w:b/>
                <w:sz w:val="24"/>
                <w:szCs w:val="24"/>
              </w:rPr>
            </w:pPr>
          </w:p>
        </w:tc>
        <w:tc>
          <w:tcPr>
            <w:tcW w:w="1858" w:type="dxa"/>
            <w:vAlign w:val="center"/>
          </w:tcPr>
          <w:p>
            <w:pPr>
              <w:pStyle w:val="14"/>
              <w:widowControl w:val="0"/>
              <w:snapToGrid w:val="0"/>
              <w:spacing w:beforeLines="50" w:line="420" w:lineRule="exact"/>
              <w:jc w:val="both"/>
              <w:rPr>
                <w:b/>
                <w:sz w:val="24"/>
                <w:szCs w:val="24"/>
              </w:rPr>
            </w:pPr>
            <w:r>
              <w:rPr>
                <w:rFonts w:hint="eastAsia"/>
                <w:b/>
                <w:sz w:val="24"/>
                <w:szCs w:val="24"/>
              </w:rPr>
              <w:t>法定代表人：</w:t>
            </w:r>
          </w:p>
        </w:tc>
        <w:tc>
          <w:tcPr>
            <w:tcW w:w="3387" w:type="dxa"/>
            <w:vAlign w:val="center"/>
          </w:tcPr>
          <w:p>
            <w:pPr>
              <w:pStyle w:val="14"/>
              <w:widowControl w:val="0"/>
              <w:snapToGrid w:val="0"/>
              <w:spacing w:beforeLines="50" w:line="420" w:lineRule="exact"/>
              <w:jc w:val="both"/>
              <w:rPr>
                <w:b/>
                <w:sz w:val="24"/>
                <w:szCs w:val="24"/>
              </w:rPr>
            </w:pPr>
          </w:p>
        </w:tc>
      </w:tr>
      <w:tr>
        <w:tblPrEx>
          <w:tblLayout w:type="fixed"/>
          <w:tblCellMar>
            <w:top w:w="0" w:type="dxa"/>
            <w:left w:w="108" w:type="dxa"/>
            <w:bottom w:w="0" w:type="dxa"/>
            <w:right w:w="108" w:type="dxa"/>
          </w:tblCellMar>
        </w:tblPrEx>
        <w:tc>
          <w:tcPr>
            <w:tcW w:w="1728" w:type="dxa"/>
            <w:vAlign w:val="center"/>
          </w:tcPr>
          <w:p>
            <w:pPr>
              <w:autoSpaceDE w:val="0"/>
              <w:autoSpaceDN w:val="0"/>
              <w:adjustRightInd w:val="0"/>
              <w:spacing w:beforeLines="50" w:line="420" w:lineRule="exact"/>
              <w:rPr>
                <w:rFonts w:hAnsi="宋体"/>
                <w:b/>
                <w:sz w:val="24"/>
              </w:rPr>
            </w:pPr>
            <w:r>
              <w:rPr>
                <w:rFonts w:hint="eastAsia" w:hAnsi="宋体"/>
                <w:b/>
                <w:sz w:val="24"/>
              </w:rPr>
              <w:t xml:space="preserve">签约时间： </w:t>
            </w:r>
          </w:p>
        </w:tc>
        <w:tc>
          <w:tcPr>
            <w:tcW w:w="2633" w:type="dxa"/>
            <w:vAlign w:val="center"/>
          </w:tcPr>
          <w:p>
            <w:pPr>
              <w:pStyle w:val="14"/>
              <w:widowControl w:val="0"/>
              <w:snapToGrid w:val="0"/>
              <w:spacing w:beforeLines="50" w:line="420" w:lineRule="exact"/>
              <w:ind w:firstLine="482" w:firstLineChars="200"/>
              <w:jc w:val="both"/>
              <w:rPr>
                <w:b/>
                <w:sz w:val="24"/>
                <w:szCs w:val="24"/>
              </w:rPr>
            </w:pPr>
            <w:r>
              <w:rPr>
                <w:rFonts w:hint="eastAsia"/>
                <w:b/>
                <w:sz w:val="24"/>
                <w:szCs w:val="24"/>
              </w:rPr>
              <w:t>年   月   日</w:t>
            </w:r>
          </w:p>
        </w:tc>
        <w:tc>
          <w:tcPr>
            <w:tcW w:w="1858" w:type="dxa"/>
            <w:vAlign w:val="center"/>
          </w:tcPr>
          <w:p>
            <w:pPr>
              <w:pStyle w:val="14"/>
              <w:widowControl w:val="0"/>
              <w:snapToGrid w:val="0"/>
              <w:spacing w:beforeLines="50" w:line="420" w:lineRule="exact"/>
              <w:jc w:val="both"/>
              <w:rPr>
                <w:b/>
                <w:sz w:val="24"/>
                <w:szCs w:val="24"/>
              </w:rPr>
            </w:pPr>
            <w:r>
              <w:rPr>
                <w:rFonts w:hint="eastAsia"/>
                <w:b/>
                <w:sz w:val="24"/>
                <w:szCs w:val="24"/>
              </w:rPr>
              <w:t xml:space="preserve">签约时间： </w:t>
            </w:r>
          </w:p>
        </w:tc>
        <w:tc>
          <w:tcPr>
            <w:tcW w:w="3387" w:type="dxa"/>
            <w:vAlign w:val="center"/>
          </w:tcPr>
          <w:p>
            <w:pPr>
              <w:pStyle w:val="14"/>
              <w:widowControl w:val="0"/>
              <w:snapToGrid w:val="0"/>
              <w:spacing w:beforeLines="50" w:line="420" w:lineRule="exact"/>
              <w:jc w:val="both"/>
              <w:rPr>
                <w:b/>
                <w:sz w:val="24"/>
                <w:szCs w:val="24"/>
              </w:rPr>
            </w:pPr>
            <w:r>
              <w:rPr>
                <w:rFonts w:hint="eastAsia"/>
                <w:b/>
                <w:sz w:val="24"/>
                <w:szCs w:val="24"/>
              </w:rPr>
              <w:t xml:space="preserve">     </w:t>
            </w:r>
            <w:r>
              <w:rPr>
                <w:rFonts w:hint="eastAsia"/>
                <w:b/>
                <w:sz w:val="24"/>
                <w:szCs w:val="24"/>
                <w:lang w:val="en-US" w:eastAsia="zh-CN"/>
              </w:rPr>
              <w:t xml:space="preserve">  </w:t>
            </w:r>
            <w:r>
              <w:rPr>
                <w:rFonts w:hint="eastAsia"/>
                <w:b/>
                <w:sz w:val="24"/>
                <w:szCs w:val="24"/>
              </w:rPr>
              <w:t>年   月   日</w:t>
            </w:r>
          </w:p>
        </w:tc>
      </w:tr>
    </w:tbl>
    <w:p>
      <w:pPr>
        <w:pStyle w:val="14"/>
        <w:widowControl w:val="0"/>
        <w:snapToGrid w:val="0"/>
        <w:spacing w:beforeLines="50" w:line="360" w:lineRule="auto"/>
        <w:jc w:val="both"/>
        <w:rPr>
          <w:rFonts w:hAnsi="宋体"/>
          <w:sz w:val="24"/>
          <w:szCs w:val="24"/>
        </w:rPr>
      </w:pPr>
      <w:r>
        <w:rPr>
          <w:rFonts w:hAnsi="宋体"/>
          <w:sz w:val="24"/>
          <w:szCs w:val="24"/>
        </w:rPr>
        <w:br w:type="page"/>
      </w:r>
    </w:p>
    <w:p>
      <w:pPr>
        <w:rPr>
          <w:rFonts w:ascii="宋体" w:hAnsi="宋体"/>
          <w:color w:val="000000"/>
          <w:kern w:val="0"/>
          <w:sz w:val="32"/>
          <w:szCs w:val="32"/>
        </w:rPr>
      </w:pPr>
      <w:r>
        <w:rPr>
          <w:rFonts w:hint="eastAsia" w:ascii="宋体" w:hAnsi="宋体"/>
          <w:color w:val="000000"/>
          <w:kern w:val="0"/>
          <w:sz w:val="32"/>
          <w:szCs w:val="32"/>
        </w:rPr>
        <w:t>投标文件封面附件：</w:t>
      </w:r>
    </w:p>
    <w:p>
      <w:pPr>
        <w:jc w:val="right"/>
        <w:rPr>
          <w:rFonts w:ascii="宋体" w:hAnsi="宋体"/>
          <w:color w:val="000000"/>
          <w:kern w:val="0"/>
          <w:sz w:val="36"/>
          <w:szCs w:val="36"/>
        </w:rPr>
      </w:pPr>
      <w:r>
        <w:rPr>
          <w:rFonts w:hint="eastAsia" w:ascii="宋体" w:hAnsi="宋体"/>
          <w:color w:val="000000"/>
          <w:kern w:val="0"/>
          <w:sz w:val="36"/>
          <w:szCs w:val="36"/>
        </w:rPr>
        <w:t>正（副）本</w:t>
      </w:r>
    </w:p>
    <w:p>
      <w:pPr>
        <w:spacing w:line="360" w:lineRule="auto"/>
        <w:jc w:val="center"/>
        <w:rPr>
          <w:rFonts w:ascii="宋体" w:hAnsi="宋体"/>
          <w:b/>
          <w:bCs/>
          <w:color w:val="000000"/>
          <w:sz w:val="72"/>
          <w:szCs w:val="72"/>
          <w:lang w:val="zh-CN"/>
        </w:rPr>
      </w:pPr>
    </w:p>
    <w:p>
      <w:pPr>
        <w:spacing w:line="360" w:lineRule="auto"/>
        <w:jc w:val="center"/>
        <w:rPr>
          <w:rFonts w:ascii="宋体" w:hAnsi="宋体"/>
          <w:b/>
          <w:bCs/>
          <w:color w:val="000000"/>
          <w:sz w:val="72"/>
          <w:szCs w:val="72"/>
          <w:lang w:val="zh-CN"/>
        </w:rPr>
      </w:pPr>
      <w:r>
        <w:rPr>
          <w:rFonts w:hint="eastAsia" w:ascii="宋体" w:hAnsi="宋体"/>
          <w:b/>
          <w:bCs/>
          <w:color w:val="000000"/>
          <w:sz w:val="72"/>
          <w:szCs w:val="72"/>
          <w:lang w:val="zh-CN"/>
        </w:rPr>
        <w:t>浙江省肿瘤医院</w:t>
      </w:r>
    </w:p>
    <w:p>
      <w:pPr>
        <w:spacing w:line="360" w:lineRule="auto"/>
        <w:jc w:val="center"/>
        <w:rPr>
          <w:rFonts w:ascii="宋体" w:hAnsi="宋体"/>
          <w:b/>
          <w:bCs/>
          <w:color w:val="000000"/>
          <w:sz w:val="15"/>
          <w:szCs w:val="15"/>
          <w:lang w:val="zh-CN"/>
        </w:rPr>
      </w:pPr>
    </w:p>
    <w:p>
      <w:pPr>
        <w:jc w:val="center"/>
        <w:rPr>
          <w:b/>
          <w:bCs/>
          <w:sz w:val="72"/>
          <w:szCs w:val="72"/>
          <w:lang w:val="zh-CN"/>
        </w:rPr>
      </w:pPr>
      <w:r>
        <w:rPr>
          <w:rFonts w:hint="eastAsia"/>
          <w:b/>
          <w:bCs/>
          <w:sz w:val="72"/>
          <w:szCs w:val="72"/>
        </w:rPr>
        <w:t>医用耗材精细化管理项目</w:t>
      </w:r>
    </w:p>
    <w:p>
      <w:pPr>
        <w:rPr>
          <w:rFonts w:ascii="宋体" w:hAnsi="宋体"/>
          <w:color w:val="000000"/>
          <w:kern w:val="0"/>
          <w:sz w:val="84"/>
          <w:szCs w:val="84"/>
        </w:rPr>
      </w:pPr>
    </w:p>
    <w:p>
      <w:pPr>
        <w:jc w:val="center"/>
        <w:rPr>
          <w:rFonts w:ascii="宋体" w:hAnsi="宋体"/>
          <w:color w:val="000000"/>
          <w:kern w:val="0"/>
          <w:sz w:val="84"/>
          <w:szCs w:val="84"/>
        </w:rPr>
      </w:pPr>
      <w:r>
        <w:rPr>
          <w:rFonts w:hint="eastAsia" w:ascii="宋体" w:hAnsi="宋体"/>
          <w:color w:val="000000"/>
          <w:kern w:val="0"/>
          <w:sz w:val="84"/>
          <w:szCs w:val="84"/>
        </w:rPr>
        <w:t>投标文件</w:t>
      </w:r>
    </w:p>
    <w:p>
      <w:pPr>
        <w:jc w:val="center"/>
        <w:rPr>
          <w:rFonts w:ascii="宋体" w:hAnsi="宋体"/>
          <w:color w:val="000000"/>
          <w:kern w:val="0"/>
          <w:sz w:val="36"/>
          <w:szCs w:val="36"/>
        </w:rPr>
      </w:pPr>
      <w:r>
        <w:rPr>
          <w:rFonts w:hint="eastAsia" w:ascii="宋体" w:hAnsi="宋体"/>
          <w:color w:val="000000"/>
          <w:kern w:val="0"/>
          <w:sz w:val="36"/>
          <w:szCs w:val="36"/>
        </w:rPr>
        <w:t>（资格或商务文件）</w:t>
      </w:r>
    </w:p>
    <w:p>
      <w:pPr>
        <w:rPr>
          <w:rFonts w:ascii="宋体" w:hAnsi="宋体"/>
          <w:color w:val="000000"/>
          <w:sz w:val="36"/>
          <w:szCs w:val="36"/>
        </w:rPr>
      </w:pPr>
    </w:p>
    <w:p>
      <w:pPr>
        <w:rPr>
          <w:rFonts w:ascii="宋体" w:hAnsi="宋体"/>
          <w:color w:val="000000"/>
          <w:sz w:val="36"/>
          <w:szCs w:val="36"/>
        </w:rPr>
      </w:pPr>
    </w:p>
    <w:p>
      <w:pPr>
        <w:rPr>
          <w:rFonts w:ascii="宋体" w:hAnsi="宋体"/>
          <w:color w:val="000000"/>
          <w:sz w:val="36"/>
          <w:szCs w:val="36"/>
        </w:rPr>
      </w:pPr>
    </w:p>
    <w:p>
      <w:pPr>
        <w:rPr>
          <w:rFonts w:ascii="宋体" w:hAnsi="宋体"/>
          <w:color w:val="000000"/>
          <w:sz w:val="36"/>
          <w:szCs w:val="36"/>
        </w:rPr>
      </w:pPr>
    </w:p>
    <w:p>
      <w:pPr>
        <w:rPr>
          <w:rFonts w:ascii="宋体" w:hAnsi="宋体"/>
          <w:color w:val="000000"/>
          <w:sz w:val="36"/>
          <w:szCs w:val="36"/>
        </w:rPr>
      </w:pPr>
      <w:r>
        <w:rPr>
          <w:rFonts w:hint="eastAsia" w:ascii="宋体" w:hAnsi="宋体"/>
          <w:color w:val="000000"/>
          <w:sz w:val="36"/>
          <w:szCs w:val="36"/>
        </w:rPr>
        <w:t>投标单位：</w:t>
      </w:r>
    </w:p>
    <w:p>
      <w:pPr>
        <w:rPr>
          <w:rFonts w:ascii="宋体" w:hAnsi="宋体"/>
          <w:color w:val="000000"/>
          <w:sz w:val="36"/>
          <w:szCs w:val="36"/>
        </w:rPr>
      </w:pPr>
    </w:p>
    <w:p>
      <w:pPr>
        <w:rPr>
          <w:rFonts w:ascii="宋体" w:hAnsi="宋体"/>
          <w:b/>
          <w:color w:val="000000"/>
          <w:sz w:val="44"/>
          <w:szCs w:val="44"/>
        </w:rPr>
      </w:pPr>
      <w:r>
        <w:rPr>
          <w:rFonts w:hint="eastAsia" w:ascii="宋体" w:hAnsi="宋体"/>
          <w:color w:val="000000"/>
          <w:sz w:val="36"/>
          <w:szCs w:val="36"/>
        </w:rPr>
        <w:t>单位地址：</w:t>
      </w:r>
    </w:p>
    <w:p>
      <w:pPr>
        <w:jc w:val="center"/>
        <w:rPr>
          <w:rFonts w:ascii="宋体" w:hAnsi="宋体"/>
          <w:b/>
          <w:color w:val="000000"/>
          <w:sz w:val="32"/>
          <w:szCs w:val="32"/>
        </w:rPr>
      </w:pPr>
      <w:r>
        <w:rPr>
          <w:rFonts w:hint="eastAsia" w:ascii="宋体" w:hAnsi="宋体"/>
          <w:b/>
          <w:color w:val="000000"/>
          <w:sz w:val="32"/>
          <w:szCs w:val="32"/>
        </w:rPr>
        <w:t>（各投标商在不改变以上内容的情况下可自行设计封面）</w:t>
      </w:r>
    </w:p>
    <w:p>
      <w:pPr>
        <w:rPr>
          <w:color w:val="000000"/>
        </w:rPr>
      </w:pPr>
    </w:p>
    <w:sectPr>
      <w:pgSz w:w="11906" w:h="16838"/>
      <w:pgMar w:top="1440" w:right="14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Vrinda">
    <w:panose1 w:val="01010600010101010101"/>
    <w:charset w:val="00"/>
    <w:family w:val="swiss"/>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right="360"/>
      <w:rPr>
        <w:rStyle w:val="25"/>
      </w:rPr>
    </w:pPr>
    <w:r>
      <w:rPr>
        <w:rStyle w:val="25"/>
        <w:rFonts w:hint="eastAsia"/>
        <w:kern w:val="0"/>
        <w:szCs w:val="21"/>
      </w:rPr>
      <w:t xml:space="preserve">第 </w:t>
    </w:r>
    <w:r>
      <w:rPr>
        <w:rStyle w:val="25"/>
        <w:kern w:val="0"/>
        <w:szCs w:val="21"/>
      </w:rPr>
      <w:fldChar w:fldCharType="begin"/>
    </w:r>
    <w:r>
      <w:rPr>
        <w:rStyle w:val="25"/>
        <w:kern w:val="0"/>
        <w:szCs w:val="21"/>
      </w:rPr>
      <w:instrText xml:space="preserve"> PAGE </w:instrText>
    </w:r>
    <w:r>
      <w:rPr>
        <w:rStyle w:val="25"/>
        <w:kern w:val="0"/>
        <w:szCs w:val="21"/>
      </w:rPr>
      <w:fldChar w:fldCharType="separate"/>
    </w:r>
    <w:r>
      <w:rPr>
        <w:rStyle w:val="25"/>
        <w:kern w:val="0"/>
        <w:szCs w:val="21"/>
      </w:rPr>
      <w:t>9</w:t>
    </w:r>
    <w:r>
      <w:rPr>
        <w:rStyle w:val="25"/>
        <w:kern w:val="0"/>
        <w:szCs w:val="21"/>
      </w:rPr>
      <w:fldChar w:fldCharType="end"/>
    </w:r>
    <w:r>
      <w:rPr>
        <w:rStyle w:val="25"/>
        <w:rFonts w:hint="eastAsia"/>
        <w:kern w:val="0"/>
        <w:szCs w:val="21"/>
      </w:rPr>
      <w:t xml:space="preserve"> 页 共 32 页</w:t>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color w:val="000000"/>
      </w:rPr>
    </w:pPr>
    <w:r>
      <w:rPr>
        <w:rFonts w:hint="eastAsia"/>
        <w:color w:val="000000"/>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color w:val="000000"/>
      </w:rPr>
    </w:pPr>
    <w:r>
      <w:rPr>
        <w:rFonts w:hint="eastAsia"/>
        <w:color w:val="000000"/>
      </w:rPr>
      <w:t xml:space="preserve">                                                              </w:t>
    </w:r>
    <w:r>
      <w:rPr>
        <w:color w:val="000000"/>
      </w:rPr>
      <w:t xml:space="preserve">                           </w:t>
    </w:r>
    <w:r>
      <w:rPr>
        <w:rFonts w:hint="eastAsia"/>
        <w:color w:val="00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pStyle w:val="9"/>
      <w:suff w:val="nothing"/>
      <w:lvlText w:val=""/>
      <w:lvlJc w:val="left"/>
    </w:lvl>
    <w:lvl w:ilvl="7" w:tentative="0">
      <w:start w:val="1"/>
      <w:numFmt w:val="none"/>
      <w:pStyle w:val="10"/>
      <w:suff w:val="nothing"/>
      <w:lvlText w:val=""/>
      <w:lvlJc w:val="left"/>
    </w:lvl>
    <w:lvl w:ilvl="8" w:tentative="0">
      <w:start w:val="1"/>
      <w:numFmt w:val="none"/>
      <w:pStyle w:val="11"/>
      <w:suff w:val="nothing"/>
      <w:lvlText w:val=""/>
      <w:lvlJc w:val="left"/>
    </w:lvl>
  </w:abstractNum>
  <w:abstractNum w:abstractNumId="1">
    <w:nsid w:val="2D973081"/>
    <w:multiLevelType w:val="multilevel"/>
    <w:tmpl w:val="2D9730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3404D0"/>
    <w:multiLevelType w:val="multilevel"/>
    <w:tmpl w:val="333404D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334022"/>
    <w:multiLevelType w:val="multilevel"/>
    <w:tmpl w:val="4E3340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344862"/>
    <w:multiLevelType w:val="multilevel"/>
    <w:tmpl w:val="74344862"/>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pStyle w:val="3"/>
      <w:lvlText w:val="%1.%2."/>
      <w:lvlJc w:val="left"/>
      <w:pPr>
        <w:tabs>
          <w:tab w:val="left" w:pos="720"/>
        </w:tabs>
        <w:ind w:left="567" w:hanging="567"/>
      </w:pPr>
      <w:rPr>
        <w:rFonts w:hint="eastAsia"/>
      </w:rPr>
    </w:lvl>
    <w:lvl w:ilvl="2" w:tentative="0">
      <w:start w:val="1"/>
      <w:numFmt w:val="decimal"/>
      <w:pStyle w:val="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82A3534"/>
    <w:multiLevelType w:val="multilevel"/>
    <w:tmpl w:val="782A3534"/>
    <w:lvl w:ilvl="0" w:tentative="0">
      <w:start w:val="1"/>
      <w:numFmt w:val="japaneseCounting"/>
      <w:lvlText w:val="第%1章"/>
      <w:lvlJc w:val="left"/>
      <w:pPr>
        <w:tabs>
          <w:tab w:val="left" w:pos="1440"/>
        </w:tabs>
        <w:ind w:left="1440" w:hanging="14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0E6A"/>
    <w:rsid w:val="0000140A"/>
    <w:rsid w:val="000466C6"/>
    <w:rsid w:val="00053C1A"/>
    <w:rsid w:val="00073098"/>
    <w:rsid w:val="00076A1F"/>
    <w:rsid w:val="00080022"/>
    <w:rsid w:val="000812A3"/>
    <w:rsid w:val="00085DC1"/>
    <w:rsid w:val="00096B05"/>
    <w:rsid w:val="000B0154"/>
    <w:rsid w:val="000B2866"/>
    <w:rsid w:val="000B457F"/>
    <w:rsid w:val="000D402C"/>
    <w:rsid w:val="000E068A"/>
    <w:rsid w:val="000E675C"/>
    <w:rsid w:val="000E6F4D"/>
    <w:rsid w:val="001024D5"/>
    <w:rsid w:val="00116A69"/>
    <w:rsid w:val="0012056A"/>
    <w:rsid w:val="001249CA"/>
    <w:rsid w:val="00155B74"/>
    <w:rsid w:val="00180349"/>
    <w:rsid w:val="0019553A"/>
    <w:rsid w:val="001D3782"/>
    <w:rsid w:val="001D7AA3"/>
    <w:rsid w:val="001E749C"/>
    <w:rsid w:val="002002B7"/>
    <w:rsid w:val="00212AC8"/>
    <w:rsid w:val="002225D2"/>
    <w:rsid w:val="0022373D"/>
    <w:rsid w:val="00232EFF"/>
    <w:rsid w:val="00237DB7"/>
    <w:rsid w:val="00257F6F"/>
    <w:rsid w:val="002666FF"/>
    <w:rsid w:val="00297A8F"/>
    <w:rsid w:val="002A4BB2"/>
    <w:rsid w:val="002B3671"/>
    <w:rsid w:val="002B48DA"/>
    <w:rsid w:val="002C6985"/>
    <w:rsid w:val="002D0C96"/>
    <w:rsid w:val="002D6DD5"/>
    <w:rsid w:val="002E3F5D"/>
    <w:rsid w:val="00300A16"/>
    <w:rsid w:val="00310D9B"/>
    <w:rsid w:val="00315AE2"/>
    <w:rsid w:val="0032057E"/>
    <w:rsid w:val="003217A2"/>
    <w:rsid w:val="00341774"/>
    <w:rsid w:val="00371832"/>
    <w:rsid w:val="00374554"/>
    <w:rsid w:val="00385466"/>
    <w:rsid w:val="003A30E1"/>
    <w:rsid w:val="003A4536"/>
    <w:rsid w:val="003A5E8F"/>
    <w:rsid w:val="003D0161"/>
    <w:rsid w:val="003D08CA"/>
    <w:rsid w:val="003F2AE7"/>
    <w:rsid w:val="00441DCF"/>
    <w:rsid w:val="0045501B"/>
    <w:rsid w:val="004C0069"/>
    <w:rsid w:val="004C2767"/>
    <w:rsid w:val="004C65E7"/>
    <w:rsid w:val="004F310D"/>
    <w:rsid w:val="004F6C54"/>
    <w:rsid w:val="00513D89"/>
    <w:rsid w:val="00521685"/>
    <w:rsid w:val="00522212"/>
    <w:rsid w:val="00522BEA"/>
    <w:rsid w:val="00524F6F"/>
    <w:rsid w:val="005306F8"/>
    <w:rsid w:val="005532D7"/>
    <w:rsid w:val="005602CF"/>
    <w:rsid w:val="005604FD"/>
    <w:rsid w:val="00571103"/>
    <w:rsid w:val="005723C0"/>
    <w:rsid w:val="00587A13"/>
    <w:rsid w:val="005B2464"/>
    <w:rsid w:val="005B47A0"/>
    <w:rsid w:val="005D115F"/>
    <w:rsid w:val="005F2EA1"/>
    <w:rsid w:val="0060284F"/>
    <w:rsid w:val="00617EA5"/>
    <w:rsid w:val="006331FB"/>
    <w:rsid w:val="00636BD9"/>
    <w:rsid w:val="00642E42"/>
    <w:rsid w:val="0064734C"/>
    <w:rsid w:val="00650E6A"/>
    <w:rsid w:val="00655120"/>
    <w:rsid w:val="0065580D"/>
    <w:rsid w:val="0067501E"/>
    <w:rsid w:val="00675521"/>
    <w:rsid w:val="006A0B2D"/>
    <w:rsid w:val="006B0810"/>
    <w:rsid w:val="006B26BC"/>
    <w:rsid w:val="006B2FA1"/>
    <w:rsid w:val="006E322B"/>
    <w:rsid w:val="006E3477"/>
    <w:rsid w:val="00717545"/>
    <w:rsid w:val="0072234F"/>
    <w:rsid w:val="007533DC"/>
    <w:rsid w:val="00770C22"/>
    <w:rsid w:val="00777F09"/>
    <w:rsid w:val="007A035E"/>
    <w:rsid w:val="007B6078"/>
    <w:rsid w:val="007E00CA"/>
    <w:rsid w:val="007E0997"/>
    <w:rsid w:val="007E4C37"/>
    <w:rsid w:val="007F5D33"/>
    <w:rsid w:val="00811D4C"/>
    <w:rsid w:val="00823DC6"/>
    <w:rsid w:val="00826AA3"/>
    <w:rsid w:val="00836A6C"/>
    <w:rsid w:val="0083728C"/>
    <w:rsid w:val="0085195D"/>
    <w:rsid w:val="008566FF"/>
    <w:rsid w:val="008A67BD"/>
    <w:rsid w:val="008B40A5"/>
    <w:rsid w:val="008C0099"/>
    <w:rsid w:val="008E48E3"/>
    <w:rsid w:val="008F7A33"/>
    <w:rsid w:val="00934BD8"/>
    <w:rsid w:val="00957AD4"/>
    <w:rsid w:val="0096627F"/>
    <w:rsid w:val="009B44F8"/>
    <w:rsid w:val="009B5DF0"/>
    <w:rsid w:val="009C161D"/>
    <w:rsid w:val="009C5A25"/>
    <w:rsid w:val="009E6381"/>
    <w:rsid w:val="00A22261"/>
    <w:rsid w:val="00A2689D"/>
    <w:rsid w:val="00A36ACF"/>
    <w:rsid w:val="00A41752"/>
    <w:rsid w:val="00A52024"/>
    <w:rsid w:val="00A55AC9"/>
    <w:rsid w:val="00A56DB8"/>
    <w:rsid w:val="00A67E28"/>
    <w:rsid w:val="00A82056"/>
    <w:rsid w:val="00A840A4"/>
    <w:rsid w:val="00A85602"/>
    <w:rsid w:val="00A952F7"/>
    <w:rsid w:val="00AA0B7C"/>
    <w:rsid w:val="00AA28BD"/>
    <w:rsid w:val="00AC4D72"/>
    <w:rsid w:val="00AE2730"/>
    <w:rsid w:val="00AE7C56"/>
    <w:rsid w:val="00B07ADE"/>
    <w:rsid w:val="00B133C9"/>
    <w:rsid w:val="00B16D5F"/>
    <w:rsid w:val="00B216BA"/>
    <w:rsid w:val="00B31657"/>
    <w:rsid w:val="00B35F6F"/>
    <w:rsid w:val="00B37630"/>
    <w:rsid w:val="00B415E3"/>
    <w:rsid w:val="00B430B2"/>
    <w:rsid w:val="00B527DB"/>
    <w:rsid w:val="00B638FC"/>
    <w:rsid w:val="00B972B9"/>
    <w:rsid w:val="00BA1803"/>
    <w:rsid w:val="00BE6A10"/>
    <w:rsid w:val="00BE7D01"/>
    <w:rsid w:val="00C01FB8"/>
    <w:rsid w:val="00C0507C"/>
    <w:rsid w:val="00C23B1D"/>
    <w:rsid w:val="00C255B3"/>
    <w:rsid w:val="00C36868"/>
    <w:rsid w:val="00C413A6"/>
    <w:rsid w:val="00C47BF2"/>
    <w:rsid w:val="00C73015"/>
    <w:rsid w:val="00C83088"/>
    <w:rsid w:val="00CB1AA5"/>
    <w:rsid w:val="00CB329D"/>
    <w:rsid w:val="00CD1A8B"/>
    <w:rsid w:val="00CD416F"/>
    <w:rsid w:val="00CE0EB4"/>
    <w:rsid w:val="00CF0B02"/>
    <w:rsid w:val="00D01A70"/>
    <w:rsid w:val="00D203C1"/>
    <w:rsid w:val="00D35FEC"/>
    <w:rsid w:val="00D52F82"/>
    <w:rsid w:val="00D55B33"/>
    <w:rsid w:val="00D70357"/>
    <w:rsid w:val="00D70A3F"/>
    <w:rsid w:val="00D92140"/>
    <w:rsid w:val="00D967FA"/>
    <w:rsid w:val="00DB1AC9"/>
    <w:rsid w:val="00DC19DF"/>
    <w:rsid w:val="00DC2460"/>
    <w:rsid w:val="00DD50DD"/>
    <w:rsid w:val="00DD7AD1"/>
    <w:rsid w:val="00DE61B3"/>
    <w:rsid w:val="00E11675"/>
    <w:rsid w:val="00E15B4A"/>
    <w:rsid w:val="00E16321"/>
    <w:rsid w:val="00E40EF1"/>
    <w:rsid w:val="00E42D6E"/>
    <w:rsid w:val="00E43687"/>
    <w:rsid w:val="00E73F26"/>
    <w:rsid w:val="00E80D47"/>
    <w:rsid w:val="00E84AA2"/>
    <w:rsid w:val="00E84D15"/>
    <w:rsid w:val="00E94FDF"/>
    <w:rsid w:val="00E9702D"/>
    <w:rsid w:val="00EC2C61"/>
    <w:rsid w:val="00EE10BB"/>
    <w:rsid w:val="00EE2033"/>
    <w:rsid w:val="00EF06AB"/>
    <w:rsid w:val="00F06FEE"/>
    <w:rsid w:val="00F24319"/>
    <w:rsid w:val="00F32C98"/>
    <w:rsid w:val="00F47B7E"/>
    <w:rsid w:val="00F517BF"/>
    <w:rsid w:val="00F75061"/>
    <w:rsid w:val="00F80387"/>
    <w:rsid w:val="00F80E92"/>
    <w:rsid w:val="00F8216C"/>
    <w:rsid w:val="00F85A11"/>
    <w:rsid w:val="00F953DD"/>
    <w:rsid w:val="00FA53CD"/>
    <w:rsid w:val="00FC3EEE"/>
    <w:rsid w:val="00FC63C6"/>
    <w:rsid w:val="01116F12"/>
    <w:rsid w:val="013558DC"/>
    <w:rsid w:val="021A56F4"/>
    <w:rsid w:val="02E61FAE"/>
    <w:rsid w:val="04313A9B"/>
    <w:rsid w:val="046A10E0"/>
    <w:rsid w:val="051250CC"/>
    <w:rsid w:val="056D2866"/>
    <w:rsid w:val="0585040E"/>
    <w:rsid w:val="061271C5"/>
    <w:rsid w:val="0749531A"/>
    <w:rsid w:val="08AD07BF"/>
    <w:rsid w:val="0AB9688B"/>
    <w:rsid w:val="0B284F15"/>
    <w:rsid w:val="0B5961F6"/>
    <w:rsid w:val="0C8570BC"/>
    <w:rsid w:val="0E80463F"/>
    <w:rsid w:val="0EF921F1"/>
    <w:rsid w:val="108A21D5"/>
    <w:rsid w:val="10CC2557"/>
    <w:rsid w:val="10EE7298"/>
    <w:rsid w:val="11BF5A34"/>
    <w:rsid w:val="14FE2E50"/>
    <w:rsid w:val="152B28F7"/>
    <w:rsid w:val="1643669D"/>
    <w:rsid w:val="166F2000"/>
    <w:rsid w:val="16A62CD9"/>
    <w:rsid w:val="17C37EB3"/>
    <w:rsid w:val="182A26DF"/>
    <w:rsid w:val="18603912"/>
    <w:rsid w:val="18F22AE2"/>
    <w:rsid w:val="196F542F"/>
    <w:rsid w:val="19970E20"/>
    <w:rsid w:val="1B1861D7"/>
    <w:rsid w:val="1B2A0F2F"/>
    <w:rsid w:val="1C323B79"/>
    <w:rsid w:val="1C607710"/>
    <w:rsid w:val="1DF31953"/>
    <w:rsid w:val="1DF7433C"/>
    <w:rsid w:val="1E7D6E5A"/>
    <w:rsid w:val="1EA23E63"/>
    <w:rsid w:val="1F065977"/>
    <w:rsid w:val="20B167A3"/>
    <w:rsid w:val="20CD44DF"/>
    <w:rsid w:val="21FA1AE6"/>
    <w:rsid w:val="221210A1"/>
    <w:rsid w:val="22790C1A"/>
    <w:rsid w:val="228E4812"/>
    <w:rsid w:val="229B532D"/>
    <w:rsid w:val="235107ED"/>
    <w:rsid w:val="23A26934"/>
    <w:rsid w:val="24420A95"/>
    <w:rsid w:val="249A17A6"/>
    <w:rsid w:val="24A77310"/>
    <w:rsid w:val="24D0464D"/>
    <w:rsid w:val="254A34EA"/>
    <w:rsid w:val="256C47F0"/>
    <w:rsid w:val="25962B2B"/>
    <w:rsid w:val="25A1370C"/>
    <w:rsid w:val="25A861D9"/>
    <w:rsid w:val="25DA3BAA"/>
    <w:rsid w:val="25EC5E8B"/>
    <w:rsid w:val="26A76491"/>
    <w:rsid w:val="270E10D7"/>
    <w:rsid w:val="282A7AE7"/>
    <w:rsid w:val="2A58106A"/>
    <w:rsid w:val="2EB13F5B"/>
    <w:rsid w:val="2EBD02F9"/>
    <w:rsid w:val="2F7E557B"/>
    <w:rsid w:val="30C97D26"/>
    <w:rsid w:val="30D24536"/>
    <w:rsid w:val="30EA7FA4"/>
    <w:rsid w:val="31CB6B9B"/>
    <w:rsid w:val="321A6170"/>
    <w:rsid w:val="322D1A95"/>
    <w:rsid w:val="32395DEF"/>
    <w:rsid w:val="337A02C0"/>
    <w:rsid w:val="34461FF2"/>
    <w:rsid w:val="34E5750D"/>
    <w:rsid w:val="3525286F"/>
    <w:rsid w:val="35CE0E69"/>
    <w:rsid w:val="36370CD2"/>
    <w:rsid w:val="36EE06DB"/>
    <w:rsid w:val="3708747C"/>
    <w:rsid w:val="375E0D9A"/>
    <w:rsid w:val="37DD2119"/>
    <w:rsid w:val="384F0D25"/>
    <w:rsid w:val="38530F4A"/>
    <w:rsid w:val="38734CA9"/>
    <w:rsid w:val="3A6D73D2"/>
    <w:rsid w:val="3B4F15BB"/>
    <w:rsid w:val="3B9A54F6"/>
    <w:rsid w:val="3F985E10"/>
    <w:rsid w:val="3FD64D3B"/>
    <w:rsid w:val="3FF0098C"/>
    <w:rsid w:val="40137DAC"/>
    <w:rsid w:val="40FC1FC5"/>
    <w:rsid w:val="42294E43"/>
    <w:rsid w:val="423A1063"/>
    <w:rsid w:val="429C183D"/>
    <w:rsid w:val="42E752E6"/>
    <w:rsid w:val="43880A3C"/>
    <w:rsid w:val="43EA4374"/>
    <w:rsid w:val="44A264D6"/>
    <w:rsid w:val="4594444A"/>
    <w:rsid w:val="459F20F5"/>
    <w:rsid w:val="45FA46B6"/>
    <w:rsid w:val="45FD7BD8"/>
    <w:rsid w:val="46136F89"/>
    <w:rsid w:val="46322B47"/>
    <w:rsid w:val="47343419"/>
    <w:rsid w:val="474D077E"/>
    <w:rsid w:val="479D7289"/>
    <w:rsid w:val="49621602"/>
    <w:rsid w:val="49981D07"/>
    <w:rsid w:val="49F605B4"/>
    <w:rsid w:val="4BA447AE"/>
    <w:rsid w:val="4C4B7CDD"/>
    <w:rsid w:val="4D937AB1"/>
    <w:rsid w:val="4DBB2479"/>
    <w:rsid w:val="4F5F0D9F"/>
    <w:rsid w:val="505E48C1"/>
    <w:rsid w:val="5102475E"/>
    <w:rsid w:val="5172110E"/>
    <w:rsid w:val="51865407"/>
    <w:rsid w:val="538639E3"/>
    <w:rsid w:val="53AE7D1B"/>
    <w:rsid w:val="544A5C6C"/>
    <w:rsid w:val="5627218B"/>
    <w:rsid w:val="562B2929"/>
    <w:rsid w:val="56AE4398"/>
    <w:rsid w:val="56E9330A"/>
    <w:rsid w:val="585B0F4E"/>
    <w:rsid w:val="599F5AD6"/>
    <w:rsid w:val="59AA128F"/>
    <w:rsid w:val="5A695862"/>
    <w:rsid w:val="5B234B49"/>
    <w:rsid w:val="5BB32425"/>
    <w:rsid w:val="5C5818DB"/>
    <w:rsid w:val="5CA66843"/>
    <w:rsid w:val="5DE47B74"/>
    <w:rsid w:val="5E4E4506"/>
    <w:rsid w:val="5E870E47"/>
    <w:rsid w:val="5F04622D"/>
    <w:rsid w:val="5F15203A"/>
    <w:rsid w:val="5FF518C7"/>
    <w:rsid w:val="60464919"/>
    <w:rsid w:val="611C7ABD"/>
    <w:rsid w:val="612B5E62"/>
    <w:rsid w:val="617300AF"/>
    <w:rsid w:val="61C40288"/>
    <w:rsid w:val="623E5230"/>
    <w:rsid w:val="636B793B"/>
    <w:rsid w:val="6453627B"/>
    <w:rsid w:val="64963718"/>
    <w:rsid w:val="66AD7B17"/>
    <w:rsid w:val="66DC2AEF"/>
    <w:rsid w:val="673D69F0"/>
    <w:rsid w:val="675B4CC2"/>
    <w:rsid w:val="67674DB9"/>
    <w:rsid w:val="67765A93"/>
    <w:rsid w:val="67C37169"/>
    <w:rsid w:val="67D4600B"/>
    <w:rsid w:val="69DD3E0C"/>
    <w:rsid w:val="6B2831E8"/>
    <w:rsid w:val="6B963A64"/>
    <w:rsid w:val="6C0517D0"/>
    <w:rsid w:val="6CD75ED2"/>
    <w:rsid w:val="6D0D2584"/>
    <w:rsid w:val="6D1C0A70"/>
    <w:rsid w:val="6D52328B"/>
    <w:rsid w:val="6DA77E77"/>
    <w:rsid w:val="6F7F1483"/>
    <w:rsid w:val="6F9B6286"/>
    <w:rsid w:val="6F9F25EF"/>
    <w:rsid w:val="6FD17DCE"/>
    <w:rsid w:val="711915CE"/>
    <w:rsid w:val="717C4223"/>
    <w:rsid w:val="74BF1A5D"/>
    <w:rsid w:val="75E7024F"/>
    <w:rsid w:val="76426E0E"/>
    <w:rsid w:val="76F64139"/>
    <w:rsid w:val="77006C27"/>
    <w:rsid w:val="773C5BB7"/>
    <w:rsid w:val="777D2EDD"/>
    <w:rsid w:val="780572FA"/>
    <w:rsid w:val="78C94019"/>
    <w:rsid w:val="78FD50FD"/>
    <w:rsid w:val="797D44E0"/>
    <w:rsid w:val="79D25DCF"/>
    <w:rsid w:val="7A1E37E1"/>
    <w:rsid w:val="7A2C1896"/>
    <w:rsid w:val="7A403E5A"/>
    <w:rsid w:val="7AF42C6E"/>
    <w:rsid w:val="7B1F5951"/>
    <w:rsid w:val="7B241BAE"/>
    <w:rsid w:val="7C3B3E39"/>
    <w:rsid w:val="7CB37139"/>
    <w:rsid w:val="7E703969"/>
    <w:rsid w:val="7EC306DC"/>
    <w:rsid w:val="7F45212F"/>
    <w:rsid w:val="7F66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paragraph" w:styleId="6">
    <w:name w:val="heading 4"/>
    <w:basedOn w:val="1"/>
    <w:next w:val="5"/>
    <w:qFormat/>
    <w:uiPriority w:val="0"/>
    <w:pPr>
      <w:keepNext/>
      <w:keepLines/>
      <w:spacing w:before="280" w:after="290" w:line="376" w:lineRule="auto"/>
      <w:outlineLvl w:val="3"/>
    </w:pPr>
    <w:rPr>
      <w:rFonts w:ascii="Arial" w:hAnsi="Arial" w:eastAsia="黑体"/>
      <w:b/>
      <w:sz w:val="28"/>
    </w:rPr>
  </w:style>
  <w:style w:type="paragraph" w:styleId="7">
    <w:name w:val="heading 5"/>
    <w:basedOn w:val="1"/>
    <w:next w:val="5"/>
    <w:qFormat/>
    <w:uiPriority w:val="0"/>
    <w:pPr>
      <w:keepNext/>
      <w:keepLines/>
      <w:spacing w:before="280" w:after="290" w:line="376" w:lineRule="auto"/>
      <w:outlineLvl w:val="4"/>
    </w:pPr>
    <w:rPr>
      <w:b/>
      <w:sz w:val="28"/>
    </w:rPr>
  </w:style>
  <w:style w:type="paragraph" w:styleId="8">
    <w:name w:val="heading 6"/>
    <w:basedOn w:val="1"/>
    <w:next w:val="5"/>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1"/>
    <w:qFormat/>
    <w:uiPriority w:val="0"/>
    <w:pPr>
      <w:keepNext/>
      <w:keepLines/>
      <w:numPr>
        <w:ilvl w:val="6"/>
        <w:numId w:val="2"/>
      </w:numPr>
      <w:adjustRightInd w:val="0"/>
      <w:spacing w:before="240" w:after="64" w:line="320" w:lineRule="atLeast"/>
      <w:textAlignment w:val="baseline"/>
      <w:outlineLvl w:val="6"/>
    </w:pPr>
    <w:rPr>
      <w:rFonts w:ascii="宋体" w:eastAsia="仿宋_GB2312"/>
      <w:b/>
      <w:kern w:val="0"/>
      <w:sz w:val="24"/>
    </w:rPr>
  </w:style>
  <w:style w:type="paragraph" w:styleId="10">
    <w:name w:val="heading 8"/>
    <w:basedOn w:val="1"/>
    <w:next w:val="1"/>
    <w:qFormat/>
    <w:uiPriority w:val="0"/>
    <w:pPr>
      <w:keepNext/>
      <w:keepLines/>
      <w:numPr>
        <w:ilvl w:val="7"/>
        <w:numId w:val="2"/>
      </w:numPr>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2"/>
      </w:numPr>
      <w:adjustRightInd w:val="0"/>
      <w:spacing w:before="240" w:after="64" w:line="320" w:lineRule="atLeast"/>
      <w:textAlignment w:val="baseline"/>
      <w:outlineLvl w:val="8"/>
    </w:pPr>
    <w:rPr>
      <w:rFonts w:ascii="Arial" w:hAnsi="Arial" w:eastAsia="黑体"/>
      <w:kern w:val="0"/>
      <w:sz w:val="28"/>
    </w:rPr>
  </w:style>
  <w:style w:type="character" w:default="1" w:styleId="24">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Body Text"/>
    <w:basedOn w:val="1"/>
    <w:qFormat/>
    <w:uiPriority w:val="0"/>
    <w:pPr>
      <w:spacing w:line="380" w:lineRule="exact"/>
    </w:pPr>
    <w:rPr>
      <w:rFonts w:eastAsia="仿宋_GB2312"/>
      <w:sz w:val="28"/>
    </w:rPr>
  </w:style>
  <w:style w:type="paragraph" w:styleId="13">
    <w:name w:val="Body Text Indent"/>
    <w:basedOn w:val="1"/>
    <w:qFormat/>
    <w:uiPriority w:val="0"/>
    <w:pPr>
      <w:spacing w:line="480" w:lineRule="auto"/>
      <w:ind w:firstLine="600"/>
    </w:pPr>
    <w:rPr>
      <w:sz w:val="28"/>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15">
    <w:name w:val="Date"/>
    <w:basedOn w:val="1"/>
    <w:next w:val="1"/>
    <w:qFormat/>
    <w:uiPriority w:val="0"/>
    <w:pPr>
      <w:ind w:left="100"/>
    </w:pPr>
    <w:rPr>
      <w:sz w:val="28"/>
    </w:rPr>
  </w:style>
  <w:style w:type="paragraph" w:styleId="16">
    <w:name w:val="Body Text Indent 2"/>
    <w:basedOn w:val="1"/>
    <w:qFormat/>
    <w:uiPriority w:val="0"/>
    <w:pPr>
      <w:spacing w:line="500" w:lineRule="exact"/>
      <w:ind w:firstLine="589" w:firstLineChars="210"/>
    </w:pPr>
    <w:rPr>
      <w:b/>
      <w:bCs/>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Indent 3"/>
    <w:basedOn w:val="1"/>
    <w:qFormat/>
    <w:uiPriority w:val="0"/>
    <w:pPr>
      <w:spacing w:line="500" w:lineRule="exact"/>
      <w:ind w:firstLine="560" w:firstLineChars="200"/>
    </w:pPr>
    <w:rPr>
      <w:rFonts w:ascii="宋体" w:hAnsi="宋体"/>
      <w:color w:val="FF0000"/>
      <w:sz w:val="28"/>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qFormat/>
    <w:uiPriority w:val="0"/>
    <w:pPr>
      <w:jc w:val="center"/>
    </w:pPr>
    <w:rPr>
      <w:sz w:val="28"/>
      <w:szCs w:val="24"/>
    </w:rPr>
  </w:style>
  <w:style w:type="character" w:styleId="25">
    <w:name w:val="page number"/>
    <w:basedOn w:val="24"/>
    <w:qFormat/>
    <w:uiPriority w:val="0"/>
  </w:style>
  <w:style w:type="character" w:styleId="26">
    <w:name w:val="Emphasis"/>
    <w:basedOn w:val="24"/>
    <w:qFormat/>
    <w:uiPriority w:val="99"/>
    <w:rPr>
      <w:rFonts w:cs="Times New Roman"/>
      <w:color w:val="CC0000"/>
    </w:rPr>
  </w:style>
  <w:style w:type="character" w:styleId="27">
    <w:name w:val="Hyperlink"/>
    <w:basedOn w:val="24"/>
    <w:qFormat/>
    <w:uiPriority w:val="0"/>
    <w:rPr>
      <w:color w:val="0000FF"/>
      <w:u w:val="single"/>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0">
    <w:name w:val="Table Elegant"/>
    <w:basedOn w:val="2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paragraph" w:customStyle="1" w:styleId="31">
    <w:name w:val="Proposals body"/>
    <w:basedOn w:val="1"/>
    <w:next w:val="1"/>
    <w:qFormat/>
    <w:uiPriority w:val="0"/>
    <w:pPr>
      <w:widowControl/>
      <w:spacing w:line="360" w:lineRule="auto"/>
      <w:jc w:val="left"/>
    </w:pPr>
    <w:rPr>
      <w:rFonts w:ascii="宋体"/>
      <w:snapToGrid w:val="0"/>
      <w:color w:val="000000"/>
      <w:kern w:val="0"/>
      <w:sz w:val="24"/>
    </w:rPr>
  </w:style>
  <w:style w:type="character" w:customStyle="1" w:styleId="32">
    <w:name w:val="样式 宋体 小四"/>
    <w:basedOn w:val="24"/>
    <w:qFormat/>
    <w:uiPriority w:val="0"/>
    <w:rPr>
      <w:rFonts w:ascii="宋体" w:hAnsi="宋体"/>
      <w:spacing w:val="6"/>
      <w:sz w:val="24"/>
      <w:szCs w:val="24"/>
    </w:rPr>
  </w:style>
  <w:style w:type="paragraph" w:styleId="33">
    <w:name w:val="List Paragraph"/>
    <w:basedOn w:val="1"/>
    <w:qFormat/>
    <w:uiPriority w:val="34"/>
    <w:pPr>
      <w:ind w:firstLine="420" w:firstLineChars="200"/>
    </w:pPr>
  </w:style>
  <w:style w:type="paragraph" w:customStyle="1" w:styleId="34">
    <w:name w:val="列出段落1"/>
    <w:basedOn w:val="1"/>
    <w:qFormat/>
    <w:uiPriority w:val="34"/>
    <w:pPr>
      <w:ind w:firstLine="420" w:firstLineChars="200"/>
    </w:pPr>
    <w:rPr>
      <w:snapToGrid w:val="0"/>
      <w:kern w:val="0"/>
      <w:szCs w:val="32"/>
    </w:rPr>
  </w:style>
  <w:style w:type="character" w:customStyle="1" w:styleId="35">
    <w:name w:val="apple-converted-space"/>
    <w:basedOn w:val="24"/>
    <w:qFormat/>
    <w:uiPriority w:val="0"/>
  </w:style>
  <w:style w:type="paragraph" w:customStyle="1" w:styleId="36">
    <w:name w:val="样式 宋体 小四 行距: 1.5 倍行距 首行缩进:  2 字符"/>
    <w:basedOn w:val="1"/>
    <w:qFormat/>
    <w:uiPriority w:val="0"/>
    <w:pPr>
      <w:spacing w:line="360" w:lineRule="auto"/>
      <w:ind w:firstLine="200" w:firstLineChars="200"/>
    </w:pPr>
    <w:rPr>
      <w:rFonts w:ascii="宋体" w:hAnsi="宋体" w:cs="宋体"/>
      <w:sz w:val="24"/>
    </w:rPr>
  </w:style>
  <w:style w:type="paragraph" w:customStyle="1" w:styleId="37">
    <w:name w:val="正文2"/>
    <w:basedOn w:val="1"/>
    <w:qFormat/>
    <w:uiPriority w:val="0"/>
    <w:pPr>
      <w:spacing w:before="156" w:line="360" w:lineRule="auto"/>
      <w:ind w:firstLine="200" w:firstLineChars="200"/>
    </w:pPr>
    <w:rPr>
      <w:rFonts w:eastAsia="??"/>
      <w:sz w:val="24"/>
      <w:szCs w:val="28"/>
      <w:lang w:val="zh-CN"/>
    </w:rPr>
  </w:style>
  <w:style w:type="character" w:customStyle="1" w:styleId="38">
    <w:name w:val="标题 1 Char"/>
    <w:link w:val="2"/>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7B02A-8FE2-4365-8065-F10B5EEAE47E}">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2916</Words>
  <Characters>16627</Characters>
  <Lines>138</Lines>
  <Paragraphs>39</Paragraphs>
  <TotalTime>2</TotalTime>
  <ScaleCrop>false</ScaleCrop>
  <LinksUpToDate>false</LinksUpToDate>
  <CharactersWithSpaces>19504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2018-05-23T08:59:00Z</dcterms:created>
  <dc:creator>USER</dc:creator>
  <cp:lastModifiedBy>Administrator</cp:lastModifiedBy>
  <cp:lastPrinted>2018-05-24T01:32:00Z</cp:lastPrinted>
  <dcterms:modified xsi:type="dcterms:W3CDTF">2018-11-24T06:50:28Z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