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D1" w:rsidRDefault="00977BD1">
      <w:pPr>
        <w:jc w:val="center"/>
        <w:rPr>
          <w:rFonts w:ascii="宋体" w:hAnsi="宋体" w:cs="宋体"/>
          <w:sz w:val="84"/>
        </w:rPr>
      </w:pPr>
    </w:p>
    <w:p w:rsidR="00977BD1" w:rsidRDefault="00977BD1">
      <w:pPr>
        <w:jc w:val="center"/>
        <w:rPr>
          <w:rFonts w:ascii="宋体" w:hAnsi="宋体" w:cs="宋体"/>
          <w:sz w:val="84"/>
        </w:rPr>
      </w:pPr>
    </w:p>
    <w:p w:rsidR="00977BD1" w:rsidRDefault="008567A1">
      <w:pPr>
        <w:jc w:val="center"/>
        <w:rPr>
          <w:rFonts w:ascii="宋体" w:hAnsi="宋体" w:cs="宋体"/>
          <w:sz w:val="84"/>
        </w:rPr>
      </w:pPr>
      <w:r>
        <w:rPr>
          <w:rFonts w:ascii="宋体" w:hAnsi="宋体" w:cs="宋体" w:hint="eastAsia"/>
          <w:sz w:val="84"/>
        </w:rPr>
        <w:t>招 标 文 件</w:t>
      </w:r>
    </w:p>
    <w:p w:rsidR="00977BD1" w:rsidRDefault="00977BD1">
      <w:pPr>
        <w:ind w:firstLine="600"/>
        <w:rPr>
          <w:rFonts w:ascii="宋体" w:hAnsi="宋体" w:cs="宋体"/>
          <w:sz w:val="32"/>
        </w:rPr>
      </w:pPr>
    </w:p>
    <w:p w:rsidR="00977BD1" w:rsidRDefault="00977BD1">
      <w:pPr>
        <w:ind w:firstLine="600"/>
        <w:rPr>
          <w:rFonts w:ascii="宋体" w:hAnsi="宋体" w:cs="宋体"/>
          <w:sz w:val="32"/>
        </w:rPr>
      </w:pPr>
    </w:p>
    <w:p w:rsidR="00977BD1" w:rsidRDefault="00977BD1">
      <w:pPr>
        <w:rPr>
          <w:rFonts w:ascii="宋体" w:hAnsi="宋体" w:cs="宋体"/>
          <w:sz w:val="48"/>
          <w:u w:val="single"/>
        </w:rPr>
      </w:pPr>
    </w:p>
    <w:p w:rsidR="00977BD1" w:rsidRDefault="00977BD1">
      <w:pPr>
        <w:rPr>
          <w:rFonts w:ascii="宋体" w:hAnsi="宋体" w:cs="宋体"/>
          <w:sz w:val="48"/>
          <w:u w:val="single"/>
        </w:rPr>
      </w:pPr>
    </w:p>
    <w:p w:rsidR="00977BD1" w:rsidRDefault="008567A1">
      <w:pPr>
        <w:jc w:val="center"/>
        <w:rPr>
          <w:rFonts w:ascii="宋体" w:hAnsi="宋体" w:cs="宋体"/>
          <w:sz w:val="32"/>
        </w:rPr>
      </w:pPr>
      <w:r>
        <w:rPr>
          <w:rFonts w:ascii="宋体" w:hAnsi="宋体" w:cs="宋体" w:hint="eastAsia"/>
          <w:sz w:val="48"/>
          <w:u w:val="single"/>
        </w:rPr>
        <w:t>浙江省肿瘤医院在线式UPS电源（主机）采购项目</w:t>
      </w:r>
    </w:p>
    <w:p w:rsidR="00977BD1" w:rsidRDefault="00977BD1">
      <w:pPr>
        <w:ind w:right="5525"/>
        <w:rPr>
          <w:rFonts w:ascii="宋体" w:hAnsi="宋体" w:cs="宋体"/>
          <w:sz w:val="32"/>
        </w:rPr>
      </w:pPr>
    </w:p>
    <w:p w:rsidR="00977BD1" w:rsidRDefault="00977BD1">
      <w:pPr>
        <w:spacing w:before="240"/>
        <w:ind w:firstLine="600"/>
        <w:rPr>
          <w:rFonts w:ascii="宋体" w:hAnsi="宋体" w:cs="宋体"/>
        </w:rPr>
      </w:pPr>
    </w:p>
    <w:p w:rsidR="00977BD1" w:rsidRDefault="00977BD1">
      <w:pPr>
        <w:spacing w:before="240"/>
        <w:ind w:firstLine="600"/>
        <w:rPr>
          <w:rFonts w:ascii="宋体" w:hAnsi="宋体" w:cs="宋体"/>
        </w:rPr>
      </w:pPr>
    </w:p>
    <w:p w:rsidR="00977BD1" w:rsidRDefault="00977BD1">
      <w:pPr>
        <w:spacing w:before="240"/>
        <w:rPr>
          <w:rFonts w:ascii="宋体" w:hAnsi="宋体" w:cs="宋体"/>
        </w:rPr>
      </w:pPr>
    </w:p>
    <w:p w:rsidR="00977BD1" w:rsidRDefault="00977BD1">
      <w:pPr>
        <w:spacing w:before="240"/>
        <w:ind w:firstLine="600"/>
        <w:rPr>
          <w:rFonts w:ascii="宋体" w:hAnsi="宋体" w:cs="宋体"/>
        </w:rPr>
      </w:pPr>
    </w:p>
    <w:p w:rsidR="00977BD1" w:rsidRDefault="008567A1">
      <w:pPr>
        <w:jc w:val="center"/>
        <w:rPr>
          <w:rFonts w:ascii="宋体" w:hAnsi="宋体" w:cs="宋体"/>
          <w:sz w:val="32"/>
        </w:rPr>
      </w:pPr>
      <w:r>
        <w:rPr>
          <w:rFonts w:ascii="宋体" w:hAnsi="宋体" w:cs="宋体" w:hint="eastAsia"/>
          <w:sz w:val="32"/>
        </w:rPr>
        <w:t>浙江省肿瘤医院</w:t>
      </w:r>
    </w:p>
    <w:p w:rsidR="00977BD1" w:rsidRDefault="008567A1">
      <w:pPr>
        <w:jc w:val="center"/>
        <w:rPr>
          <w:rFonts w:ascii="宋体" w:hAnsi="宋体" w:cs="宋体"/>
          <w:sz w:val="32"/>
        </w:rPr>
        <w:sectPr w:rsidR="00977BD1">
          <w:headerReference w:type="default" r:id="rId8"/>
          <w:footerReference w:type="even" r:id="rId9"/>
          <w:footerReference w:type="default" r:id="rId10"/>
          <w:footerReference w:type="first" r:id="rId11"/>
          <w:pgSz w:w="11907" w:h="16840"/>
          <w:pgMar w:top="1418" w:right="1418" w:bottom="1418" w:left="1701" w:header="851" w:footer="851" w:gutter="0"/>
          <w:cols w:space="720"/>
          <w:titlePg/>
          <w:docGrid w:type="lines" w:linePitch="286"/>
        </w:sectPr>
      </w:pPr>
      <w:r>
        <w:rPr>
          <w:rFonts w:ascii="宋体" w:hAnsi="宋体" w:cs="宋体" w:hint="eastAsia"/>
          <w:sz w:val="32"/>
        </w:rPr>
        <w:t>二○一八年八月</w:t>
      </w:r>
    </w:p>
    <w:p w:rsidR="00977BD1" w:rsidRDefault="008567A1" w:rsidP="00D60FA9">
      <w:pPr>
        <w:pStyle w:val="a4"/>
        <w:spacing w:before="0" w:beforeAutospacing="0" w:afterLines="50" w:afterAutospacing="0" w:line="440" w:lineRule="exact"/>
        <w:ind w:left="360" w:hangingChars="100" w:hanging="360"/>
        <w:jc w:val="center"/>
        <w:rPr>
          <w:rFonts w:ascii="华文细黑" w:eastAsia="华文细黑" w:hAnsi="华文细黑" w:cs="华文细黑"/>
          <w:color w:val="auto"/>
          <w:szCs w:val="24"/>
        </w:rPr>
      </w:pPr>
      <w:r>
        <w:rPr>
          <w:rFonts w:ascii="华文细黑" w:eastAsia="华文细黑" w:hAnsi="华文细黑" w:cs="华文细黑" w:hint="eastAsia"/>
          <w:b/>
          <w:bCs/>
          <w:sz w:val="36"/>
          <w:szCs w:val="36"/>
          <w:lang w:val="zh-CN"/>
        </w:rPr>
        <w:lastRenderedPageBreak/>
        <w:t>浙江省肿瘤医院在线式UPS电源（主机）采购项目</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我院拟采取公开招标议价谈判方式，完成浙江省肿瘤医院在线式UPS电源（主机）采购项目招标，现将有关事项公告如下：</w:t>
      </w:r>
    </w:p>
    <w:p w:rsidR="00977BD1" w:rsidRDefault="008567A1">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一、项目名称和质量保证</w:t>
      </w:r>
    </w:p>
    <w:p w:rsidR="00977BD1" w:rsidRDefault="008567A1">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项目名称：浙江省肿瘤医院在线式UPS电源（主机）采购项目。</w:t>
      </w:r>
    </w:p>
    <w:p w:rsidR="00977BD1" w:rsidRDefault="008567A1">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质量保证：</w:t>
      </w:r>
    </w:p>
    <w:p w:rsidR="00977BD1" w:rsidRDefault="008567A1">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（1）所供货物是全新的、未使用过的货物，同时应保证货物的各项功能和技术指标达到投标文件和国家相关标准。</w:t>
      </w:r>
    </w:p>
    <w:p w:rsidR="00977BD1" w:rsidRDefault="008567A1">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（2）货物在正确安装、正常使用和保养条件下，在建筑物使用寿命内的正常使用和运行。货物质保期不得少于36个月（含人工及配件维修）。</w:t>
      </w:r>
    </w:p>
    <w:p w:rsidR="00977BD1" w:rsidRDefault="008567A1">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（3）供应商除提供货物外，还应随货物向院方提供交付货物的出厂合格证、质量检验报告、厂家营业执照复印件、生产许可证复印件、授权经销合同复印件等相关资料（复印件均需加盖供应单位红章）；</w:t>
      </w:r>
    </w:p>
    <w:p w:rsidR="00977BD1" w:rsidRDefault="008567A1">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二、服务内容</w:t>
      </w:r>
    </w:p>
    <w:p w:rsidR="00977BD1" w:rsidRDefault="008567A1">
      <w:pPr>
        <w:spacing w:line="400" w:lineRule="exact"/>
        <w:ind w:left="-426" w:rightChars="-162" w:right="-340" w:firstLineChars="200" w:firstLine="480"/>
        <w:rPr>
          <w:rFonts w:ascii="华文细黑" w:eastAsia="华文细黑" w:hAnsi="华文细黑" w:cs="华文细黑"/>
          <w:bCs/>
          <w:kern w:val="0"/>
          <w:sz w:val="24"/>
          <w:szCs w:val="24"/>
        </w:rPr>
      </w:pPr>
      <w:r>
        <w:rPr>
          <w:rFonts w:ascii="华文细黑" w:eastAsia="华文细黑" w:hAnsi="华文细黑" w:cs="华文细黑" w:hint="eastAsia"/>
          <w:bCs/>
          <w:kern w:val="0"/>
          <w:sz w:val="24"/>
          <w:szCs w:val="24"/>
        </w:rPr>
        <w:t>1.货物（品牌、规格、厂家、产地）、服务名称、数量、单价及合同分项价格、总价：</w:t>
      </w:r>
    </w:p>
    <w:tbl>
      <w:tblPr>
        <w:tblpPr w:leftFromText="180" w:rightFromText="180" w:vertAnchor="text" w:horzAnchor="page" w:tblpX="1134" w:tblpY="17"/>
        <w:tblOverlap w:val="never"/>
        <w:tblW w:w="9850" w:type="dxa"/>
        <w:tblLayout w:type="fixed"/>
        <w:tblCellMar>
          <w:left w:w="30" w:type="dxa"/>
          <w:right w:w="30" w:type="dxa"/>
        </w:tblCellMar>
        <w:tblLook w:val="04A0"/>
      </w:tblPr>
      <w:tblGrid>
        <w:gridCol w:w="667"/>
        <w:gridCol w:w="2910"/>
        <w:gridCol w:w="1052"/>
        <w:gridCol w:w="2051"/>
        <w:gridCol w:w="1035"/>
        <w:gridCol w:w="1050"/>
        <w:gridCol w:w="1085"/>
      </w:tblGrid>
      <w:tr w:rsidR="00977BD1">
        <w:trPr>
          <w:trHeight w:val="406"/>
        </w:trPr>
        <w:tc>
          <w:tcPr>
            <w:tcW w:w="667" w:type="dxa"/>
            <w:tcBorders>
              <w:top w:val="double" w:sz="4" w:space="0" w:color="auto"/>
              <w:left w:val="double" w:sz="4" w:space="0" w:color="auto"/>
              <w:bottom w:val="single" w:sz="6" w:space="0" w:color="auto"/>
              <w:right w:val="sing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序号</w:t>
            </w:r>
          </w:p>
        </w:tc>
        <w:tc>
          <w:tcPr>
            <w:tcW w:w="2910" w:type="dxa"/>
            <w:tcBorders>
              <w:top w:val="double" w:sz="4" w:space="0" w:color="auto"/>
              <w:left w:val="single" w:sz="4" w:space="0" w:color="auto"/>
              <w:bottom w:val="single" w:sz="6" w:space="0" w:color="auto"/>
              <w:right w:val="sing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货物名称</w:t>
            </w:r>
          </w:p>
        </w:tc>
        <w:tc>
          <w:tcPr>
            <w:tcW w:w="1052" w:type="dxa"/>
            <w:tcBorders>
              <w:top w:val="double" w:sz="4" w:space="0" w:color="auto"/>
              <w:left w:val="single" w:sz="4" w:space="0" w:color="auto"/>
              <w:bottom w:val="single" w:sz="6" w:space="0" w:color="auto"/>
              <w:right w:val="sing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数量（套）</w:t>
            </w:r>
          </w:p>
        </w:tc>
        <w:tc>
          <w:tcPr>
            <w:tcW w:w="2051" w:type="dxa"/>
            <w:tcBorders>
              <w:top w:val="double" w:sz="4" w:space="0" w:color="auto"/>
              <w:left w:val="single" w:sz="4" w:space="0" w:color="auto"/>
              <w:bottom w:val="single" w:sz="6" w:space="0" w:color="auto"/>
              <w:right w:val="sing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产地/品牌</w:t>
            </w:r>
          </w:p>
        </w:tc>
        <w:tc>
          <w:tcPr>
            <w:tcW w:w="1035" w:type="dxa"/>
            <w:tcBorders>
              <w:top w:val="double" w:sz="4" w:space="0" w:color="auto"/>
              <w:left w:val="single" w:sz="4" w:space="0" w:color="auto"/>
              <w:bottom w:val="single" w:sz="6" w:space="0" w:color="auto"/>
              <w:right w:val="sing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单价（元）</w:t>
            </w:r>
          </w:p>
        </w:tc>
        <w:tc>
          <w:tcPr>
            <w:tcW w:w="1050" w:type="dxa"/>
            <w:tcBorders>
              <w:top w:val="double" w:sz="4" w:space="0" w:color="auto"/>
              <w:left w:val="single" w:sz="4" w:space="0" w:color="auto"/>
              <w:bottom w:val="single" w:sz="6" w:space="0" w:color="auto"/>
              <w:right w:val="doub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合价（元）</w:t>
            </w:r>
          </w:p>
        </w:tc>
        <w:tc>
          <w:tcPr>
            <w:tcW w:w="1085" w:type="dxa"/>
            <w:tcBorders>
              <w:top w:val="double" w:sz="4" w:space="0" w:color="auto"/>
              <w:left w:val="single" w:sz="4" w:space="0" w:color="auto"/>
              <w:bottom w:val="single" w:sz="6" w:space="0" w:color="auto"/>
              <w:right w:val="doub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备注</w:t>
            </w:r>
          </w:p>
        </w:tc>
      </w:tr>
      <w:tr w:rsidR="00977BD1">
        <w:trPr>
          <w:trHeight w:val="681"/>
        </w:trPr>
        <w:tc>
          <w:tcPr>
            <w:tcW w:w="667" w:type="dxa"/>
            <w:tcBorders>
              <w:top w:val="single" w:sz="6" w:space="0" w:color="auto"/>
              <w:left w:val="double" w:sz="4" w:space="0" w:color="auto"/>
              <w:right w:val="sing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1</w:t>
            </w:r>
          </w:p>
        </w:tc>
        <w:tc>
          <w:tcPr>
            <w:tcW w:w="2910" w:type="dxa"/>
            <w:tcBorders>
              <w:top w:val="single" w:sz="6" w:space="0" w:color="auto"/>
              <w:left w:val="single" w:sz="4" w:space="0" w:color="auto"/>
              <w:right w:val="sing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 w:val="24"/>
                <w:szCs w:val="24"/>
              </w:rPr>
              <w:t>在线式UPS电源（主机）</w:t>
            </w:r>
          </w:p>
        </w:tc>
        <w:tc>
          <w:tcPr>
            <w:tcW w:w="1052" w:type="dxa"/>
            <w:tcBorders>
              <w:top w:val="single" w:sz="6" w:space="0" w:color="auto"/>
              <w:left w:val="single" w:sz="4" w:space="0" w:color="auto"/>
              <w:right w:val="sing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1套</w:t>
            </w:r>
          </w:p>
        </w:tc>
        <w:tc>
          <w:tcPr>
            <w:tcW w:w="2051" w:type="dxa"/>
            <w:tcBorders>
              <w:top w:val="single" w:sz="6" w:space="0" w:color="auto"/>
              <w:left w:val="single" w:sz="4" w:space="0" w:color="auto"/>
              <w:right w:val="sing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品牌：山特、松下、伊顿或同档次及以上</w:t>
            </w:r>
          </w:p>
        </w:tc>
        <w:tc>
          <w:tcPr>
            <w:tcW w:w="1035" w:type="dxa"/>
            <w:tcBorders>
              <w:top w:val="single" w:sz="6" w:space="0" w:color="auto"/>
              <w:left w:val="single" w:sz="4" w:space="0" w:color="auto"/>
              <w:right w:val="sing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c>
          <w:tcPr>
            <w:tcW w:w="1050" w:type="dxa"/>
            <w:tcBorders>
              <w:top w:val="single" w:sz="6" w:space="0" w:color="auto"/>
              <w:left w:val="sing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c>
          <w:tcPr>
            <w:tcW w:w="1085" w:type="dxa"/>
            <w:vMerge w:val="restart"/>
            <w:tcBorders>
              <w:top w:val="single" w:sz="6" w:space="0" w:color="auto"/>
              <w:left w:val="sing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p w:rsidR="00977BD1" w:rsidRDefault="00977BD1">
            <w:pPr>
              <w:autoSpaceDE w:val="0"/>
              <w:autoSpaceDN w:val="0"/>
              <w:adjustRightInd w:val="0"/>
              <w:spacing w:line="400" w:lineRule="exact"/>
              <w:jc w:val="center"/>
              <w:rPr>
                <w:rFonts w:ascii="华文细黑" w:eastAsia="华文细黑" w:hAnsi="华文细黑" w:cs="华文细黑"/>
                <w:szCs w:val="21"/>
              </w:rPr>
            </w:pPr>
          </w:p>
        </w:tc>
      </w:tr>
      <w:tr w:rsidR="00977BD1">
        <w:trPr>
          <w:trHeight w:val="681"/>
        </w:trPr>
        <w:tc>
          <w:tcPr>
            <w:tcW w:w="8765" w:type="dxa"/>
            <w:gridSpan w:val="6"/>
            <w:vMerge w:val="restart"/>
            <w:tcBorders>
              <w:top w:val="single" w:sz="6" w:space="0" w:color="auto"/>
              <w:left w:val="double" w:sz="4" w:space="0" w:color="auto"/>
              <w:right w:val="double" w:sz="4" w:space="0" w:color="auto"/>
            </w:tcBorders>
            <w:vAlign w:val="center"/>
          </w:tcPr>
          <w:p w:rsidR="00977BD1" w:rsidRDefault="008567A1">
            <w:pPr>
              <w:numPr>
                <w:ilvl w:val="0"/>
                <w:numId w:val="1"/>
              </w:numPr>
              <w:autoSpaceDE w:val="0"/>
              <w:autoSpaceDN w:val="0"/>
              <w:adjustRightInd w:val="0"/>
              <w:spacing w:line="400" w:lineRule="exact"/>
              <w:rPr>
                <w:rFonts w:ascii="华文细黑" w:eastAsia="华文细黑" w:hAnsi="华文细黑" w:cs="华文细黑"/>
                <w:szCs w:val="21"/>
              </w:rPr>
            </w:pPr>
            <w:r>
              <w:rPr>
                <w:rFonts w:ascii="华文细黑" w:eastAsia="华文细黑" w:hAnsi="华文细黑" w:cs="华文细黑" w:hint="eastAsia"/>
                <w:szCs w:val="21"/>
              </w:rPr>
              <w:t>机柜容量不小于120KW，可选功率模块不小于6个；</w:t>
            </w:r>
          </w:p>
          <w:p w:rsidR="00977BD1" w:rsidRDefault="008567A1">
            <w:pPr>
              <w:numPr>
                <w:ilvl w:val="0"/>
                <w:numId w:val="1"/>
              </w:numPr>
              <w:autoSpaceDE w:val="0"/>
              <w:autoSpaceDN w:val="0"/>
              <w:adjustRightInd w:val="0"/>
              <w:spacing w:line="400" w:lineRule="exact"/>
              <w:rPr>
                <w:rFonts w:ascii="华文细黑" w:eastAsia="华文细黑" w:hAnsi="华文细黑" w:cs="华文细黑"/>
                <w:szCs w:val="21"/>
              </w:rPr>
            </w:pPr>
            <w:r>
              <w:rPr>
                <w:rFonts w:ascii="华文细黑" w:eastAsia="华文细黑" w:hAnsi="华文细黑" w:cs="华文细黑" w:hint="eastAsia"/>
                <w:szCs w:val="21"/>
              </w:rPr>
              <w:t>额定电压3×380VAC/400VAC/415VAC（3Ph+N）；</w:t>
            </w:r>
          </w:p>
          <w:p w:rsidR="00977BD1" w:rsidRDefault="008567A1">
            <w:pPr>
              <w:numPr>
                <w:ilvl w:val="0"/>
                <w:numId w:val="1"/>
              </w:numPr>
              <w:autoSpaceDE w:val="0"/>
              <w:autoSpaceDN w:val="0"/>
              <w:adjustRightInd w:val="0"/>
              <w:spacing w:line="400" w:lineRule="exact"/>
              <w:rPr>
                <w:rFonts w:ascii="华文细黑" w:eastAsia="华文细黑" w:hAnsi="华文细黑" w:cs="华文细黑"/>
                <w:szCs w:val="21"/>
              </w:rPr>
            </w:pPr>
            <w:r>
              <w:rPr>
                <w:rFonts w:ascii="华文细黑" w:eastAsia="华文细黑" w:hAnsi="华文细黑" w:cs="华文细黑" w:hint="eastAsia"/>
                <w:szCs w:val="21"/>
              </w:rPr>
              <w:t>电压稳定性（稳态）≤±1％典型值（平衡负载）；≤±2％典型值（不平衡负载）；</w:t>
            </w:r>
          </w:p>
          <w:p w:rsidR="00977BD1" w:rsidRDefault="008567A1">
            <w:pPr>
              <w:autoSpaceDE w:val="0"/>
              <w:autoSpaceDN w:val="0"/>
              <w:adjustRightInd w:val="0"/>
              <w:spacing w:line="400" w:lineRule="exact"/>
              <w:rPr>
                <w:rFonts w:ascii="华文细黑" w:eastAsia="华文细黑" w:hAnsi="华文细黑" w:cs="华文细黑"/>
                <w:szCs w:val="21"/>
              </w:rPr>
            </w:pPr>
            <w:r>
              <w:rPr>
                <w:rFonts w:ascii="华文细黑" w:eastAsia="华文细黑" w:hAnsi="华文细黑" w:cs="华文细黑" w:hint="eastAsia"/>
                <w:szCs w:val="21"/>
              </w:rPr>
              <w:t>电压稳定性（瞬态）≤±5％典型值；</w:t>
            </w:r>
          </w:p>
          <w:p w:rsidR="00977BD1" w:rsidRDefault="008567A1">
            <w:pPr>
              <w:autoSpaceDE w:val="0"/>
              <w:autoSpaceDN w:val="0"/>
              <w:adjustRightInd w:val="0"/>
              <w:spacing w:line="400" w:lineRule="exact"/>
              <w:rPr>
                <w:rFonts w:ascii="华文细黑" w:eastAsia="华文细黑" w:hAnsi="华文细黑" w:cs="华文细黑"/>
                <w:szCs w:val="21"/>
              </w:rPr>
            </w:pPr>
            <w:r>
              <w:rPr>
                <w:rFonts w:ascii="华文细黑" w:eastAsia="华文细黑" w:hAnsi="华文细黑" w:cs="华文细黑" w:hint="eastAsia"/>
                <w:szCs w:val="21"/>
              </w:rPr>
              <w:t>额定电压+/-216V（12V×36颗），最大电压+/-240V（12V×40颗），最大电压+/-192V（12V×32颗）；最大充电电流：20KW模块，每个模块6A；</w:t>
            </w:r>
          </w:p>
          <w:p w:rsidR="00977BD1" w:rsidRDefault="008567A1">
            <w:pPr>
              <w:numPr>
                <w:ilvl w:val="0"/>
                <w:numId w:val="1"/>
              </w:numPr>
              <w:autoSpaceDE w:val="0"/>
              <w:autoSpaceDN w:val="0"/>
              <w:adjustRightInd w:val="0"/>
              <w:spacing w:line="400" w:lineRule="exact"/>
              <w:rPr>
                <w:rFonts w:ascii="华文细黑" w:eastAsia="华文细黑" w:hAnsi="华文细黑" w:cs="华文细黑"/>
                <w:szCs w:val="21"/>
              </w:rPr>
            </w:pPr>
            <w:r>
              <w:rPr>
                <w:rFonts w:ascii="华文细黑" w:eastAsia="华文细黑" w:hAnsi="华文细黑" w:cs="华文细黑" w:hint="eastAsia"/>
                <w:szCs w:val="21"/>
              </w:rPr>
              <w:t>带UPS实时监控及历史记录查询功能，UPS充电部分必须具备过温保护功能，提供UPS过温保护电路的专利证明，UPS主机柜中标配手动维修旁路空开，便于将UPS系统完全隔离电源；</w:t>
            </w:r>
          </w:p>
          <w:p w:rsidR="00977BD1" w:rsidRDefault="008567A1">
            <w:pPr>
              <w:numPr>
                <w:ilvl w:val="0"/>
                <w:numId w:val="1"/>
              </w:numPr>
              <w:autoSpaceDE w:val="0"/>
              <w:autoSpaceDN w:val="0"/>
              <w:adjustRightInd w:val="0"/>
              <w:spacing w:line="400" w:lineRule="exact"/>
              <w:rPr>
                <w:rFonts w:ascii="华文细黑" w:eastAsia="华文细黑" w:hAnsi="华文细黑" w:cs="华文细黑"/>
                <w:szCs w:val="21"/>
              </w:rPr>
            </w:pPr>
            <w:r>
              <w:rPr>
                <w:rFonts w:ascii="华文细黑" w:eastAsia="华文细黑" w:hAnsi="华文细黑" w:cs="华文细黑" w:hint="eastAsia"/>
                <w:szCs w:val="21"/>
              </w:rPr>
              <w:t>其他参数要求按国家规范及行业标准要求执行；</w:t>
            </w:r>
          </w:p>
        </w:tc>
        <w:tc>
          <w:tcPr>
            <w:tcW w:w="1085" w:type="dxa"/>
            <w:vMerge/>
            <w:tcBorders>
              <w:left w:val="sing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r>
      <w:tr w:rsidR="00977BD1">
        <w:trPr>
          <w:trHeight w:val="681"/>
        </w:trPr>
        <w:tc>
          <w:tcPr>
            <w:tcW w:w="8765" w:type="dxa"/>
            <w:gridSpan w:val="6"/>
            <w:vMerge/>
            <w:tcBorders>
              <w:left w:val="doub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c>
          <w:tcPr>
            <w:tcW w:w="1085" w:type="dxa"/>
            <w:tcBorders>
              <w:left w:val="sing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p w:rsidR="00977BD1" w:rsidRDefault="00977BD1">
            <w:pPr>
              <w:autoSpaceDE w:val="0"/>
              <w:autoSpaceDN w:val="0"/>
              <w:adjustRightInd w:val="0"/>
              <w:spacing w:line="400" w:lineRule="exact"/>
              <w:jc w:val="center"/>
              <w:rPr>
                <w:rFonts w:ascii="华文细黑" w:eastAsia="华文细黑" w:hAnsi="华文细黑" w:cs="华文细黑"/>
                <w:szCs w:val="21"/>
              </w:rPr>
            </w:pPr>
          </w:p>
        </w:tc>
      </w:tr>
      <w:tr w:rsidR="00977BD1">
        <w:trPr>
          <w:trHeight w:val="681"/>
        </w:trPr>
        <w:tc>
          <w:tcPr>
            <w:tcW w:w="8765" w:type="dxa"/>
            <w:gridSpan w:val="6"/>
            <w:vMerge/>
            <w:tcBorders>
              <w:left w:val="doub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c>
          <w:tcPr>
            <w:tcW w:w="1085" w:type="dxa"/>
            <w:tcBorders>
              <w:left w:val="sing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r>
      <w:tr w:rsidR="00977BD1">
        <w:trPr>
          <w:trHeight w:val="681"/>
        </w:trPr>
        <w:tc>
          <w:tcPr>
            <w:tcW w:w="8765" w:type="dxa"/>
            <w:gridSpan w:val="6"/>
            <w:vMerge/>
            <w:tcBorders>
              <w:left w:val="doub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c>
          <w:tcPr>
            <w:tcW w:w="1085" w:type="dxa"/>
            <w:tcBorders>
              <w:left w:val="sing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r>
      <w:tr w:rsidR="00977BD1">
        <w:trPr>
          <w:trHeight w:val="681"/>
        </w:trPr>
        <w:tc>
          <w:tcPr>
            <w:tcW w:w="8765" w:type="dxa"/>
            <w:gridSpan w:val="6"/>
            <w:vMerge/>
            <w:tcBorders>
              <w:left w:val="doub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c>
          <w:tcPr>
            <w:tcW w:w="1085" w:type="dxa"/>
            <w:tcBorders>
              <w:left w:val="sing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r>
      <w:tr w:rsidR="00977BD1">
        <w:trPr>
          <w:trHeight w:val="681"/>
        </w:trPr>
        <w:tc>
          <w:tcPr>
            <w:tcW w:w="8765" w:type="dxa"/>
            <w:gridSpan w:val="6"/>
            <w:vMerge/>
            <w:tcBorders>
              <w:left w:val="doub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c>
          <w:tcPr>
            <w:tcW w:w="1085" w:type="dxa"/>
            <w:tcBorders>
              <w:left w:val="sing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r>
      <w:tr w:rsidR="00977BD1">
        <w:trPr>
          <w:cantSplit/>
          <w:trHeight w:val="445"/>
        </w:trPr>
        <w:tc>
          <w:tcPr>
            <w:tcW w:w="8765" w:type="dxa"/>
            <w:gridSpan w:val="6"/>
            <w:tcBorders>
              <w:top w:val="single" w:sz="6" w:space="0" w:color="auto"/>
              <w:left w:val="double" w:sz="4" w:space="0" w:color="auto"/>
              <w:bottom w:val="double" w:sz="4" w:space="0" w:color="auto"/>
              <w:right w:val="double" w:sz="4" w:space="0" w:color="auto"/>
            </w:tcBorders>
            <w:vAlign w:val="center"/>
          </w:tcPr>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b/>
                <w:bCs/>
                <w:szCs w:val="21"/>
              </w:rPr>
              <w:t>投标总价</w:t>
            </w:r>
            <w:r>
              <w:rPr>
                <w:rFonts w:ascii="华文细黑" w:eastAsia="华文细黑" w:hAnsi="华文细黑" w:cs="华文细黑" w:hint="eastAsia"/>
                <w:szCs w:val="21"/>
              </w:rPr>
              <w:t>（人民币大写）</w:t>
            </w:r>
            <w:r>
              <w:rPr>
                <w:rFonts w:ascii="华文细黑" w:eastAsia="华文细黑" w:hAnsi="华文细黑" w:cs="华文细黑" w:hint="eastAsia"/>
                <w:szCs w:val="21"/>
                <w:u w:val="single"/>
              </w:rPr>
              <w:t>人民币          元整</w:t>
            </w:r>
          </w:p>
          <w:p w:rsidR="00977BD1" w:rsidRDefault="008567A1">
            <w:pPr>
              <w:autoSpaceDE w:val="0"/>
              <w:autoSpaceDN w:val="0"/>
              <w:adjustRightInd w:val="0"/>
              <w:spacing w:line="400" w:lineRule="exact"/>
              <w:jc w:val="center"/>
              <w:rPr>
                <w:rFonts w:ascii="华文细黑" w:eastAsia="华文细黑" w:hAnsi="华文细黑" w:cs="华文细黑"/>
                <w:szCs w:val="21"/>
              </w:rPr>
            </w:pPr>
            <w:r>
              <w:rPr>
                <w:rFonts w:ascii="华文细黑" w:eastAsia="华文细黑" w:hAnsi="华文细黑" w:cs="华文细黑" w:hint="eastAsia"/>
                <w:szCs w:val="21"/>
              </w:rPr>
              <w:t xml:space="preserve">（人民币小写）¥ </w:t>
            </w:r>
            <w:r>
              <w:rPr>
                <w:rFonts w:ascii="华文细黑" w:eastAsia="华文细黑" w:hAnsi="华文细黑" w:cs="华文细黑" w:hint="eastAsia"/>
                <w:szCs w:val="21"/>
                <w:u w:val="single"/>
              </w:rPr>
              <w:t xml:space="preserve">                    </w:t>
            </w:r>
            <w:r>
              <w:rPr>
                <w:rFonts w:ascii="华文细黑" w:eastAsia="华文细黑" w:hAnsi="华文细黑" w:cs="华文细黑" w:hint="eastAsia"/>
                <w:szCs w:val="21"/>
              </w:rPr>
              <w:t>元</w:t>
            </w:r>
          </w:p>
          <w:p w:rsidR="00977BD1" w:rsidRDefault="00977BD1">
            <w:pPr>
              <w:autoSpaceDE w:val="0"/>
              <w:autoSpaceDN w:val="0"/>
              <w:adjustRightInd w:val="0"/>
              <w:spacing w:line="400" w:lineRule="exact"/>
              <w:jc w:val="center"/>
              <w:rPr>
                <w:rFonts w:ascii="华文细黑" w:eastAsia="华文细黑" w:hAnsi="华文细黑" w:cs="华文细黑"/>
                <w:szCs w:val="21"/>
              </w:rPr>
            </w:pPr>
          </w:p>
        </w:tc>
        <w:tc>
          <w:tcPr>
            <w:tcW w:w="1085" w:type="dxa"/>
            <w:tcBorders>
              <w:top w:val="single" w:sz="6" w:space="0" w:color="auto"/>
              <w:left w:val="double" w:sz="4" w:space="0" w:color="auto"/>
              <w:bottom w:val="double" w:sz="4" w:space="0" w:color="auto"/>
              <w:right w:val="double" w:sz="4" w:space="0" w:color="auto"/>
            </w:tcBorders>
            <w:vAlign w:val="center"/>
          </w:tcPr>
          <w:p w:rsidR="00977BD1" w:rsidRDefault="00977BD1">
            <w:pPr>
              <w:autoSpaceDE w:val="0"/>
              <w:autoSpaceDN w:val="0"/>
              <w:adjustRightInd w:val="0"/>
              <w:spacing w:line="400" w:lineRule="exact"/>
              <w:jc w:val="center"/>
              <w:rPr>
                <w:rFonts w:ascii="华文细黑" w:eastAsia="华文细黑" w:hAnsi="华文细黑" w:cs="华文细黑"/>
                <w:szCs w:val="21"/>
              </w:rPr>
            </w:pPr>
          </w:p>
        </w:tc>
      </w:tr>
    </w:tbl>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2. 合同价格为货物到达院方指定地点价格，包含一切税费、货物费、运杂费、保险费、装卸落地费、保管费、备品备件专用工具、货物仓储费、二次搬运费（搬运至各区域所发生的全部费用）、安装水电费、安装人员食宿交通、安装调试费、备品备件专用工具费（若有）、检测验收费（有关法律法规规定的货物进场、材料和成品抽检、最终检测及验收费）及质保期内维护保养等完成本项目所需的所有费用等，实行固定单价包干。</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 因实际需要调整供货数量时，合同总价按结算时实际货物验收单数量为准。涉及采购变更，必须由院方书面确认后方可作为结算的依据。</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 供应商将货物在院方指定时间运到院方指定的地点以后通知院方进行验收，若货物与进货数目不相符，或有损坏，或者货物的包装、品种、规格、质量等不符合规定，院方有权拒收全部或部分货物，供应商必须按照院方要求收回或补齐，供应商实际交货时间以供应商最终补齐货物时间为准。参与交货验收的单位在货物清单上共同签字，并填写交货验收合格证明，此合格证明为供应商交货的凭证，也是供应商申请付款的必要依。</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 供应商在交货的同时应向院方提供电池厂家授权经销合同，产品合格证，备案证等相关资料，否则院方有权拒收货物。</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 对供应商所提供的产品，院方有权随机抽样送检，如送检产品质量不符合相应国家或者行业标准，院方有权对供应商提出索赔。产品质量必须通过国家检测机构相关部门验收标准为准。</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 供应商应派遣有从事同类工作3年以上实践经验的技术人员进行UPS电源安装工作，安装人员必须持有国家相关部分颁发的作业证等，持证上岗。安装人员必须服从院方的管理，在院区内所产生的一切人身安全责任和事故由供应商自行处理和负责，院方不承担责任。</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 供应商负责原UPS电源的拆除，拆除所需的全部费用计入投标总价，不二次计费。拆除后的电池，由供应商按国家相关法律法规要求进行清运处置，该项费用也计入投标总价内。若违规处置所造成的全部责任均由供应商自行承担。</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 xml:space="preserve">9. UPS电源连接及安装必须牢固、可靠，安装必须符合国家及行业相关标准。供应商按院方指定时间负责进行通电测试，如发现有安全隐患，及时调整、保证安全，并提供书面测试结果。 </w:t>
      </w:r>
    </w:p>
    <w:p w:rsidR="00977BD1" w:rsidRDefault="008567A1">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三、供应商资格条件</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符合《中华人民共和国政府采购法》第二十二条规定条件；必须具备本</w:t>
      </w:r>
      <w:r>
        <w:rPr>
          <w:rFonts w:ascii="华文细黑" w:eastAsia="华文细黑" w:hAnsi="华文细黑" w:cs="华文细黑" w:hint="eastAsia"/>
          <w:sz w:val="24"/>
          <w:szCs w:val="24"/>
        </w:rPr>
        <w:lastRenderedPageBreak/>
        <w:t>次招标货物或服务的经营资质。</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近三年内有从事上述项目经营的业绩，即具备UPS电源安装、维护、维修经验，需提供相关案例材料。</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 本项目不接受联合体投标。</w:t>
      </w:r>
    </w:p>
    <w:p w:rsidR="00977BD1" w:rsidRDefault="008567A1">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四、响应文件编制要求</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响应文件分报价文件、技术文件、商务文件，</w:t>
      </w:r>
      <w:r w:rsidR="00EA287D">
        <w:rPr>
          <w:rFonts w:ascii="华文细黑" w:eastAsia="华文细黑" w:hAnsi="华文细黑" w:cs="华文细黑" w:hint="eastAsia"/>
          <w:sz w:val="24"/>
          <w:szCs w:val="24"/>
        </w:rPr>
        <w:t>一式五</w:t>
      </w:r>
      <w:r>
        <w:rPr>
          <w:rFonts w:ascii="华文细黑" w:eastAsia="华文细黑" w:hAnsi="华文细黑" w:cs="华文细黑" w:hint="eastAsia"/>
          <w:sz w:val="24"/>
          <w:szCs w:val="24"/>
        </w:rPr>
        <w:t>份。</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报价文件至少应包括以下内容（均需加盖公章）：（1）按本文件第二条第1款表格内所列内容报价；（2）采购到货响应周期及相应优惠条件等；（3）供应商需要说明的其他报价说明。</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 商务文件至少应包括以下内容：证明其为合格供应商和所提供的为合格产品的有关资格证明文件，招标文件要求提供的其他资料等（均需加盖公章）：（1）法人授权委托书；（2）法定代表人及受委托人的身份证复印件；（3）企业法人营业执照；（4）所有资质及认证文件；（5）主要业绩证明；（6）供应商认为需要的其他商务文件或说明。</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 技术文件至少应包括以下内容：针对本项目的技术和服务投标方案，招标文件要求提供的其他资料等（均需加盖公章）：（1）项目负责人简历表；（2）拟派本项目人员技术力量配备情况；（3）供应商应提供的技术资料；（4）供应商需要说明的其他文件和说明。</w:t>
      </w:r>
    </w:p>
    <w:p w:rsidR="00977BD1" w:rsidRDefault="008567A1">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五、评标办法</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本次招标采用综合评标法，评分细则详见附件。</w:t>
      </w:r>
    </w:p>
    <w:p w:rsidR="00977BD1" w:rsidRDefault="008567A1">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六、报价要求</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本次报价总价不得超过10万元，超过10万元作无效标处理。</w:t>
      </w:r>
    </w:p>
    <w:p w:rsidR="00977BD1" w:rsidRDefault="008567A1">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七、合同签订</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中标人须在7个工作日内，与我院签订采购合同，否则，将视为自动放弃本项目的所有权利，取消中标资格。</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合同签订前，我院将对合同内容进行审查，如发现与采购结果和投标承诺内容不一致的，取消中标资格。</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 中标人若拖延、拒签合同的,将取消中标资格。</w:t>
      </w:r>
    </w:p>
    <w:p w:rsidR="00977BD1" w:rsidRDefault="008567A1">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九、付款方式</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所有货物以各批次实际采购数量分批次进行结算，货物到现场安装验收合格完毕，院方在收到该批次货款有效票</w:t>
      </w:r>
      <w:r w:rsidR="005F5E1C">
        <w:rPr>
          <w:rFonts w:ascii="华文细黑" w:eastAsia="华文细黑" w:hAnsi="华文细黑" w:cs="华文细黑" w:hint="eastAsia"/>
          <w:sz w:val="24"/>
          <w:szCs w:val="24"/>
        </w:rPr>
        <w:t>，</w:t>
      </w:r>
      <w:r>
        <w:rPr>
          <w:rFonts w:ascii="华文细黑" w:eastAsia="华文细黑" w:hAnsi="华文细黑" w:cs="华文细黑" w:hint="eastAsia"/>
          <w:sz w:val="24"/>
          <w:szCs w:val="24"/>
        </w:rPr>
        <w:t>据</w:t>
      </w:r>
      <w:r w:rsidR="005F5E1C">
        <w:rPr>
          <w:rFonts w:ascii="华文细黑" w:eastAsia="华文细黑" w:hAnsi="华文细黑" w:cs="华文细黑" w:hint="eastAsia"/>
          <w:sz w:val="24"/>
          <w:szCs w:val="24"/>
        </w:rPr>
        <w:t>内部审核完成后</w:t>
      </w:r>
      <w:r>
        <w:rPr>
          <w:rFonts w:ascii="华文细黑" w:eastAsia="华文细黑" w:hAnsi="华文细黑" w:cs="华文细黑" w:hint="eastAsia"/>
          <w:sz w:val="24"/>
          <w:szCs w:val="24"/>
        </w:rPr>
        <w:t>十五个工作日内支</w:t>
      </w:r>
      <w:r>
        <w:rPr>
          <w:rFonts w:ascii="华文细黑" w:eastAsia="华文细黑" w:hAnsi="华文细黑" w:cs="华文细黑" w:hint="eastAsia"/>
          <w:sz w:val="24"/>
          <w:szCs w:val="24"/>
        </w:rPr>
        <w:lastRenderedPageBreak/>
        <w:t>付至该批次货款结算总价的95%；留该批次结算总价的5%作为质量保证金。</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（1）双方签署的最终验收合格报告；</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（2）相应金额的发票。</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质量保证金：自验收合格后满3年，售后服务良好，无质量和服务问题，原额（无息）退还质量保证金。</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 付款以转账支票形式支付。</w:t>
      </w:r>
    </w:p>
    <w:p w:rsidR="00977BD1" w:rsidRDefault="008567A1">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十、投标截止时间、开标时间及地点</w:t>
      </w:r>
    </w:p>
    <w:p w:rsidR="003669A3" w:rsidRDefault="008567A1" w:rsidP="003669A3">
      <w:pPr>
        <w:ind w:firstLineChars="200" w:firstLine="480"/>
        <w:rPr>
          <w:rFonts w:ascii="宋体" w:hAnsi="宋体"/>
          <w:sz w:val="28"/>
          <w:szCs w:val="28"/>
        </w:rPr>
      </w:pPr>
      <w:r>
        <w:rPr>
          <w:rFonts w:ascii="华文细黑" w:eastAsia="华文细黑" w:hAnsi="华文细黑" w:cs="华文细黑" w:hint="eastAsia"/>
          <w:sz w:val="24"/>
          <w:szCs w:val="24"/>
        </w:rPr>
        <w:t>1.</w:t>
      </w:r>
      <w:r w:rsidR="003669A3" w:rsidRPr="003669A3">
        <w:rPr>
          <w:rFonts w:ascii="华文细黑" w:eastAsia="华文细黑" w:hAnsi="华文细黑" w:cs="华文细黑" w:hint="eastAsia"/>
          <w:sz w:val="24"/>
          <w:szCs w:val="24"/>
        </w:rPr>
        <w:t>报名截止日期：2018年8月</w:t>
      </w:r>
      <w:r w:rsidR="00D60FA9">
        <w:rPr>
          <w:rFonts w:ascii="华文细黑" w:eastAsia="华文细黑" w:hAnsi="华文细黑" w:cs="华文细黑" w:hint="eastAsia"/>
          <w:sz w:val="24"/>
          <w:szCs w:val="24"/>
        </w:rPr>
        <w:t>22</w:t>
      </w:r>
      <w:r w:rsidR="003669A3" w:rsidRPr="003669A3">
        <w:rPr>
          <w:rFonts w:ascii="华文细黑" w:eastAsia="华文细黑" w:hAnsi="华文细黑" w:cs="华文细黑" w:hint="eastAsia"/>
          <w:sz w:val="24"/>
          <w:szCs w:val="24"/>
        </w:rPr>
        <w:t>日17:00之前必须通过邮件报名登记——邮箱地址：179872363@qq.com，报名信息至少包含：企业名称、联系人、联系电话、营业执照等。未报名登记的,或在要求提交响应文件的截止时间后送达的响应文件，采购人有权拒收。</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2．开标时间：2018年8月</w:t>
      </w:r>
      <w:r w:rsidR="00D60FA9">
        <w:rPr>
          <w:rFonts w:ascii="华文细黑" w:eastAsia="华文细黑" w:hAnsi="华文细黑" w:cs="华文细黑" w:hint="eastAsia"/>
          <w:sz w:val="24"/>
          <w:szCs w:val="24"/>
        </w:rPr>
        <w:t>23日</w:t>
      </w:r>
      <w:r>
        <w:rPr>
          <w:rFonts w:ascii="华文细黑" w:eastAsia="华文细黑" w:hAnsi="华文细黑" w:cs="华文细黑" w:hint="eastAsia"/>
          <w:sz w:val="24"/>
          <w:szCs w:val="24"/>
        </w:rPr>
        <w:t>9：</w:t>
      </w:r>
      <w:r w:rsidR="00EA287D">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3．投标地点：浙江省肿瘤医院5号楼2楼会议室</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 开标地点：浙江省肿瘤医院5号楼2楼会议室</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 采用快递方式递交投标文件，必须对投标文件进行密封并在密封处加盖公章，快递费用由投标单位自理，不接受到付件。邮寄地址：杭州市拱墅区半山东路1号浙江省肿瘤医院5号楼2楼</w:t>
      </w:r>
    </w:p>
    <w:p w:rsidR="00977BD1" w:rsidRDefault="008567A1">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十一、联系方式：</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地址：杭州市拱墅区半山东路1号</w:t>
      </w:r>
    </w:p>
    <w:p w:rsidR="00977BD1" w:rsidRDefault="008567A1">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联系方式：</w:t>
      </w:r>
    </w:p>
    <w:p w:rsidR="00977BD1" w:rsidRDefault="008567A1">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联系人：伍孟德        联系电话：</w:t>
      </w:r>
      <w:bookmarkStart w:id="0" w:name="_GoBack"/>
      <w:bookmarkEnd w:id="0"/>
      <w:r w:rsidR="003669A3">
        <w:rPr>
          <w:rFonts w:ascii="华文细黑" w:eastAsia="华文细黑" w:hAnsi="华文细黑" w:cs="华文细黑" w:hint="eastAsia"/>
          <w:sz w:val="24"/>
          <w:szCs w:val="24"/>
        </w:rPr>
        <w:t>88122289</w:t>
      </w:r>
      <w:r>
        <w:rPr>
          <w:rFonts w:ascii="华文细黑" w:eastAsia="华文细黑" w:hAnsi="华文细黑" w:cs="华文细黑" w:hint="eastAsia"/>
          <w:sz w:val="24"/>
          <w:szCs w:val="24"/>
        </w:rPr>
        <w:t xml:space="preserve">    </w:t>
      </w:r>
    </w:p>
    <w:p w:rsidR="00977BD1" w:rsidRDefault="00977BD1">
      <w:pPr>
        <w:pStyle w:val="a5"/>
        <w:tabs>
          <w:tab w:val="left" w:pos="0"/>
        </w:tabs>
        <w:wordWrap w:val="0"/>
        <w:spacing w:after="0" w:line="440" w:lineRule="exact"/>
        <w:ind w:leftChars="0" w:left="0"/>
        <w:rPr>
          <w:rFonts w:ascii="华文细黑" w:eastAsia="华文细黑" w:hAnsi="华文细黑" w:cs="华文细黑"/>
          <w:sz w:val="24"/>
          <w:szCs w:val="24"/>
        </w:rPr>
      </w:pPr>
    </w:p>
    <w:p w:rsidR="00977BD1" w:rsidRDefault="00977BD1">
      <w:pPr>
        <w:pStyle w:val="a5"/>
        <w:tabs>
          <w:tab w:val="left" w:pos="0"/>
        </w:tabs>
        <w:wordWrap w:val="0"/>
        <w:spacing w:after="0" w:line="440" w:lineRule="exact"/>
        <w:ind w:leftChars="0" w:left="0"/>
        <w:rPr>
          <w:rFonts w:ascii="华文细黑" w:eastAsia="华文细黑" w:hAnsi="华文细黑" w:cs="华文细黑"/>
          <w:sz w:val="24"/>
          <w:szCs w:val="24"/>
        </w:rPr>
      </w:pPr>
    </w:p>
    <w:p w:rsidR="00977BD1" w:rsidRDefault="00977BD1">
      <w:pPr>
        <w:pStyle w:val="a5"/>
        <w:tabs>
          <w:tab w:val="left" w:pos="0"/>
        </w:tabs>
        <w:wordWrap w:val="0"/>
        <w:spacing w:after="0" w:line="440" w:lineRule="exact"/>
        <w:ind w:leftChars="0" w:left="0"/>
        <w:rPr>
          <w:rFonts w:ascii="华文细黑" w:eastAsia="华文细黑" w:hAnsi="华文细黑" w:cs="华文细黑"/>
          <w:sz w:val="24"/>
          <w:szCs w:val="24"/>
        </w:rPr>
      </w:pPr>
    </w:p>
    <w:p w:rsidR="00977BD1" w:rsidRDefault="008567A1">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浙江省肿瘤医院</w:t>
      </w:r>
    </w:p>
    <w:p w:rsidR="00977BD1" w:rsidRDefault="008567A1">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2018年8月</w:t>
      </w:r>
      <w:r w:rsidR="00EA287D">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日</w:t>
      </w:r>
    </w:p>
    <w:p w:rsidR="00977BD1" w:rsidRDefault="008567A1">
      <w:pPr>
        <w:pStyle w:val="a5"/>
        <w:tabs>
          <w:tab w:val="left" w:pos="0"/>
        </w:tabs>
        <w:wordWrap w:val="0"/>
        <w:spacing w:after="0" w:line="440" w:lineRule="exact"/>
        <w:ind w:leftChars="0" w:left="0"/>
      </w:pPr>
      <w:r>
        <w:rPr>
          <w:rFonts w:hint="eastAsia"/>
        </w:rPr>
        <w:br w:type="page"/>
      </w:r>
    </w:p>
    <w:p w:rsidR="00977BD1" w:rsidRDefault="008567A1">
      <w:pPr>
        <w:spacing w:line="520" w:lineRule="exact"/>
        <w:rPr>
          <w:rFonts w:ascii="华文中宋" w:eastAsia="华文中宋" w:hAnsi="华文中宋" w:cs="华文中宋"/>
          <w:sz w:val="24"/>
          <w:szCs w:val="24"/>
        </w:rPr>
      </w:pPr>
      <w:r>
        <w:rPr>
          <w:rFonts w:ascii="华文中宋" w:eastAsia="华文中宋" w:hAnsi="华文中宋" w:cs="华文中宋" w:hint="eastAsia"/>
          <w:b/>
          <w:sz w:val="24"/>
          <w:szCs w:val="24"/>
        </w:rPr>
        <w:lastRenderedPageBreak/>
        <w:t>附件：</w:t>
      </w:r>
    </w:p>
    <w:p w:rsidR="00977BD1" w:rsidRDefault="008567A1">
      <w:pPr>
        <w:spacing w:line="520" w:lineRule="exact"/>
        <w:jc w:val="center"/>
        <w:rPr>
          <w:rFonts w:ascii="华文中宋" w:eastAsia="华文中宋" w:hAnsi="华文中宋" w:cs="华文中宋"/>
          <w:b/>
          <w:bCs/>
          <w:sz w:val="28"/>
          <w:szCs w:val="28"/>
        </w:rPr>
      </w:pPr>
      <w:r>
        <w:rPr>
          <w:rFonts w:ascii="华文中宋" w:eastAsia="华文中宋" w:hAnsi="华文中宋" w:cs="华文中宋" w:hint="eastAsia"/>
          <w:b/>
          <w:bCs/>
          <w:sz w:val="28"/>
          <w:szCs w:val="28"/>
        </w:rPr>
        <w:t>本次议标评标办法</w:t>
      </w:r>
    </w:p>
    <w:p w:rsidR="00977BD1" w:rsidRDefault="008567A1">
      <w:pPr>
        <w:spacing w:line="520" w:lineRule="exact"/>
        <w:rPr>
          <w:rFonts w:ascii="华文中宋" w:eastAsia="华文中宋" w:hAnsi="华文中宋" w:cs="华文中宋"/>
          <w:b/>
          <w:bCs/>
          <w:szCs w:val="21"/>
        </w:rPr>
      </w:pPr>
      <w:r>
        <w:rPr>
          <w:rFonts w:ascii="华文中宋" w:eastAsia="华文中宋" w:hAnsi="华文中宋" w:cs="华文中宋" w:hint="eastAsia"/>
          <w:b/>
          <w:bCs/>
          <w:szCs w:val="21"/>
        </w:rPr>
        <w:t>1、评标纪律</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1.1．评标是招标工作的重要环节，评标工作在评标委员会内独立进行。评标委员会成员由采购人代表及专家组成。评标委员会将按照评标原则的要求，公正、平等地对待所有投标人。</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1.2．所有评标人员应忠于职守、廉洁自律、秉公办事、不徇私情。</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1.3．评标人员不得接受或参加投标人或与投标有关的单位、组织或个人的有碍公务的宴请、娱乐活动等，不得以任何形式弄虚作假。</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1.4．评标期间，评标人员不得随意出入评标地点、与外界通讯、会客等。</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1.5．在投标文件的审查、澄清、评价和比较以及授予合同的过程中，投标人对采购人、采购人人员及评标委员会成员施加影响的任何行为，都将导致被取消投标资格。</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1.7．评标过程中，当发表结论性意见时，先听取专家评委意见，用户评委随后发表意见。</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1.8．评标结束后，各评标人员应将全部资料整理上交采购人，严禁将评标过程中的任何资料带出评标现场向投标人或其他单位提供。</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1.9．在定标结果公布前应对评标委员会成员名单予以保密。</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1.10．评标委员会对各投标人的商业秘密予以保密。</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1.11．评标委员会成员应当客观、公正地履行职责，遵守职业道德，对所提出的评审意见承担个人责任。</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1.12．在整个评标过程中，投标人企图影响采购结果的任何活动，可能导致其投标失败。如有违法行为，将依法追究其法律责任。</w:t>
      </w:r>
    </w:p>
    <w:p w:rsidR="00977BD1" w:rsidRDefault="008567A1">
      <w:pPr>
        <w:spacing w:line="520" w:lineRule="exact"/>
        <w:rPr>
          <w:rFonts w:ascii="华文中宋" w:eastAsia="华文中宋" w:hAnsi="华文中宋" w:cs="华文中宋"/>
          <w:b/>
          <w:bCs/>
          <w:szCs w:val="21"/>
        </w:rPr>
      </w:pPr>
      <w:r>
        <w:rPr>
          <w:rFonts w:ascii="华文中宋" w:eastAsia="华文中宋" w:hAnsi="华文中宋" w:cs="华文中宋" w:hint="eastAsia"/>
          <w:b/>
          <w:bCs/>
          <w:szCs w:val="21"/>
        </w:rPr>
        <w:t>2、关于评标</w:t>
      </w:r>
    </w:p>
    <w:p w:rsidR="00977BD1" w:rsidRDefault="008567A1">
      <w:pPr>
        <w:spacing w:line="520" w:lineRule="exact"/>
        <w:rPr>
          <w:rFonts w:ascii="华文中宋" w:eastAsia="华文中宋" w:hAnsi="华文中宋" w:cs="华文中宋"/>
          <w:b/>
          <w:bCs/>
          <w:szCs w:val="21"/>
        </w:rPr>
      </w:pPr>
      <w:r>
        <w:rPr>
          <w:rFonts w:ascii="华文中宋" w:eastAsia="华文中宋" w:hAnsi="华文中宋" w:cs="华文中宋" w:hint="eastAsia"/>
          <w:b/>
          <w:bCs/>
          <w:szCs w:val="21"/>
        </w:rPr>
        <w:t>2.1报价分40分：</w:t>
      </w:r>
    </w:p>
    <w:p w:rsidR="00977BD1" w:rsidRDefault="008567A1">
      <w:p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满足招标文件要求且投标价格最低的投标报价为评标基准价，其价格分为满分。各个供</w:t>
      </w:r>
      <w:r>
        <w:rPr>
          <w:rFonts w:ascii="华文中宋" w:eastAsia="华文中宋" w:hAnsi="华文中宋" w:cs="华文中宋" w:hint="eastAsia"/>
          <w:szCs w:val="21"/>
        </w:rPr>
        <w:lastRenderedPageBreak/>
        <w:t>应商的投标价与评标基准价相比，计算出投标报价得分。</w:t>
      </w:r>
    </w:p>
    <w:p w:rsidR="00977BD1" w:rsidRDefault="008567A1">
      <w:p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投标报价得分=(评标基准价／投标报价)×30%×100</w:t>
      </w:r>
    </w:p>
    <w:p w:rsidR="00977BD1" w:rsidRDefault="008567A1">
      <w:p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注：以上评分保留小数2位。</w:t>
      </w:r>
    </w:p>
    <w:p w:rsidR="00977BD1" w:rsidRDefault="008567A1">
      <w:pPr>
        <w:spacing w:line="520" w:lineRule="exact"/>
        <w:rPr>
          <w:rFonts w:ascii="华文中宋" w:eastAsia="华文中宋" w:hAnsi="华文中宋" w:cs="华文中宋"/>
          <w:b/>
          <w:bCs/>
          <w:szCs w:val="21"/>
        </w:rPr>
      </w:pPr>
      <w:r>
        <w:rPr>
          <w:rFonts w:ascii="华文中宋" w:eastAsia="华文中宋" w:hAnsi="华文中宋" w:cs="华文中宋" w:hint="eastAsia"/>
          <w:b/>
          <w:bCs/>
          <w:szCs w:val="21"/>
        </w:rPr>
        <w:t>2.2商务分10分：</w:t>
      </w:r>
    </w:p>
    <w:p w:rsidR="00977BD1" w:rsidRDefault="008567A1">
      <w:pPr>
        <w:numPr>
          <w:ilvl w:val="0"/>
          <w:numId w:val="2"/>
        </w:num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投标人自2015年7月1日以来（以合同签订时间为准）具有同类UPS电源供货项目业绩，每个业绩得2分，加满为止。此项以合同复印件加盖公章作为业绩证明材料。（6分）</w:t>
      </w:r>
    </w:p>
    <w:p w:rsidR="00977BD1" w:rsidRDefault="008567A1">
      <w:pPr>
        <w:numPr>
          <w:ilvl w:val="0"/>
          <w:numId w:val="2"/>
        </w:num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具有ISO9001：2000国际质量管理体系认证和中国节能产品认证每项得1分，最高得2分。（2分）</w:t>
      </w:r>
    </w:p>
    <w:p w:rsidR="00977BD1" w:rsidRDefault="008567A1">
      <w:pPr>
        <w:numPr>
          <w:ilvl w:val="0"/>
          <w:numId w:val="2"/>
        </w:num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承诺在原有三年质保期基础上增加质保期1年加1分，2年加2分，最高得2分。（2分）</w:t>
      </w:r>
    </w:p>
    <w:p w:rsidR="00977BD1" w:rsidRDefault="008567A1">
      <w:pPr>
        <w:spacing w:line="520" w:lineRule="exact"/>
        <w:rPr>
          <w:rFonts w:ascii="华文中宋" w:eastAsia="华文中宋" w:hAnsi="华文中宋" w:cs="华文中宋"/>
          <w:b/>
          <w:bCs/>
          <w:szCs w:val="21"/>
        </w:rPr>
      </w:pPr>
      <w:r>
        <w:rPr>
          <w:rFonts w:ascii="华文中宋" w:eastAsia="华文中宋" w:hAnsi="华文中宋" w:cs="华文中宋" w:hint="eastAsia"/>
          <w:b/>
          <w:bCs/>
          <w:szCs w:val="21"/>
        </w:rPr>
        <w:t>2.3技术分50分</w:t>
      </w:r>
    </w:p>
    <w:p w:rsidR="00977BD1" w:rsidRDefault="008567A1">
      <w:pPr>
        <w:spacing w:line="520" w:lineRule="exact"/>
        <w:rPr>
          <w:rFonts w:ascii="华文中宋" w:eastAsia="华文中宋" w:hAnsi="华文中宋" w:cs="华文中宋"/>
          <w:szCs w:val="21"/>
        </w:rPr>
      </w:pPr>
      <w:r>
        <w:rPr>
          <w:rFonts w:ascii="华文中宋" w:eastAsia="华文中宋" w:hAnsi="华文中宋" w:cs="华文中宋" w:hint="eastAsia"/>
          <w:szCs w:val="21"/>
        </w:rPr>
        <w:t xml:space="preserve">    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rsidR="00977BD1" w:rsidRDefault="008567A1">
      <w:p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（1）产品的品牌知名度及质量可靠性（10分）</w:t>
      </w:r>
    </w:p>
    <w:p w:rsidR="00977BD1" w:rsidRDefault="008567A1">
      <w:p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（2）产品技术、投标人生产能力及供货包装运输保证（10分）</w:t>
      </w:r>
    </w:p>
    <w:p w:rsidR="00977BD1" w:rsidRDefault="008567A1">
      <w:p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（3）针对医院的施工方案及保证措施是否具有针对性、是否科学合理（10分）</w:t>
      </w:r>
    </w:p>
    <w:p w:rsidR="00977BD1" w:rsidRDefault="008567A1">
      <w:p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（4）派驻现场的技术管理人员、施工人员的专业配置是否合理（10分）</w:t>
      </w:r>
    </w:p>
    <w:p w:rsidR="00977BD1" w:rsidRDefault="008567A1">
      <w:pPr>
        <w:spacing w:line="52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（5）售后技术服务及承诺。（10分）</w:t>
      </w:r>
    </w:p>
    <w:p w:rsidR="00977BD1" w:rsidRDefault="008567A1">
      <w:pPr>
        <w:spacing w:line="520" w:lineRule="exact"/>
        <w:rPr>
          <w:rFonts w:ascii="华文中宋" w:eastAsia="华文中宋" w:hAnsi="华文中宋" w:cs="华文中宋"/>
          <w:b/>
          <w:bCs/>
          <w:szCs w:val="21"/>
        </w:rPr>
      </w:pPr>
      <w:r>
        <w:rPr>
          <w:rFonts w:ascii="华文中宋" w:eastAsia="华文中宋" w:hAnsi="华文中宋" w:cs="华文中宋" w:hint="eastAsia"/>
          <w:b/>
          <w:bCs/>
          <w:szCs w:val="21"/>
        </w:rPr>
        <w:t>3、其他</w:t>
      </w:r>
    </w:p>
    <w:p w:rsidR="00977BD1" w:rsidRDefault="008567A1">
      <w:pPr>
        <w:spacing w:line="520" w:lineRule="exact"/>
      </w:pPr>
      <w:r>
        <w:rPr>
          <w:rFonts w:ascii="华文中宋" w:eastAsia="华文中宋" w:hAnsi="华文中宋" w:cs="华文中宋" w:hint="eastAsia"/>
          <w:szCs w:val="21"/>
        </w:rPr>
        <w:t xml:space="preserve">    2.2，2.3 项由各评标专家分别打分，各投标单位的最终评分值取各专家评分的平均值。报价分、技术分、商务分得分相加后为各投标单位的总得分。总得分最高和次高的投标单位为第一、第二中标候选单位。总得分相同则按商务报价得分的高低顺序排名次，高的为第一中标候选人。</w:t>
      </w:r>
    </w:p>
    <w:sectPr w:rsidR="00977BD1" w:rsidSect="00977BD1">
      <w:headerReference w:type="default" r:id="rId12"/>
      <w:footerReference w:type="default" r:id="rId13"/>
      <w:headerReference w:type="first" r:id="rId14"/>
      <w:footerReference w:type="first" r:id="rId15"/>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341" w:rsidRDefault="00611341" w:rsidP="00977BD1">
      <w:r>
        <w:separator/>
      </w:r>
    </w:p>
  </w:endnote>
  <w:endnote w:type="continuationSeparator" w:id="0">
    <w:p w:rsidR="00611341" w:rsidRDefault="00611341" w:rsidP="00977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D1" w:rsidRDefault="0072100D">
    <w:pPr>
      <w:pStyle w:val="a7"/>
      <w:framePr w:wrap="around" w:vAnchor="text" w:hAnchor="margin" w:xAlign="center" w:y="2"/>
      <w:rPr>
        <w:rStyle w:val="aa"/>
      </w:rPr>
    </w:pPr>
    <w:r>
      <w:fldChar w:fldCharType="begin"/>
    </w:r>
    <w:r w:rsidR="008567A1">
      <w:rPr>
        <w:rStyle w:val="aa"/>
      </w:rPr>
      <w:instrText xml:space="preserve">PAGE  </w:instrText>
    </w:r>
    <w:r>
      <w:fldChar w:fldCharType="end"/>
    </w:r>
  </w:p>
  <w:p w:rsidR="00977BD1" w:rsidRDefault="00977BD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D1" w:rsidRDefault="00977BD1">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D1" w:rsidRDefault="0072100D">
    <w:pPr>
      <w:pStyle w:val="a7"/>
      <w:jc w:val="center"/>
    </w:pPr>
    <w:r>
      <w:fldChar w:fldCharType="begin"/>
    </w:r>
    <w:r w:rsidR="008567A1">
      <w:rPr>
        <w:rStyle w:val="aa"/>
      </w:rPr>
      <w:instrText xml:space="preserve"> PAGE </w:instrText>
    </w:r>
    <w:r>
      <w:fldChar w:fldCharType="separate"/>
    </w:r>
    <w:r w:rsidR="00D60FA9">
      <w:rPr>
        <w:rStyle w:val="aa"/>
        <w:noProof/>
      </w:rPr>
      <w:t>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D1" w:rsidRDefault="00977BD1">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D1" w:rsidRDefault="00977BD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341" w:rsidRDefault="00611341" w:rsidP="00977BD1">
      <w:r>
        <w:separator/>
      </w:r>
    </w:p>
  </w:footnote>
  <w:footnote w:type="continuationSeparator" w:id="0">
    <w:p w:rsidR="00611341" w:rsidRDefault="00611341" w:rsidP="00977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D1" w:rsidRDefault="00977BD1">
    <w:pPr>
      <w:pStyle w:val="a8"/>
      <w:pBdr>
        <w:bottom w:val="single" w:sz="6"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D1" w:rsidRDefault="00977BD1">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D1" w:rsidRDefault="00977BD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FBD2CF"/>
    <w:multiLevelType w:val="singleLevel"/>
    <w:tmpl w:val="9DFBD2CF"/>
    <w:lvl w:ilvl="0">
      <w:start w:val="1"/>
      <w:numFmt w:val="decimal"/>
      <w:suff w:val="nothing"/>
      <w:lvlText w:val="（%1）"/>
      <w:lvlJc w:val="left"/>
    </w:lvl>
  </w:abstractNum>
  <w:abstractNum w:abstractNumId="1">
    <w:nsid w:val="C015C547"/>
    <w:multiLevelType w:val="singleLevel"/>
    <w:tmpl w:val="C015C547"/>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8FC7F3D"/>
    <w:rsid w:val="003669A3"/>
    <w:rsid w:val="005F5E1C"/>
    <w:rsid w:val="00611341"/>
    <w:rsid w:val="0072100D"/>
    <w:rsid w:val="008567A1"/>
    <w:rsid w:val="00977BD1"/>
    <w:rsid w:val="00D60FA9"/>
    <w:rsid w:val="00EA287D"/>
    <w:rsid w:val="07C904D2"/>
    <w:rsid w:val="07CD72E2"/>
    <w:rsid w:val="09AC7B34"/>
    <w:rsid w:val="13AA5AD0"/>
    <w:rsid w:val="1E755027"/>
    <w:rsid w:val="25F76C1E"/>
    <w:rsid w:val="26212EF7"/>
    <w:rsid w:val="27622B4F"/>
    <w:rsid w:val="2BF96F6F"/>
    <w:rsid w:val="2D6B50D0"/>
    <w:rsid w:val="347D0A86"/>
    <w:rsid w:val="353324D4"/>
    <w:rsid w:val="38EF7149"/>
    <w:rsid w:val="38FC7F3D"/>
    <w:rsid w:val="3A140A17"/>
    <w:rsid w:val="49D32A72"/>
    <w:rsid w:val="4AAC6732"/>
    <w:rsid w:val="50860636"/>
    <w:rsid w:val="57E906EE"/>
    <w:rsid w:val="64C17567"/>
    <w:rsid w:val="66E50B7D"/>
    <w:rsid w:val="67564F5E"/>
    <w:rsid w:val="67832C8C"/>
    <w:rsid w:val="78B100C2"/>
    <w:rsid w:val="7D1619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BD1"/>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77BD1"/>
    <w:pPr>
      <w:widowControl/>
      <w:adjustRightInd w:val="0"/>
      <w:snapToGrid w:val="0"/>
      <w:spacing w:line="480" w:lineRule="exact"/>
      <w:ind w:firstLine="567"/>
    </w:pPr>
    <w:rPr>
      <w:rFonts w:ascii="宋体"/>
      <w:snapToGrid w:val="0"/>
      <w:color w:val="000000"/>
      <w:kern w:val="28"/>
      <w:sz w:val="28"/>
      <w:szCs w:val="20"/>
    </w:rPr>
  </w:style>
  <w:style w:type="paragraph" w:styleId="a4">
    <w:name w:val="Body Text"/>
    <w:basedOn w:val="a"/>
    <w:qFormat/>
    <w:rsid w:val="00977BD1"/>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5">
    <w:name w:val="Body Text Indent"/>
    <w:basedOn w:val="a"/>
    <w:qFormat/>
    <w:rsid w:val="00977BD1"/>
    <w:pPr>
      <w:spacing w:after="120"/>
      <w:ind w:leftChars="200" w:left="420"/>
    </w:pPr>
  </w:style>
  <w:style w:type="paragraph" w:styleId="a6">
    <w:name w:val="Plain Text"/>
    <w:basedOn w:val="a"/>
    <w:qFormat/>
    <w:rsid w:val="00977BD1"/>
    <w:rPr>
      <w:rFonts w:ascii="宋体" w:hAnsi="Courier New"/>
      <w:szCs w:val="20"/>
    </w:rPr>
  </w:style>
  <w:style w:type="paragraph" w:styleId="a7">
    <w:name w:val="footer"/>
    <w:basedOn w:val="a"/>
    <w:qFormat/>
    <w:rsid w:val="00977BD1"/>
    <w:pPr>
      <w:tabs>
        <w:tab w:val="center" w:pos="4153"/>
        <w:tab w:val="right" w:pos="8306"/>
      </w:tabs>
      <w:adjustRightInd w:val="0"/>
      <w:spacing w:line="240" w:lineRule="atLeast"/>
      <w:jc w:val="left"/>
      <w:textAlignment w:val="baseline"/>
    </w:pPr>
    <w:rPr>
      <w:kern w:val="0"/>
      <w:sz w:val="18"/>
    </w:rPr>
  </w:style>
  <w:style w:type="paragraph" w:styleId="a8">
    <w:name w:val="header"/>
    <w:basedOn w:val="a"/>
    <w:qFormat/>
    <w:rsid w:val="00977BD1"/>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a9">
    <w:name w:val="Normal (Web)"/>
    <w:basedOn w:val="a"/>
    <w:qFormat/>
    <w:rsid w:val="00977BD1"/>
    <w:pPr>
      <w:widowControl/>
      <w:spacing w:beforeAutospacing="1" w:afterAutospacing="1"/>
      <w:jc w:val="left"/>
    </w:pPr>
    <w:rPr>
      <w:rFonts w:ascii="宋体" w:hAnsi="宋体" w:cs="宋体"/>
      <w:kern w:val="0"/>
      <w:sz w:val="24"/>
    </w:rPr>
  </w:style>
  <w:style w:type="character" w:styleId="aa">
    <w:name w:val="page number"/>
    <w:basedOn w:val="a0"/>
    <w:qFormat/>
    <w:rsid w:val="00977BD1"/>
  </w:style>
  <w:style w:type="paragraph" w:customStyle="1" w:styleId="2">
    <w:name w:val="正文2"/>
    <w:basedOn w:val="a"/>
    <w:qFormat/>
    <w:rsid w:val="00977BD1"/>
    <w:pPr>
      <w:spacing w:line="360" w:lineRule="auto"/>
      <w:ind w:firstLineChars="200" w:firstLine="510"/>
    </w:pPr>
    <w:rPr>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Hami猫不迷糊</dc:creator>
  <cp:lastModifiedBy>Administrator</cp:lastModifiedBy>
  <cp:revision>6</cp:revision>
  <cp:lastPrinted>2018-08-02T03:17:00Z</cp:lastPrinted>
  <dcterms:created xsi:type="dcterms:W3CDTF">2017-12-13T02:32:00Z</dcterms:created>
  <dcterms:modified xsi:type="dcterms:W3CDTF">2018-08-15T09:06:00Z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