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eastAsia="zh-CN"/>
          <w14:shadow w14:blurRad="50800" w14:dist="38100" w14:dir="2700000" w14:sx="100000" w14:sy="100000" w14:kx="0" w14:ky="0" w14:algn="tl">
            <w14:srgbClr w14:val="000000">
              <w14:alpha w14:val="60000"/>
            </w14:srgbClr>
          </w14:shadow>
        </w:rPr>
        <w:t>招</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标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w:t>
      </w:r>
      <w:r>
        <w:rPr>
          <w:rFonts w:hint="eastAsia" w:ascii="宋体" w:hAnsi="宋体" w:cs="宋体"/>
          <w:sz w:val="48"/>
          <w:u w:val="single"/>
          <w:lang w:val="en-US" w:eastAsia="zh-CN"/>
          <w14:shadow w14:blurRad="50800" w14:dist="38100" w14:dir="2700000" w14:sx="100000" w14:sy="100000" w14:kx="0" w14:ky="0" w14:algn="tl">
            <w14:srgbClr w14:val="000000">
              <w14:alpha w14:val="60000"/>
            </w14:srgbClr>
          </w14:shadow>
        </w:rPr>
        <w:t>UPS铅酸蓄电池采购项目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二○一</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八</w:t>
      </w:r>
      <w:r>
        <w:rPr>
          <w:rFonts w:hint="eastAsia" w:ascii="宋体" w:hAnsi="宋体" w:eastAsia="宋体" w:cs="宋体"/>
          <w:sz w:val="32"/>
          <w14:shadow w14:blurRad="50800" w14:dist="38100" w14:dir="2700000" w14:sx="100000" w14:sy="100000" w14:kx="0" w14:ky="0" w14:algn="tl">
            <w14:srgbClr w14:val="000000">
              <w14:alpha w14:val="60000"/>
            </w14:srgbClr>
          </w14:shadow>
        </w:rPr>
        <w:t>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七</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widowControl/>
        <w:kinsoku/>
        <w:wordWrap/>
        <w:overflowPunct/>
        <w:topLinePunct w:val="0"/>
        <w:autoSpaceDE/>
        <w:autoSpaceDN/>
        <w:bidi w:val="0"/>
        <w:adjustRightInd/>
        <w:snapToGrid/>
        <w:spacing w:before="0" w:beforeAutospacing="0" w:after="157" w:afterLines="50" w:afterAutospacing="0" w:line="440" w:lineRule="exact"/>
        <w:ind w:left="0" w:right="0" w:rightChars="0" w:hanging="360" w:hangingChars="100"/>
        <w:jc w:val="center"/>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b/>
          <w:bCs/>
          <w:sz w:val="36"/>
          <w:szCs w:val="36"/>
          <w:lang w:val="zh-CN"/>
        </w:rPr>
        <w:t>浙江省肿瘤医院</w:t>
      </w:r>
      <w:r>
        <w:rPr>
          <w:rFonts w:hint="eastAsia" w:ascii="华文细黑" w:hAnsi="华文细黑" w:eastAsia="华文细黑" w:cs="华文细黑"/>
          <w:b/>
          <w:bCs/>
          <w:sz w:val="36"/>
          <w:szCs w:val="36"/>
          <w:lang w:val="en-US" w:eastAsia="zh-CN"/>
        </w:rPr>
        <w:t>UPS铅酸蓄电池采购项目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我院拟采取公开招标议价谈判方式，完成浙江省肿瘤医院</w:t>
      </w:r>
      <w:r>
        <w:rPr>
          <w:rFonts w:hint="eastAsia" w:ascii="华文细黑" w:hAnsi="华文细黑" w:eastAsia="华文细黑" w:cs="华文细黑"/>
          <w:color w:val="auto"/>
          <w:sz w:val="24"/>
          <w:szCs w:val="24"/>
          <w:lang w:val="en-US" w:eastAsia="zh-CN"/>
        </w:rPr>
        <w:t>UPS铅酸蓄电池采购项目</w:t>
      </w:r>
      <w:r>
        <w:rPr>
          <w:rFonts w:hint="eastAsia" w:ascii="华文细黑" w:hAnsi="华文细黑" w:eastAsia="华文细黑" w:cs="华文细黑"/>
          <w:color w:val="auto"/>
          <w:sz w:val="24"/>
          <w:szCs w:val="24"/>
        </w:rPr>
        <w:t>招标，现将有关事项公告如下：</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项目名称：浙江省肿瘤医院</w:t>
      </w:r>
      <w:r>
        <w:rPr>
          <w:rFonts w:hint="eastAsia" w:ascii="华文细黑" w:hAnsi="华文细黑" w:eastAsia="华文细黑" w:cs="华文细黑"/>
          <w:color w:val="auto"/>
          <w:sz w:val="24"/>
          <w:szCs w:val="24"/>
          <w:lang w:val="en-US" w:eastAsia="zh-CN"/>
        </w:rPr>
        <w:t>UPS铅酸蓄电池采购项目</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2. </w:t>
      </w:r>
      <w:r>
        <w:rPr>
          <w:rFonts w:hint="eastAsia" w:ascii="华文细黑" w:hAnsi="华文细黑" w:eastAsia="华文细黑" w:cs="华文细黑"/>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（1）所供货物是全新的、未使用过的货物，同时应保证货物的各项功能和技术指标达到投标文件和国家相关标准。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（2）货物在正确安装、正常使用和保养条件下，在建筑物使用寿命内的正常使用和运行。货物质保期不得少于36个月（含人工及配件维修）。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（3）供应商除提供货物外，还应随货物向院方提供交付货物的出厂合格证、质量检验报告、厂家营业执照复印件、生产许可证复印件、授权经销合同复印件等相关资料（复印件均需加盖供应单位红章）；</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spacing w:line="400" w:lineRule="exact"/>
        <w:ind w:left="-426" w:right="-340" w:rightChars="-162" w:firstLine="480" w:firstLineChars="200"/>
        <w:rPr>
          <w:rFonts w:hint="eastAsia" w:ascii="华文细黑" w:hAnsi="华文细黑" w:eastAsia="华文细黑" w:cs="华文细黑"/>
          <w:b w:val="0"/>
          <w:bCs/>
          <w:kern w:val="0"/>
          <w:sz w:val="24"/>
          <w:szCs w:val="24"/>
        </w:rPr>
      </w:pPr>
      <w:r>
        <w:rPr>
          <w:rFonts w:hint="eastAsia" w:ascii="华文细黑" w:hAnsi="华文细黑" w:eastAsia="华文细黑" w:cs="华文细黑"/>
          <w:b w:val="0"/>
          <w:bCs/>
          <w:kern w:val="0"/>
          <w:sz w:val="24"/>
          <w:szCs w:val="24"/>
          <w:lang w:val="en-US" w:eastAsia="zh-CN"/>
        </w:rPr>
        <w:t>1.</w:t>
      </w:r>
      <w:r>
        <w:rPr>
          <w:rFonts w:hint="eastAsia" w:ascii="华文细黑" w:hAnsi="华文细黑" w:eastAsia="华文细黑" w:cs="华文细黑"/>
          <w:b w:val="0"/>
          <w:bCs/>
          <w:kern w:val="0"/>
          <w:sz w:val="24"/>
          <w:szCs w:val="24"/>
        </w:rPr>
        <w:t>货物（品牌、规格、厂家、产地）、服务名称、数量、单价及合同分项价格、总价：</w:t>
      </w:r>
    </w:p>
    <w:tbl>
      <w:tblPr>
        <w:tblStyle w:val="11"/>
        <w:tblpPr w:leftFromText="180" w:rightFromText="180" w:vertAnchor="text" w:horzAnchor="page" w:tblpX="1134" w:tblpY="17"/>
        <w:tblOverlap w:val="never"/>
        <w:tblW w:w="9850" w:type="dxa"/>
        <w:tblInd w:w="0" w:type="dxa"/>
        <w:tblLayout w:type="fixed"/>
        <w:tblCellMar>
          <w:top w:w="0" w:type="dxa"/>
          <w:left w:w="30" w:type="dxa"/>
          <w:bottom w:w="0" w:type="dxa"/>
          <w:right w:w="30" w:type="dxa"/>
        </w:tblCellMar>
      </w:tblPr>
      <w:tblGrid>
        <w:gridCol w:w="667"/>
        <w:gridCol w:w="2910"/>
        <w:gridCol w:w="1052"/>
        <w:gridCol w:w="2051"/>
        <w:gridCol w:w="1035"/>
        <w:gridCol w:w="1050"/>
        <w:gridCol w:w="1085"/>
      </w:tblGrid>
      <w:tr>
        <w:tblPrEx>
          <w:tblLayout w:type="fixed"/>
          <w:tblCellMar>
            <w:top w:w="0" w:type="dxa"/>
            <w:left w:w="30" w:type="dxa"/>
            <w:bottom w:w="0" w:type="dxa"/>
            <w:right w:w="30" w:type="dxa"/>
          </w:tblCellMar>
        </w:tblPrEx>
        <w:trPr>
          <w:trHeight w:val="406" w:hRule="atLeast"/>
        </w:trPr>
        <w:tc>
          <w:tcPr>
            <w:tcW w:w="667" w:type="dxa"/>
            <w:tcBorders>
              <w:top w:val="double" w:color="auto" w:sz="4" w:space="0"/>
              <w:left w:val="doub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序号</w:t>
            </w:r>
          </w:p>
        </w:tc>
        <w:tc>
          <w:tcPr>
            <w:tcW w:w="2910"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货物名称</w:t>
            </w:r>
          </w:p>
        </w:tc>
        <w:tc>
          <w:tcPr>
            <w:tcW w:w="1052"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数量（</w:t>
            </w:r>
            <w:r>
              <w:rPr>
                <w:rFonts w:hint="eastAsia" w:ascii="华文细黑" w:hAnsi="华文细黑" w:eastAsia="华文细黑" w:cs="华文细黑"/>
                <w:sz w:val="21"/>
                <w:szCs w:val="21"/>
                <w:lang w:val="en-US" w:eastAsia="zh-CN"/>
              </w:rPr>
              <w:t>节</w:t>
            </w:r>
            <w:r>
              <w:rPr>
                <w:rFonts w:hint="eastAsia" w:ascii="华文细黑" w:hAnsi="华文细黑" w:eastAsia="华文细黑" w:cs="华文细黑"/>
                <w:sz w:val="21"/>
                <w:szCs w:val="21"/>
              </w:rPr>
              <w:t>）</w:t>
            </w:r>
          </w:p>
        </w:tc>
        <w:tc>
          <w:tcPr>
            <w:tcW w:w="2051"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产地/品牌</w:t>
            </w:r>
          </w:p>
        </w:tc>
        <w:tc>
          <w:tcPr>
            <w:tcW w:w="1035" w:type="dxa"/>
            <w:tcBorders>
              <w:top w:val="double" w:color="auto" w:sz="4" w:space="0"/>
              <w:left w:val="single" w:color="auto" w:sz="4" w:space="0"/>
              <w:bottom w:val="single" w:color="auto" w:sz="6"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单价（元）</w:t>
            </w:r>
          </w:p>
        </w:tc>
        <w:tc>
          <w:tcPr>
            <w:tcW w:w="1050" w:type="dxa"/>
            <w:tcBorders>
              <w:top w:val="double" w:color="auto" w:sz="4" w:space="0"/>
              <w:left w:val="single" w:color="auto" w:sz="4" w:space="0"/>
              <w:bottom w:val="single" w:color="auto" w:sz="6"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合价（元）</w:t>
            </w:r>
          </w:p>
        </w:tc>
        <w:tc>
          <w:tcPr>
            <w:tcW w:w="1085" w:type="dxa"/>
            <w:tcBorders>
              <w:top w:val="double" w:color="auto" w:sz="4" w:space="0"/>
              <w:left w:val="single" w:color="auto" w:sz="4" w:space="0"/>
              <w:bottom w:val="single" w:color="auto" w:sz="6"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备注</w:t>
            </w:r>
          </w:p>
        </w:tc>
      </w:tr>
      <w:tr>
        <w:tblPrEx>
          <w:tblLayout w:type="fixed"/>
          <w:tblCellMar>
            <w:top w:w="0" w:type="dxa"/>
            <w:left w:w="30" w:type="dxa"/>
            <w:bottom w:w="0" w:type="dxa"/>
            <w:right w:w="30" w:type="dxa"/>
          </w:tblCellMar>
        </w:tblPrEx>
        <w:trPr>
          <w:trHeight w:val="681" w:hRule="atLeast"/>
        </w:trPr>
        <w:tc>
          <w:tcPr>
            <w:tcW w:w="66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1</w:t>
            </w:r>
          </w:p>
        </w:tc>
        <w:tc>
          <w:tcPr>
            <w:tcW w:w="2910"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UPS铅酸蓄电池  12V100AH电池</w:t>
            </w:r>
          </w:p>
        </w:tc>
        <w:tc>
          <w:tcPr>
            <w:tcW w:w="1052"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rPr>
            </w:pPr>
            <w:r>
              <w:rPr>
                <w:rFonts w:hint="eastAsia" w:ascii="华文细黑" w:hAnsi="华文细黑" w:eastAsia="华文细黑" w:cs="华文细黑"/>
                <w:sz w:val="21"/>
                <w:szCs w:val="21"/>
                <w:lang w:val="en-US" w:eastAsia="zh-CN"/>
              </w:rPr>
              <w:t>72</w:t>
            </w:r>
          </w:p>
        </w:tc>
        <w:tc>
          <w:tcPr>
            <w:tcW w:w="2051"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品牌：山特、松下、伊顿或同档次及以上</w:t>
            </w:r>
          </w:p>
        </w:tc>
        <w:tc>
          <w:tcPr>
            <w:tcW w:w="1035"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1050"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1085" w:type="dxa"/>
            <w:vMerge w:val="restart"/>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投标电池报价</w:t>
            </w:r>
          </w:p>
        </w:tc>
      </w:tr>
      <w:tr>
        <w:tblPrEx>
          <w:tblLayout w:type="fixed"/>
          <w:tblCellMar>
            <w:top w:w="0" w:type="dxa"/>
            <w:left w:w="30" w:type="dxa"/>
            <w:bottom w:w="0" w:type="dxa"/>
            <w:right w:w="30" w:type="dxa"/>
          </w:tblCellMar>
        </w:tblPrEx>
        <w:trPr>
          <w:trHeight w:val="681" w:hRule="atLeast"/>
        </w:trPr>
        <w:tc>
          <w:tcPr>
            <w:tcW w:w="667" w:type="dxa"/>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2</w:t>
            </w:r>
          </w:p>
        </w:tc>
        <w:tc>
          <w:tcPr>
            <w:tcW w:w="2910"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UPS铅酸蓄电池  12V120AH电池</w:t>
            </w:r>
          </w:p>
        </w:tc>
        <w:tc>
          <w:tcPr>
            <w:tcW w:w="1052"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36</w:t>
            </w:r>
          </w:p>
        </w:tc>
        <w:tc>
          <w:tcPr>
            <w:tcW w:w="2051"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品牌：山特、松下、伊顿或同档次及以上</w:t>
            </w:r>
          </w:p>
        </w:tc>
        <w:tc>
          <w:tcPr>
            <w:tcW w:w="1035"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1050"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1085" w:type="dxa"/>
            <w:vMerge w:val="continue"/>
            <w:tcBorders>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r>
      <w:tr>
        <w:tblPrEx>
          <w:tblLayout w:type="fixed"/>
          <w:tblCellMar>
            <w:top w:w="0" w:type="dxa"/>
            <w:left w:w="30" w:type="dxa"/>
            <w:bottom w:w="0" w:type="dxa"/>
            <w:right w:w="30" w:type="dxa"/>
          </w:tblCellMar>
        </w:tblPrEx>
        <w:trPr>
          <w:trHeight w:val="681" w:hRule="atLeast"/>
        </w:trPr>
        <w:tc>
          <w:tcPr>
            <w:tcW w:w="667" w:type="dxa"/>
            <w:vMerge w:val="restart"/>
            <w:tcBorders>
              <w:top w:val="single" w:color="auto" w:sz="6" w:space="0"/>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3</w:t>
            </w:r>
          </w:p>
        </w:tc>
        <w:tc>
          <w:tcPr>
            <w:tcW w:w="2910"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2013年6月15日生产</w:t>
            </w:r>
          </w:p>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12V100AH电池</w:t>
            </w:r>
          </w:p>
        </w:tc>
        <w:tc>
          <w:tcPr>
            <w:tcW w:w="1052"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72</w:t>
            </w:r>
          </w:p>
        </w:tc>
        <w:tc>
          <w:tcPr>
            <w:tcW w:w="2051"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深圳固特</w:t>
            </w:r>
          </w:p>
        </w:tc>
        <w:tc>
          <w:tcPr>
            <w:tcW w:w="1035"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1050"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1085" w:type="dxa"/>
            <w:vMerge w:val="restart"/>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lang w:val="en-US" w:eastAsia="zh-CN"/>
              </w:rPr>
              <w:t>回收电池报价</w:t>
            </w:r>
          </w:p>
        </w:tc>
      </w:tr>
      <w:tr>
        <w:tblPrEx>
          <w:tblLayout w:type="fixed"/>
          <w:tblCellMar>
            <w:top w:w="0" w:type="dxa"/>
            <w:left w:w="30" w:type="dxa"/>
            <w:bottom w:w="0" w:type="dxa"/>
            <w:right w:w="30" w:type="dxa"/>
          </w:tblCellMar>
        </w:tblPrEx>
        <w:trPr>
          <w:trHeight w:val="681" w:hRule="atLeast"/>
        </w:trPr>
        <w:tc>
          <w:tcPr>
            <w:tcW w:w="667" w:type="dxa"/>
            <w:vMerge w:val="continue"/>
            <w:tcBorders>
              <w:left w:val="doub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p>
        </w:tc>
        <w:tc>
          <w:tcPr>
            <w:tcW w:w="2910"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2013年6月15日生产</w:t>
            </w:r>
          </w:p>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12V120AH电池</w:t>
            </w:r>
          </w:p>
        </w:tc>
        <w:tc>
          <w:tcPr>
            <w:tcW w:w="1052"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36</w:t>
            </w:r>
          </w:p>
        </w:tc>
        <w:tc>
          <w:tcPr>
            <w:tcW w:w="2051"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深圳固特</w:t>
            </w:r>
          </w:p>
        </w:tc>
        <w:tc>
          <w:tcPr>
            <w:tcW w:w="1035" w:type="dxa"/>
            <w:tcBorders>
              <w:top w:val="single" w:color="auto" w:sz="6" w:space="0"/>
              <w:left w:val="single" w:color="auto" w:sz="4" w:space="0"/>
              <w:right w:val="sing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1050" w:type="dxa"/>
            <w:tcBorders>
              <w:top w:val="single" w:color="auto" w:sz="6" w:space="0"/>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c>
          <w:tcPr>
            <w:tcW w:w="1085" w:type="dxa"/>
            <w:vMerge w:val="continue"/>
            <w:tcBorders>
              <w:left w:val="sing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p>
        </w:tc>
      </w:tr>
      <w:tr>
        <w:tblPrEx>
          <w:tblLayout w:type="fixed"/>
          <w:tblCellMar>
            <w:top w:w="0" w:type="dxa"/>
            <w:left w:w="30" w:type="dxa"/>
            <w:bottom w:w="0" w:type="dxa"/>
            <w:right w:w="30" w:type="dxa"/>
          </w:tblCellMar>
        </w:tblPrEx>
        <w:trPr>
          <w:cantSplit/>
          <w:trHeight w:val="915" w:hRule="atLeast"/>
        </w:trPr>
        <w:tc>
          <w:tcPr>
            <w:tcW w:w="8765" w:type="dxa"/>
            <w:gridSpan w:val="6"/>
            <w:tcBorders>
              <w:top w:val="single" w:color="auto" w:sz="6" w:space="0"/>
              <w:left w:val="double" w:color="auto" w:sz="4" w:space="0"/>
              <w:bottom w:val="single" w:color="auto" w:sz="6"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b/>
                <w:bCs/>
                <w:sz w:val="21"/>
                <w:szCs w:val="21"/>
                <w:lang w:val="en-US" w:eastAsia="zh-CN"/>
              </w:rPr>
              <w:t>投标电池报价</w:t>
            </w:r>
            <w:r>
              <w:rPr>
                <w:rFonts w:hint="eastAsia" w:ascii="华文细黑" w:hAnsi="华文细黑" w:eastAsia="华文细黑" w:cs="华文细黑"/>
                <w:sz w:val="21"/>
                <w:szCs w:val="21"/>
              </w:rPr>
              <w:t>（人民币大写）</w:t>
            </w:r>
            <w:r>
              <w:rPr>
                <w:rFonts w:hint="eastAsia" w:ascii="华文细黑" w:hAnsi="华文细黑" w:eastAsia="华文细黑" w:cs="华文细黑"/>
                <w:sz w:val="21"/>
                <w:szCs w:val="21"/>
                <w:u w:val="single"/>
              </w:rPr>
              <w:t>人民币</w:t>
            </w:r>
            <w:r>
              <w:rPr>
                <w:rFonts w:hint="eastAsia" w:ascii="华文细黑" w:hAnsi="华文细黑" w:eastAsia="华文细黑" w:cs="华文细黑"/>
                <w:sz w:val="21"/>
                <w:szCs w:val="21"/>
                <w:u w:val="single"/>
                <w:lang w:val="en-US" w:eastAsia="zh-CN"/>
              </w:rPr>
              <w:t xml:space="preserve">          </w:t>
            </w:r>
            <w:r>
              <w:rPr>
                <w:rFonts w:hint="eastAsia" w:ascii="华文细黑" w:hAnsi="华文细黑" w:eastAsia="华文细黑" w:cs="华文细黑"/>
                <w:sz w:val="21"/>
                <w:szCs w:val="21"/>
                <w:u w:val="single"/>
              </w:rPr>
              <w:t>元整</w:t>
            </w:r>
          </w:p>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rPr>
              <w:t>（人民币小写）¥</w:t>
            </w:r>
            <w:r>
              <w:rPr>
                <w:rFonts w:hint="eastAsia" w:ascii="华文细黑" w:hAnsi="华文细黑" w:eastAsia="华文细黑" w:cs="华文细黑"/>
                <w:sz w:val="21"/>
                <w:szCs w:val="21"/>
                <w:lang w:val="en-US" w:eastAsia="zh-CN"/>
              </w:rPr>
              <w:t xml:space="preserve"> </w:t>
            </w:r>
            <w:r>
              <w:rPr>
                <w:rFonts w:hint="eastAsia" w:ascii="华文细黑" w:hAnsi="华文细黑" w:eastAsia="华文细黑" w:cs="华文细黑"/>
                <w:sz w:val="21"/>
                <w:szCs w:val="21"/>
                <w:u w:val="single"/>
                <w:lang w:val="en-US" w:eastAsia="zh-CN"/>
              </w:rPr>
              <w:t xml:space="preserve">      </w:t>
            </w:r>
            <w:r>
              <w:rPr>
                <w:rFonts w:hint="eastAsia" w:ascii="华文细黑" w:hAnsi="华文细黑" w:eastAsia="华文细黑" w:cs="华文细黑"/>
                <w:sz w:val="21"/>
                <w:szCs w:val="21"/>
              </w:rPr>
              <w:t>元</w:t>
            </w:r>
          </w:p>
        </w:tc>
        <w:tc>
          <w:tcPr>
            <w:tcW w:w="1085" w:type="dxa"/>
            <w:tcBorders>
              <w:top w:val="single" w:color="auto" w:sz="6" w:space="0"/>
              <w:left w:val="double" w:color="auto" w:sz="4" w:space="0"/>
              <w:bottom w:val="single" w:color="auto" w:sz="6"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p>
        </w:tc>
      </w:tr>
      <w:tr>
        <w:tblPrEx>
          <w:tblLayout w:type="fixed"/>
          <w:tblCellMar>
            <w:top w:w="0" w:type="dxa"/>
            <w:left w:w="30" w:type="dxa"/>
            <w:bottom w:w="0" w:type="dxa"/>
            <w:right w:w="30" w:type="dxa"/>
          </w:tblCellMar>
        </w:tblPrEx>
        <w:trPr>
          <w:cantSplit/>
          <w:trHeight w:val="445" w:hRule="atLeast"/>
        </w:trPr>
        <w:tc>
          <w:tcPr>
            <w:tcW w:w="8765" w:type="dxa"/>
            <w:gridSpan w:val="6"/>
            <w:tcBorders>
              <w:top w:val="single" w:color="auto" w:sz="6" w:space="0"/>
              <w:left w:val="double" w:color="auto" w:sz="4" w:space="0"/>
              <w:bottom w:val="single" w:color="auto" w:sz="6"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b/>
                <w:bCs/>
                <w:sz w:val="21"/>
                <w:szCs w:val="21"/>
                <w:lang w:val="en-US" w:eastAsia="zh-CN"/>
              </w:rPr>
              <w:t>回收电池报价</w:t>
            </w:r>
            <w:r>
              <w:rPr>
                <w:rFonts w:hint="eastAsia" w:ascii="华文细黑" w:hAnsi="华文细黑" w:eastAsia="华文细黑" w:cs="华文细黑"/>
                <w:sz w:val="21"/>
                <w:szCs w:val="21"/>
              </w:rPr>
              <w:t>（人民币大写）</w:t>
            </w:r>
            <w:r>
              <w:rPr>
                <w:rFonts w:hint="eastAsia" w:ascii="华文细黑" w:hAnsi="华文细黑" w:eastAsia="华文细黑" w:cs="华文细黑"/>
                <w:sz w:val="21"/>
                <w:szCs w:val="21"/>
                <w:u w:val="single"/>
              </w:rPr>
              <w:t>人民币</w:t>
            </w:r>
            <w:r>
              <w:rPr>
                <w:rFonts w:hint="eastAsia" w:ascii="华文细黑" w:hAnsi="华文细黑" w:eastAsia="华文细黑" w:cs="华文细黑"/>
                <w:sz w:val="21"/>
                <w:szCs w:val="21"/>
                <w:u w:val="single"/>
                <w:lang w:val="en-US" w:eastAsia="zh-CN"/>
              </w:rPr>
              <w:t xml:space="preserve">          </w:t>
            </w:r>
            <w:r>
              <w:rPr>
                <w:rFonts w:hint="eastAsia" w:ascii="华文细黑" w:hAnsi="华文细黑" w:eastAsia="华文细黑" w:cs="华文细黑"/>
                <w:sz w:val="21"/>
                <w:szCs w:val="21"/>
                <w:u w:val="single"/>
              </w:rPr>
              <w:t>元整</w:t>
            </w:r>
          </w:p>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rPr>
              <w:t>（人民币小写）¥</w:t>
            </w:r>
            <w:r>
              <w:rPr>
                <w:rFonts w:hint="eastAsia" w:ascii="华文细黑" w:hAnsi="华文细黑" w:eastAsia="华文细黑" w:cs="华文细黑"/>
                <w:sz w:val="21"/>
                <w:szCs w:val="21"/>
                <w:lang w:val="en-US" w:eastAsia="zh-CN"/>
              </w:rPr>
              <w:t xml:space="preserve"> </w:t>
            </w:r>
            <w:r>
              <w:rPr>
                <w:rFonts w:hint="eastAsia" w:ascii="华文细黑" w:hAnsi="华文细黑" w:eastAsia="华文细黑" w:cs="华文细黑"/>
                <w:sz w:val="21"/>
                <w:szCs w:val="21"/>
                <w:u w:val="single"/>
                <w:lang w:val="en-US" w:eastAsia="zh-CN"/>
              </w:rPr>
              <w:t xml:space="preserve">      </w:t>
            </w:r>
            <w:r>
              <w:rPr>
                <w:rFonts w:hint="eastAsia" w:ascii="华文细黑" w:hAnsi="华文细黑" w:eastAsia="华文细黑" w:cs="华文细黑"/>
                <w:sz w:val="21"/>
                <w:szCs w:val="21"/>
              </w:rPr>
              <w:t>元</w:t>
            </w:r>
          </w:p>
        </w:tc>
        <w:tc>
          <w:tcPr>
            <w:tcW w:w="1085" w:type="dxa"/>
            <w:tcBorders>
              <w:top w:val="single" w:color="auto" w:sz="6" w:space="0"/>
              <w:left w:val="double" w:color="auto" w:sz="4" w:space="0"/>
              <w:bottom w:val="single" w:color="auto" w:sz="6"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p>
        </w:tc>
      </w:tr>
      <w:tr>
        <w:tblPrEx>
          <w:tblLayout w:type="fixed"/>
          <w:tblCellMar>
            <w:top w:w="0" w:type="dxa"/>
            <w:left w:w="30" w:type="dxa"/>
            <w:bottom w:w="0" w:type="dxa"/>
            <w:right w:w="30" w:type="dxa"/>
          </w:tblCellMar>
        </w:tblPrEx>
        <w:trPr>
          <w:cantSplit/>
          <w:trHeight w:val="445" w:hRule="atLeast"/>
        </w:trPr>
        <w:tc>
          <w:tcPr>
            <w:tcW w:w="8765" w:type="dxa"/>
            <w:gridSpan w:val="6"/>
            <w:tcBorders>
              <w:top w:val="single" w:color="auto" w:sz="6" w:space="0"/>
              <w:left w:val="double" w:color="auto" w:sz="4" w:space="0"/>
              <w:bottom w:val="doub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b/>
                <w:bCs/>
                <w:sz w:val="21"/>
                <w:szCs w:val="21"/>
                <w:lang w:val="en-US" w:eastAsia="zh-CN"/>
              </w:rPr>
              <w:t>投标总价</w:t>
            </w:r>
            <w:r>
              <w:rPr>
                <w:rFonts w:hint="eastAsia" w:ascii="华文细黑" w:hAnsi="华文细黑" w:eastAsia="华文细黑" w:cs="华文细黑"/>
                <w:sz w:val="21"/>
                <w:szCs w:val="21"/>
              </w:rPr>
              <w:t>（人民币大写）</w:t>
            </w:r>
            <w:r>
              <w:rPr>
                <w:rFonts w:hint="eastAsia" w:ascii="华文细黑" w:hAnsi="华文细黑" w:eastAsia="华文细黑" w:cs="华文细黑"/>
                <w:sz w:val="21"/>
                <w:szCs w:val="21"/>
                <w:u w:val="single"/>
              </w:rPr>
              <w:t>人民币</w:t>
            </w:r>
            <w:r>
              <w:rPr>
                <w:rFonts w:hint="eastAsia" w:ascii="华文细黑" w:hAnsi="华文细黑" w:eastAsia="华文细黑" w:cs="华文细黑"/>
                <w:sz w:val="21"/>
                <w:szCs w:val="21"/>
                <w:u w:val="single"/>
                <w:lang w:val="en-US" w:eastAsia="zh-CN"/>
              </w:rPr>
              <w:t xml:space="preserve">          </w:t>
            </w:r>
            <w:r>
              <w:rPr>
                <w:rFonts w:hint="eastAsia" w:ascii="华文细黑" w:hAnsi="华文细黑" w:eastAsia="华文细黑" w:cs="华文细黑"/>
                <w:sz w:val="21"/>
                <w:szCs w:val="21"/>
                <w:u w:val="single"/>
              </w:rPr>
              <w:t>元整</w:t>
            </w:r>
          </w:p>
          <w:p>
            <w:pPr>
              <w:autoSpaceDE w:val="0"/>
              <w:autoSpaceDN w:val="0"/>
              <w:adjustRightInd w:val="0"/>
              <w:spacing w:line="400" w:lineRule="exact"/>
              <w:jc w:val="center"/>
              <w:rPr>
                <w:rFonts w:hint="eastAsia" w:ascii="华文细黑" w:hAnsi="华文细黑" w:eastAsia="华文细黑" w:cs="华文细黑"/>
                <w:sz w:val="21"/>
                <w:szCs w:val="21"/>
              </w:rPr>
            </w:pPr>
            <w:r>
              <w:rPr>
                <w:rFonts w:hint="eastAsia" w:ascii="华文细黑" w:hAnsi="华文细黑" w:eastAsia="华文细黑" w:cs="华文细黑"/>
                <w:sz w:val="21"/>
                <w:szCs w:val="21"/>
              </w:rPr>
              <w:t>（人民币小写）¥</w:t>
            </w:r>
            <w:r>
              <w:rPr>
                <w:rFonts w:hint="eastAsia" w:ascii="华文细黑" w:hAnsi="华文细黑" w:eastAsia="华文细黑" w:cs="华文细黑"/>
                <w:sz w:val="21"/>
                <w:szCs w:val="21"/>
                <w:lang w:val="en-US" w:eastAsia="zh-CN"/>
              </w:rPr>
              <w:t xml:space="preserve"> </w:t>
            </w:r>
            <w:r>
              <w:rPr>
                <w:rFonts w:hint="eastAsia" w:ascii="华文细黑" w:hAnsi="华文细黑" w:eastAsia="华文细黑" w:cs="华文细黑"/>
                <w:sz w:val="21"/>
                <w:szCs w:val="21"/>
                <w:u w:val="single"/>
                <w:lang w:val="en-US" w:eastAsia="zh-CN"/>
              </w:rPr>
              <w:t xml:space="preserve">      </w:t>
            </w:r>
            <w:r>
              <w:rPr>
                <w:rFonts w:hint="eastAsia" w:ascii="华文细黑" w:hAnsi="华文细黑" w:eastAsia="华文细黑" w:cs="华文细黑"/>
                <w:sz w:val="21"/>
                <w:szCs w:val="21"/>
              </w:rPr>
              <w:t>元</w:t>
            </w:r>
          </w:p>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r>
              <w:rPr>
                <w:rFonts w:hint="eastAsia" w:ascii="华文细黑" w:hAnsi="华文细黑" w:eastAsia="华文细黑" w:cs="华文细黑"/>
                <w:sz w:val="21"/>
                <w:szCs w:val="21"/>
                <w:lang w:val="en-US" w:eastAsia="zh-CN"/>
              </w:rPr>
              <w:t>备注：回收电池报价由供应商自行考虑，在投标总价中核减。</w:t>
            </w:r>
          </w:p>
        </w:tc>
        <w:tc>
          <w:tcPr>
            <w:tcW w:w="1085" w:type="dxa"/>
            <w:tcBorders>
              <w:top w:val="single" w:color="auto" w:sz="6" w:space="0"/>
              <w:left w:val="double" w:color="auto" w:sz="4" w:space="0"/>
              <w:bottom w:val="double" w:color="auto" w:sz="4" w:space="0"/>
              <w:right w:val="double" w:color="auto" w:sz="4" w:space="0"/>
            </w:tcBorders>
            <w:vAlign w:val="center"/>
          </w:tcPr>
          <w:p>
            <w:pPr>
              <w:autoSpaceDE w:val="0"/>
              <w:autoSpaceDN w:val="0"/>
              <w:adjustRightInd w:val="0"/>
              <w:spacing w:line="400" w:lineRule="exact"/>
              <w:jc w:val="center"/>
              <w:rPr>
                <w:rFonts w:hint="eastAsia" w:ascii="华文细黑" w:hAnsi="华文细黑" w:eastAsia="华文细黑" w:cs="华文细黑"/>
                <w:sz w:val="21"/>
                <w:szCs w:val="21"/>
                <w:lang w:val="en-US" w:eastAsia="zh-CN"/>
              </w:rPr>
            </w:pPr>
          </w:p>
        </w:tc>
      </w:tr>
    </w:tbl>
    <w:p>
      <w:pPr>
        <w:pStyle w:val="4"/>
        <w:keepNext w:val="0"/>
        <w:keepLines w:val="0"/>
        <w:pageBreakBefore w:val="0"/>
        <w:numPr>
          <w:ilvl w:val="0"/>
          <w:numId w:val="0"/>
        </w:numPr>
        <w:tabs>
          <w:tab w:val="left" w:pos="0"/>
        </w:tabs>
        <w:kinsoku/>
        <w:wordWrap w:val="0"/>
        <w:overflowPunct/>
        <w:topLinePunct w:val="0"/>
        <w:autoSpaceDE/>
        <w:autoSpaceDN/>
        <w:bidi w:val="0"/>
        <w:adjustRightInd/>
        <w:snapToGrid/>
        <w:spacing w:after="0" w:line="440" w:lineRule="exact"/>
        <w:ind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 xml:space="preserve">2. </w:t>
      </w:r>
      <w:r>
        <w:rPr>
          <w:rFonts w:hint="eastAsia" w:ascii="华文细黑" w:hAnsi="华文细黑" w:eastAsia="华文细黑" w:cs="华文细黑"/>
          <w:color w:val="auto"/>
          <w:sz w:val="24"/>
          <w:szCs w:val="24"/>
        </w:rPr>
        <w:t>合同价格为货物到达</w:t>
      </w:r>
      <w:r>
        <w:rPr>
          <w:rFonts w:hint="eastAsia" w:ascii="华文细黑" w:hAnsi="华文细黑" w:eastAsia="华文细黑" w:cs="华文细黑"/>
          <w:color w:val="auto"/>
          <w:sz w:val="24"/>
          <w:szCs w:val="24"/>
          <w:lang w:eastAsia="zh-CN"/>
        </w:rPr>
        <w:t>院方</w:t>
      </w:r>
      <w:r>
        <w:rPr>
          <w:rFonts w:hint="eastAsia" w:ascii="华文细黑" w:hAnsi="华文细黑" w:eastAsia="华文细黑" w:cs="华文细黑"/>
          <w:color w:val="auto"/>
          <w:sz w:val="24"/>
          <w:szCs w:val="24"/>
        </w:rPr>
        <w:t>指定地点价格，包含一切税费、货物费、运杂费、保险费、装卸落地费、保管费、备品备件专用工具、货物仓储费、二次搬运费（搬运至各区域所发生的全部费用）、安装水电费、安装人员食宿交通、安装调试费、备品备件专用工具费（若有）、检测验收费（有关法律法规规定的货物进场、材料和成品抽检、最终检测及验收费）及质保期内维护保养等完成本项目所需的所有费用等，实行固定单价包干</w:t>
      </w:r>
      <w:r>
        <w:rPr>
          <w:rFonts w:hint="eastAsia" w:ascii="华文细黑" w:hAnsi="华文细黑" w:eastAsia="华文细黑" w:cs="华文细黑"/>
          <w:color w:val="auto"/>
          <w:sz w:val="24"/>
          <w:szCs w:val="24"/>
          <w:lang w:eastAsia="zh-CN"/>
        </w:rPr>
        <w:t>。</w:t>
      </w:r>
    </w:p>
    <w:p>
      <w:pPr>
        <w:pStyle w:val="4"/>
        <w:keepNext w:val="0"/>
        <w:keepLines w:val="0"/>
        <w:pageBreakBefore w:val="0"/>
        <w:numPr>
          <w:ilvl w:val="0"/>
          <w:numId w:val="0"/>
        </w:numPr>
        <w:tabs>
          <w:tab w:val="left" w:pos="0"/>
        </w:tabs>
        <w:kinsoku/>
        <w:wordWrap w:val="0"/>
        <w:overflowPunct/>
        <w:topLinePunct w:val="0"/>
        <w:autoSpaceDE/>
        <w:autoSpaceDN/>
        <w:bidi w:val="0"/>
        <w:adjustRightInd/>
        <w:snapToGrid/>
        <w:spacing w:after="0" w:line="440" w:lineRule="exact"/>
        <w:ind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 xml:space="preserve">3. </w:t>
      </w:r>
      <w:r>
        <w:rPr>
          <w:rFonts w:hint="eastAsia" w:ascii="华文细黑" w:hAnsi="华文细黑" w:eastAsia="华文细黑" w:cs="华文细黑"/>
          <w:color w:val="auto"/>
          <w:sz w:val="24"/>
          <w:szCs w:val="24"/>
        </w:rPr>
        <w:t>因实际需要调整供货数量时，合同总价按结算时实际货物验收单数量为准。涉及采购变更，必须由</w:t>
      </w:r>
      <w:r>
        <w:rPr>
          <w:rFonts w:hint="eastAsia" w:ascii="华文细黑" w:hAnsi="华文细黑" w:eastAsia="华文细黑" w:cs="华文细黑"/>
          <w:color w:val="auto"/>
          <w:sz w:val="24"/>
          <w:szCs w:val="24"/>
          <w:lang w:val="en-US" w:eastAsia="zh-CN"/>
        </w:rPr>
        <w:t>院方</w:t>
      </w:r>
      <w:r>
        <w:rPr>
          <w:rFonts w:hint="eastAsia" w:ascii="华文细黑" w:hAnsi="华文细黑" w:eastAsia="华文细黑" w:cs="华文细黑"/>
          <w:color w:val="auto"/>
          <w:sz w:val="24"/>
          <w:szCs w:val="24"/>
        </w:rPr>
        <w:t>书面确认后方可作为结算的依据。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 供应商将货物在院方指定时间运到院方指定的地点以后通知院方进行验收，若货物与进货数目不相符，或有损坏，或者货物的包装、品种、规格、质量等不符合规定，院方有权拒收全部或部分货物，供应商必须按照院方要求收回或补齐，供应商实际交货时间以供应商最终补齐货物时间为准。参与交货验收的单位在货物清单上共同签字，并填写交货验收合格证明，此合格证明为供应商交货的凭证，也是供应商申请付款的必要依。</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 供应商在交货的同时应向院方提供电池厂家授权经销合同，产品合格证，备案证等相关资料，否则院方有权拒收货物。</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6. 对供应商所提供的产品，院方有权随机抽样送检，如送检产品质量不符合相应国家或者行业标准，院方有权对供应商提出索赔。产品质量必须通过国家检测机构相关部门验收标准为准。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7. 供应商应派遣有从事同类工作3年以上实践经验的技术人员进行UPS铅酸蓄电池安装工作，安装人员必须持有国家相关部分颁发的作业证等，持证上岗。安装人员必须服从院方的管理，在院区内所产生的一切人身安全责任和事故由供应商自行处理和负责，院方不承担责任。</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8. 供应商负责原UPS铅酸蓄电池的拆除，拆除所需的全部费用计入投标总价，不二次计费。拆除后的电池，由供应商按国家相关法律法规要求进行清运处置，该项费用也计入投标总价内。若违规处置所造成的全部责任均由供应商自行承担。    </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9. UPS铅酸蓄电池连接及安装必须牢固、可靠，安装必须符合国家及行业相关标准。供应商按院方指定时间负责进行通电测试，如发现有安全隐患，及时调整、保证安全，并提供书面测试结果。 </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符合《中华人民共和国政府采购法》第二十二条规定条件；必须具备本次招标货物或服务的经营资质</w:t>
      </w:r>
      <w:r>
        <w:rPr>
          <w:rFonts w:hint="eastAsia" w:ascii="华文细黑" w:hAnsi="华文细黑" w:eastAsia="华文细黑" w:cs="华文细黑"/>
          <w:color w:val="auto"/>
          <w:sz w:val="24"/>
          <w:szCs w:val="24"/>
          <w:lang w:val="en-US"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2.</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近三年内有从事上述项目经营的业绩</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即</w:t>
      </w:r>
      <w:r>
        <w:rPr>
          <w:rFonts w:hint="eastAsia" w:ascii="华文细黑" w:hAnsi="华文细黑" w:eastAsia="华文细黑" w:cs="华文细黑"/>
          <w:color w:val="auto"/>
          <w:sz w:val="24"/>
          <w:szCs w:val="24"/>
          <w:lang w:eastAsia="zh-CN"/>
        </w:rPr>
        <w:t>具备UPS维护维修或蓄电池更换经验，需提供相关</w:t>
      </w:r>
      <w:r>
        <w:rPr>
          <w:rFonts w:hint="eastAsia" w:ascii="华文细黑" w:hAnsi="华文细黑" w:eastAsia="华文细黑" w:cs="华文细黑"/>
          <w:color w:val="auto"/>
          <w:sz w:val="24"/>
          <w:szCs w:val="24"/>
          <w:lang w:val="en-US" w:eastAsia="zh-CN"/>
        </w:rPr>
        <w:t>合同复印件（加盖公章）</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 本项目不接受联合体投标。</w:t>
      </w:r>
      <w:bookmarkStart w:id="0" w:name="_GoBack"/>
      <w:bookmarkEnd w:id="0"/>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1. 响应文件分</w:t>
      </w:r>
      <w:r>
        <w:rPr>
          <w:rFonts w:hint="eastAsia" w:ascii="华文细黑" w:hAnsi="华文细黑" w:eastAsia="华文细黑" w:cs="华文细黑"/>
          <w:color w:val="auto"/>
          <w:sz w:val="24"/>
          <w:szCs w:val="24"/>
          <w:lang w:val="en-US" w:eastAsia="zh-CN"/>
        </w:rPr>
        <w:t>报价文件、</w:t>
      </w:r>
      <w:r>
        <w:rPr>
          <w:rFonts w:hint="eastAsia" w:ascii="华文细黑" w:hAnsi="华文细黑" w:eastAsia="华文细黑" w:cs="华文细黑"/>
          <w:color w:val="auto"/>
          <w:sz w:val="24"/>
          <w:szCs w:val="24"/>
        </w:rPr>
        <w:t>技术文件</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商务文件</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 xml:space="preserve">2. </w:t>
      </w:r>
      <w:r>
        <w:rPr>
          <w:rFonts w:hint="eastAsia" w:ascii="华文细黑" w:hAnsi="华文细黑" w:eastAsia="华文细黑" w:cs="华文细黑"/>
          <w:color w:val="auto"/>
          <w:sz w:val="24"/>
          <w:szCs w:val="24"/>
        </w:rPr>
        <w:t>报价文件至少应包括以下内容（均需加盖公章）：</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按本文件第二条第1款表格内所列内容报价；（2）采购到货</w:t>
      </w:r>
      <w:r>
        <w:rPr>
          <w:rFonts w:hint="eastAsia" w:ascii="华文细黑" w:hAnsi="华文细黑" w:eastAsia="华文细黑" w:cs="华文细黑"/>
          <w:color w:val="auto"/>
          <w:sz w:val="24"/>
          <w:szCs w:val="24"/>
        </w:rPr>
        <w:t>响应周期及相应优惠条件等</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eastAsia="zh-CN"/>
        </w:rPr>
        <w:t>供应商</w:t>
      </w:r>
      <w:r>
        <w:rPr>
          <w:rFonts w:hint="eastAsia" w:ascii="华文细黑" w:hAnsi="华文细黑" w:eastAsia="华文细黑" w:cs="华文细黑"/>
          <w:color w:val="auto"/>
          <w:sz w:val="24"/>
          <w:szCs w:val="24"/>
        </w:rPr>
        <w:t>需要说明的其他</w:t>
      </w:r>
      <w:r>
        <w:rPr>
          <w:rFonts w:hint="eastAsia" w:ascii="华文细黑" w:hAnsi="华文细黑" w:eastAsia="华文细黑" w:cs="华文细黑"/>
          <w:color w:val="auto"/>
          <w:sz w:val="24"/>
          <w:szCs w:val="24"/>
          <w:lang w:val="en-US" w:eastAsia="zh-CN"/>
        </w:rPr>
        <w:t>报价</w:t>
      </w:r>
      <w:r>
        <w:rPr>
          <w:rFonts w:hint="eastAsia" w:ascii="华文细黑" w:hAnsi="华文细黑" w:eastAsia="华文细黑" w:cs="华文细黑"/>
          <w:color w:val="auto"/>
          <w:sz w:val="24"/>
          <w:szCs w:val="24"/>
        </w:rPr>
        <w:t>说明</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 商务文件至少应包括以下内容：证明其为合格供应商和所提供的为合格产品的有关资格证明文件，招标文件要求提供的其他资料等（均需加盖公章）：（1）法人授权委托书</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（2）法定代表人及受委托人的身份证复印件；（</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）企业法人营业执照</w:t>
      </w:r>
      <w:r>
        <w:rPr>
          <w:rFonts w:hint="eastAsia" w:ascii="华文细黑" w:hAnsi="华文细黑" w:eastAsia="华文细黑" w:cs="华文细黑"/>
          <w:color w:val="auto"/>
          <w:sz w:val="24"/>
          <w:szCs w:val="24"/>
          <w:lang w:eastAsia="zh-CN"/>
        </w:rPr>
        <w:t>；</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）所有资质及认证文件；（</w:t>
      </w:r>
      <w:r>
        <w:rPr>
          <w:rFonts w:hint="eastAsia" w:ascii="华文细黑" w:hAnsi="华文细黑" w:eastAsia="华文细黑" w:cs="华文细黑"/>
          <w:color w:val="auto"/>
          <w:sz w:val="24"/>
          <w:szCs w:val="24"/>
          <w:lang w:val="en-US" w:eastAsia="zh-CN"/>
        </w:rPr>
        <w:t>5</w:t>
      </w:r>
      <w:r>
        <w:rPr>
          <w:rFonts w:hint="eastAsia" w:ascii="华文细黑" w:hAnsi="华文细黑" w:eastAsia="华文细黑" w:cs="华文细黑"/>
          <w:color w:val="auto"/>
          <w:sz w:val="24"/>
          <w:szCs w:val="24"/>
        </w:rPr>
        <w:t>）主要业绩证明；（</w:t>
      </w:r>
      <w:r>
        <w:rPr>
          <w:rFonts w:hint="eastAsia" w:ascii="华文细黑" w:hAnsi="华文细黑" w:eastAsia="华文细黑" w:cs="华文细黑"/>
          <w:color w:val="auto"/>
          <w:sz w:val="24"/>
          <w:szCs w:val="24"/>
          <w:lang w:val="en-US" w:eastAsia="zh-CN"/>
        </w:rPr>
        <w:t>6</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eastAsia="zh-CN"/>
        </w:rPr>
        <w:t>供应商</w:t>
      </w:r>
      <w:r>
        <w:rPr>
          <w:rFonts w:hint="eastAsia" w:ascii="华文细黑" w:hAnsi="华文细黑" w:eastAsia="华文细黑" w:cs="华文细黑"/>
          <w:color w:val="auto"/>
          <w:sz w:val="24"/>
          <w:szCs w:val="24"/>
        </w:rPr>
        <w:t>认为需要的其他商务文件或说明。</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 技术文件至少应包括以下内容：针对本项目的技术和服务投标方案，招标文件要求提供的其他资料等（均需加盖公章）：（</w:t>
      </w: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rPr>
        <w:t>）项目负责人简历表；（</w:t>
      </w: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）拟派本项目人员技术力量配备情况；（</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eastAsia="zh-CN"/>
        </w:rPr>
        <w:t>供应商</w:t>
      </w:r>
      <w:r>
        <w:rPr>
          <w:rFonts w:hint="eastAsia" w:ascii="华文细黑" w:hAnsi="华文细黑" w:eastAsia="华文细黑" w:cs="华文细黑"/>
          <w:color w:val="auto"/>
          <w:sz w:val="24"/>
          <w:szCs w:val="24"/>
        </w:rPr>
        <w:t>应提供的技术资料；（</w:t>
      </w: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eastAsia="zh-CN"/>
        </w:rPr>
        <w:t>供应商</w:t>
      </w:r>
      <w:r>
        <w:rPr>
          <w:rFonts w:hint="eastAsia" w:ascii="华文细黑" w:hAnsi="华文细黑" w:eastAsia="华文细黑" w:cs="华文细黑"/>
          <w:color w:val="auto"/>
          <w:sz w:val="24"/>
          <w:szCs w:val="24"/>
        </w:rPr>
        <w:t>需要说明的其他文件和说明</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五</w:t>
      </w:r>
      <w:r>
        <w:rPr>
          <w:rFonts w:hint="eastAsia" w:ascii="华文细黑" w:hAnsi="华文细黑" w:eastAsia="华文细黑" w:cs="华文细黑"/>
          <w:b/>
          <w:bCs/>
          <w:color w:val="auto"/>
          <w:sz w:val="24"/>
          <w:szCs w:val="24"/>
        </w:rPr>
        <w:t>、评标办法</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综合评标法，评分细则详见附件。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六</w:t>
      </w:r>
      <w:r>
        <w:rPr>
          <w:rFonts w:hint="eastAsia" w:ascii="华文细黑" w:hAnsi="华文细黑" w:eastAsia="华文细黑" w:cs="华文细黑"/>
          <w:b/>
          <w:bCs/>
          <w:color w:val="auto"/>
          <w:sz w:val="24"/>
          <w:szCs w:val="24"/>
        </w:rPr>
        <w:t>、报价要求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rPr>
      </w:pPr>
      <w:r>
        <w:rPr>
          <w:rFonts w:hint="eastAsia" w:ascii="华文细黑" w:hAnsi="华文细黑" w:eastAsia="华文细黑" w:cs="华文细黑"/>
          <w:color w:val="auto"/>
          <w:sz w:val="24"/>
          <w:szCs w:val="24"/>
          <w:lang w:val="en-US" w:eastAsia="zh-CN"/>
        </w:rPr>
        <w:t>本次报价总价不得超过10万元，超过10万元作无效标处理。</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lang w:val="en-US" w:eastAsia="zh-CN"/>
        </w:rPr>
        <w:t>七</w:t>
      </w:r>
      <w:r>
        <w:rPr>
          <w:rFonts w:hint="eastAsia" w:ascii="华文细黑" w:hAnsi="华文细黑" w:eastAsia="华文细黑" w:cs="华文细黑"/>
          <w:b/>
          <w:bCs/>
          <w:color w:val="auto"/>
          <w:sz w:val="24"/>
          <w:szCs w:val="24"/>
        </w:rPr>
        <w:t>、合同签订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中标人须在7个工作日内，与我院签订采购合同，否则，将视为自动放弃本项目的所有权利，取消中标资格。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九、付款方式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所有货物以各批次实际采购数量分批次进行结算，货物到现场安装验收合格完毕，</w:t>
      </w:r>
      <w:r>
        <w:rPr>
          <w:rFonts w:hint="eastAsia" w:ascii="华文细黑" w:hAnsi="华文细黑" w:eastAsia="华文细黑" w:cs="华文细黑"/>
          <w:color w:val="auto"/>
          <w:sz w:val="24"/>
          <w:szCs w:val="24"/>
          <w:lang w:eastAsia="zh-CN"/>
        </w:rPr>
        <w:t>院方</w:t>
      </w:r>
      <w:r>
        <w:rPr>
          <w:rFonts w:hint="eastAsia" w:ascii="华文细黑" w:hAnsi="华文细黑" w:eastAsia="华文细黑" w:cs="华文细黑"/>
          <w:color w:val="auto"/>
          <w:sz w:val="24"/>
          <w:szCs w:val="24"/>
        </w:rPr>
        <w:t>在收到该批次货款有效票据后十五个工作日内支付至该批次货款结算总价的95%；留该批次结算总价的5%作为质量保证金。</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（1）双方签署的最终验收合格报告；</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（2）相应金额的发票。</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 xml:space="preserve">2. </w:t>
      </w:r>
      <w:r>
        <w:rPr>
          <w:rFonts w:hint="eastAsia" w:ascii="华文细黑" w:hAnsi="华文细黑" w:eastAsia="华文细黑" w:cs="华文细黑"/>
          <w:color w:val="auto"/>
          <w:sz w:val="24"/>
          <w:szCs w:val="24"/>
        </w:rPr>
        <w:t>质量保证金：自验收合格后满</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年，售后服务良好，无质量和服务问题，原额（无息）退还质量保证金。</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 xml:space="preserve">3. </w:t>
      </w:r>
      <w:r>
        <w:rPr>
          <w:rFonts w:hint="eastAsia" w:ascii="华文细黑" w:hAnsi="华文细黑" w:eastAsia="华文细黑" w:cs="华文细黑"/>
          <w:color w:val="auto"/>
          <w:sz w:val="24"/>
          <w:szCs w:val="24"/>
        </w:rPr>
        <w:t>付款以转账支票形式支付。</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十、投标截止时间、开标时间及地点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递交投标文件截止时间：2018年</w:t>
      </w:r>
      <w:r>
        <w:rPr>
          <w:rFonts w:hint="eastAsia" w:ascii="华文细黑" w:hAnsi="华文细黑" w:eastAsia="华文细黑" w:cs="华文细黑"/>
          <w:color w:val="auto"/>
          <w:sz w:val="24"/>
          <w:szCs w:val="24"/>
          <w:lang w:val="en-US" w:eastAsia="zh-CN"/>
        </w:rPr>
        <w:t>7</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24</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lang w:val="en-US" w:eastAsia="zh-CN"/>
        </w:rPr>
        <w:t>二</w:t>
      </w: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7</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00</w:t>
      </w:r>
      <w:r>
        <w:rPr>
          <w:rFonts w:hint="eastAsia" w:ascii="华文细黑" w:hAnsi="华文细黑" w:eastAsia="华文细黑" w:cs="华文细黑"/>
          <w:color w:val="auto"/>
          <w:sz w:val="24"/>
          <w:szCs w:val="24"/>
        </w:rPr>
        <w:t>，逾期不再接受任何形式的报名。</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2．开标时间：2018年</w:t>
      </w:r>
      <w:r>
        <w:rPr>
          <w:rFonts w:hint="eastAsia" w:ascii="华文细黑" w:hAnsi="华文细黑" w:eastAsia="华文细黑" w:cs="华文细黑"/>
          <w:color w:val="auto"/>
          <w:sz w:val="24"/>
          <w:szCs w:val="24"/>
          <w:lang w:val="en-US" w:eastAsia="zh-CN"/>
        </w:rPr>
        <w:t>7</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25</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lang w:val="en-US" w:eastAsia="zh-CN"/>
        </w:rPr>
        <w:t>三</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9</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00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3．投标地点：浙江省肿瘤医院行政楼40</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开标地点：浙江省肿瘤医院行政楼411室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5. 采用快递方式递交投标文件，必须对投标文件进行密封并在密封处加盖公章，快递费用由投标单位自理，不接受到付件。邮寄地址：杭州市拱墅区半山东路1号浙江省肿瘤医院行政楼40</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0" w:firstLine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十一、联系方式：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叶</w:t>
      </w:r>
      <w:r>
        <w:rPr>
          <w:rFonts w:hint="eastAsia" w:ascii="华文细黑" w:hAnsi="华文细黑" w:eastAsia="华文细黑" w:cs="华文细黑"/>
          <w:color w:val="auto"/>
          <w:sz w:val="24"/>
          <w:szCs w:val="24"/>
        </w:rPr>
        <w:t>先生    联系电话：0571-88122528</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2018年7月17日</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lang w:val="en-US" w:eastAsia="zh-CN"/>
        </w:rPr>
      </w:pPr>
      <w:r>
        <w:rPr>
          <w:rFonts w:hint="eastAsia"/>
          <w:lang w:val="en-US" w:eastAsia="zh-CN"/>
        </w:rPr>
        <w:br w:type="page"/>
      </w:r>
    </w:p>
    <w:p>
      <w:pPr>
        <w:spacing w:line="520" w:lineRule="exact"/>
        <w:rPr>
          <w:rFonts w:ascii="华文中宋" w:hAnsi="华文中宋" w:eastAsia="华文中宋" w:cs="华文中宋"/>
          <w:sz w:val="24"/>
          <w:szCs w:val="24"/>
        </w:rPr>
      </w:pPr>
      <w:r>
        <w:rPr>
          <w:rFonts w:hint="eastAsia" w:ascii="华文中宋" w:hAnsi="华文中宋" w:eastAsia="华文中宋" w:cs="华文中宋"/>
          <w:b/>
          <w:sz w:val="24"/>
          <w:szCs w:val="24"/>
        </w:rPr>
        <w:t>附件：</w:t>
      </w:r>
    </w:p>
    <w:p>
      <w:pPr>
        <w:spacing w:line="520" w:lineRule="exact"/>
        <w:jc w:val="center"/>
        <w:rPr>
          <w:rFonts w:ascii="华文中宋" w:hAnsi="华文中宋" w:eastAsia="华文中宋" w:cs="华文中宋"/>
          <w:b/>
          <w:bCs/>
          <w:sz w:val="28"/>
          <w:szCs w:val="28"/>
        </w:rPr>
      </w:pPr>
      <w:r>
        <w:rPr>
          <w:rFonts w:hint="eastAsia" w:ascii="华文中宋" w:hAnsi="华文中宋" w:eastAsia="华文中宋" w:cs="华文中宋"/>
          <w:b/>
          <w:bCs/>
          <w:sz w:val="28"/>
          <w:szCs w:val="28"/>
        </w:rPr>
        <w:t>本次议标评标办法</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1、评标纪律</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1.1．评标是招标工作的重要环节，评标工作在评标委员会内独立进行。评标委员会成员由采购人代表及专家组成。评标委员会将按照评标原则的要求，公正、平等地对待所有投标人。</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1.2．所有评标人员应忠于职守、廉洁自律、秉公办事、不徇私情。</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1.3．评标人员不得接受或参加投标人或与投标有关的单位、组织或个人的有碍公务的宴请、娱乐活动等，不得以任何形式弄虚作假。</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1.4．评标期间，评标人员不得随意出入评标地点、与外界通讯、会客等。</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1.5．在投标文件的审查、澄清、评价和比较以及授予合同的过程中，投标人对采购人、采购人人员及评标委员会成员施加影响的任何行为，都将导致被取消投标资格。</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1.7．评标过程中，当发表结论性意见时，先听取专家评委意见，用户评委随后发表意见。</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1.8．评标结束后，各评标人员应将全部资料整理上交采购人，严禁将评标过程中的任何资料带出评标现场向投标人或其他单位提供。</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1.9．在定标结果公布前应对评标委员会成员名单予以保密。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1.10．评标委员会对各投标人的商业秘密予以保密。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1.11．评标委员会成员应当客观、公正地履行职责，遵守职业道德，对所提出的评审意见承担个人责任。</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1.12．在整个评标过程中，投标人企图影响采购结果的任何活动，可能导致其投标失败。如有违法行为，将依法追究其法律责任。</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2、关于评标</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2.1</w:t>
      </w:r>
      <w:r>
        <w:rPr>
          <w:rFonts w:hint="eastAsia" w:ascii="华文中宋" w:hAnsi="华文中宋" w:eastAsia="华文中宋" w:cs="华文中宋"/>
          <w:b/>
          <w:bCs/>
          <w:szCs w:val="21"/>
          <w:lang w:val="en-US" w:eastAsia="zh-CN"/>
        </w:rPr>
        <w:t>报价</w:t>
      </w:r>
      <w:r>
        <w:rPr>
          <w:rFonts w:hint="eastAsia" w:ascii="华文中宋" w:hAnsi="华文中宋" w:eastAsia="华文中宋" w:cs="华文中宋"/>
          <w:b/>
          <w:bCs/>
          <w:szCs w:val="21"/>
        </w:rPr>
        <w:t>分</w:t>
      </w:r>
      <w:r>
        <w:rPr>
          <w:rFonts w:hint="eastAsia" w:ascii="华文中宋" w:hAnsi="华文中宋" w:eastAsia="华文中宋" w:cs="华文中宋"/>
          <w:b/>
          <w:bCs/>
          <w:szCs w:val="21"/>
          <w:lang w:val="en-US" w:eastAsia="zh-CN"/>
        </w:rPr>
        <w:t>40</w:t>
      </w:r>
      <w:r>
        <w:rPr>
          <w:rFonts w:hint="eastAsia" w:ascii="华文中宋" w:hAnsi="华文中宋" w:eastAsia="华文中宋" w:cs="华文中宋"/>
          <w:b/>
          <w:bCs/>
          <w:szCs w:val="21"/>
        </w:rPr>
        <w:t>分：</w:t>
      </w:r>
    </w:p>
    <w:p>
      <w:pPr>
        <w:spacing w:line="520" w:lineRule="exact"/>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满足招标文件要求且投标价格最低的投标报价为评标基准价，其价格分为满分。各个供应商的投标价与评标基准价相比，计算出投标报价得分。</w:t>
      </w:r>
    </w:p>
    <w:p>
      <w:pPr>
        <w:spacing w:line="520" w:lineRule="exact"/>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投标报价得分=(评标基准价／投标报价)×</w:t>
      </w:r>
      <w:r>
        <w:rPr>
          <w:rFonts w:hint="eastAsia" w:ascii="华文中宋" w:hAnsi="华文中宋" w:eastAsia="华文中宋" w:cs="华文中宋"/>
          <w:szCs w:val="21"/>
          <w:lang w:val="en-US" w:eastAsia="zh-CN"/>
        </w:rPr>
        <w:t>3</w:t>
      </w:r>
      <w:r>
        <w:rPr>
          <w:rFonts w:hint="eastAsia" w:ascii="华文中宋" w:hAnsi="华文中宋" w:eastAsia="华文中宋" w:cs="华文中宋"/>
          <w:szCs w:val="21"/>
        </w:rPr>
        <w:t>0%×100</w:t>
      </w:r>
    </w:p>
    <w:p>
      <w:pPr>
        <w:spacing w:line="520" w:lineRule="exact"/>
        <w:ind w:firstLine="420" w:firstLineChars="200"/>
        <w:rPr>
          <w:rFonts w:hint="eastAsia" w:ascii="华文中宋" w:hAnsi="华文中宋" w:eastAsia="华文中宋" w:cs="华文中宋"/>
          <w:szCs w:val="21"/>
        </w:rPr>
      </w:pPr>
      <w:r>
        <w:rPr>
          <w:rFonts w:hint="eastAsia" w:ascii="华文中宋" w:hAnsi="华文中宋" w:eastAsia="华文中宋" w:cs="华文中宋"/>
          <w:szCs w:val="21"/>
        </w:rPr>
        <w:t>注：以上评分保留小数2位。</w:t>
      </w:r>
    </w:p>
    <w:p>
      <w:pPr>
        <w:spacing w:line="520" w:lineRule="exact"/>
        <w:rPr>
          <w:rFonts w:hint="eastAsia" w:ascii="华文中宋" w:hAnsi="华文中宋" w:eastAsia="华文中宋" w:cs="华文中宋"/>
          <w:b/>
          <w:bCs/>
          <w:szCs w:val="21"/>
          <w:lang w:val="en-US" w:eastAsia="zh-CN"/>
        </w:rPr>
      </w:pPr>
      <w:r>
        <w:rPr>
          <w:rFonts w:hint="eastAsia" w:ascii="华文中宋" w:hAnsi="华文中宋" w:eastAsia="华文中宋" w:cs="华文中宋"/>
          <w:b/>
          <w:bCs/>
          <w:szCs w:val="21"/>
          <w:lang w:val="en-US" w:eastAsia="zh-CN"/>
        </w:rPr>
        <w:t>2.2商务分10分：</w:t>
      </w:r>
    </w:p>
    <w:p>
      <w:pPr>
        <w:numPr>
          <w:ilvl w:val="0"/>
          <w:numId w:val="1"/>
        </w:numPr>
        <w:spacing w:line="520" w:lineRule="exact"/>
        <w:ind w:firstLine="420" w:firstLineChars="200"/>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投标人自2015年7月1日以来（以合同签订时间为准）具有同类UPS铅酸蓄电池供货项目业绩，每个业绩得2分，加满为止。此项以合同复印件加盖公章作为业绩证明材料。（6分）</w:t>
      </w:r>
    </w:p>
    <w:p>
      <w:pPr>
        <w:numPr>
          <w:ilvl w:val="0"/>
          <w:numId w:val="1"/>
        </w:numPr>
        <w:spacing w:line="520" w:lineRule="exact"/>
        <w:ind w:firstLine="420" w:firstLineChars="200"/>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具有ISO9001：2000国际质量管理体系认证和中国节能产品认证每项得1分，最高得2分。（2分）</w:t>
      </w:r>
    </w:p>
    <w:p>
      <w:pPr>
        <w:numPr>
          <w:ilvl w:val="0"/>
          <w:numId w:val="1"/>
        </w:numPr>
        <w:spacing w:line="520" w:lineRule="exact"/>
        <w:ind w:firstLine="420" w:firstLineChars="200"/>
        <w:rPr>
          <w:rFonts w:hint="eastAsia" w:ascii="华文中宋" w:hAnsi="华文中宋" w:eastAsia="华文中宋" w:cs="华文中宋"/>
          <w:szCs w:val="21"/>
          <w:lang w:val="en-US" w:eastAsia="zh-CN"/>
        </w:rPr>
      </w:pPr>
      <w:r>
        <w:rPr>
          <w:rFonts w:hint="eastAsia" w:ascii="华文中宋" w:hAnsi="华文中宋" w:eastAsia="华文中宋" w:cs="华文中宋"/>
          <w:szCs w:val="21"/>
          <w:lang w:val="en-US" w:eastAsia="zh-CN"/>
        </w:rPr>
        <w:t>承诺在原有三年质保期基础上增加质保期1年加1分，2年加2分，最高得2分。（2分）</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2.</w:t>
      </w:r>
      <w:r>
        <w:rPr>
          <w:rFonts w:hint="eastAsia" w:ascii="华文中宋" w:hAnsi="华文中宋" w:eastAsia="华文中宋" w:cs="华文中宋"/>
          <w:b/>
          <w:bCs/>
          <w:szCs w:val="21"/>
          <w:lang w:val="en-US" w:eastAsia="zh-CN"/>
        </w:rPr>
        <w:t>3</w:t>
      </w:r>
      <w:r>
        <w:rPr>
          <w:rFonts w:hint="eastAsia" w:ascii="华文中宋" w:hAnsi="华文中宋" w:eastAsia="华文中宋" w:cs="华文中宋"/>
          <w:b/>
          <w:bCs/>
          <w:szCs w:val="21"/>
        </w:rPr>
        <w:t>技术分</w:t>
      </w:r>
      <w:r>
        <w:rPr>
          <w:rFonts w:hint="eastAsia" w:ascii="华文中宋" w:hAnsi="华文中宋" w:eastAsia="华文中宋" w:cs="华文中宋"/>
          <w:b/>
          <w:bCs/>
          <w:szCs w:val="21"/>
          <w:lang w:val="en-US" w:eastAsia="zh-CN"/>
        </w:rPr>
        <w:t>50</w:t>
      </w:r>
      <w:r>
        <w:rPr>
          <w:rFonts w:hint="eastAsia" w:ascii="华文中宋" w:hAnsi="华文中宋" w:eastAsia="华文中宋" w:cs="华文中宋"/>
          <w:b/>
          <w:bCs/>
          <w:szCs w:val="21"/>
        </w:rPr>
        <w:t>分</w:t>
      </w:r>
    </w:p>
    <w:p>
      <w:pPr>
        <w:spacing w:line="520" w:lineRule="exact"/>
        <w:rPr>
          <w:rFonts w:ascii="华文中宋" w:hAnsi="华文中宋" w:eastAsia="华文中宋" w:cs="华文中宋"/>
          <w:szCs w:val="21"/>
        </w:rPr>
      </w:pPr>
      <w:r>
        <w:rPr>
          <w:rFonts w:hint="eastAsia" w:ascii="华文中宋" w:hAnsi="华文中宋" w:eastAsia="华文中宋" w:cs="华文中宋"/>
          <w:szCs w:val="21"/>
        </w:rPr>
        <w:t xml:space="preserve">    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各投标人的得分允许一致。        </w:t>
      </w:r>
    </w:p>
    <w:p>
      <w:pPr>
        <w:spacing w:line="520" w:lineRule="exact"/>
        <w:ind w:firstLine="420" w:firstLineChars="200"/>
        <w:rPr>
          <w:rFonts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1</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产品的品牌知名度及质量可靠性</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p>
    <w:p>
      <w:pPr>
        <w:spacing w:line="520" w:lineRule="exact"/>
        <w:ind w:firstLine="420" w:firstLineChars="200"/>
        <w:rPr>
          <w:rFonts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2</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产品技术、投标人生产能力及供货包装运输保证</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p>
    <w:p>
      <w:pPr>
        <w:spacing w:line="520" w:lineRule="exact"/>
        <w:ind w:firstLine="420" w:firstLineChars="200"/>
        <w:rPr>
          <w:rFonts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3</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针对医院的</w:t>
      </w:r>
      <w:r>
        <w:rPr>
          <w:rFonts w:hint="eastAsia" w:ascii="华文中宋" w:hAnsi="华文中宋" w:eastAsia="华文中宋" w:cs="华文中宋"/>
          <w:szCs w:val="21"/>
        </w:rPr>
        <w:t>施工方案及保证措施是否具有针对性、</w:t>
      </w:r>
      <w:r>
        <w:rPr>
          <w:rFonts w:hint="eastAsia" w:ascii="华文中宋" w:hAnsi="华文中宋" w:eastAsia="华文中宋" w:cs="华文中宋"/>
          <w:szCs w:val="21"/>
          <w:lang w:val="en-US" w:eastAsia="zh-CN"/>
        </w:rPr>
        <w:t>是否</w:t>
      </w:r>
      <w:r>
        <w:rPr>
          <w:rFonts w:hint="eastAsia" w:ascii="华文中宋" w:hAnsi="华文中宋" w:eastAsia="华文中宋" w:cs="华文中宋"/>
          <w:szCs w:val="21"/>
        </w:rPr>
        <w:t>科学合理（</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p>
    <w:p>
      <w:pPr>
        <w:spacing w:line="520" w:lineRule="exact"/>
        <w:ind w:firstLine="420" w:firstLineChars="200"/>
        <w:rPr>
          <w:rFonts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4</w:t>
      </w:r>
      <w:r>
        <w:rPr>
          <w:rFonts w:hint="eastAsia" w:ascii="华文中宋" w:hAnsi="华文中宋" w:eastAsia="华文中宋" w:cs="华文中宋"/>
          <w:szCs w:val="21"/>
        </w:rPr>
        <w:t>）派驻现场的技术管理人员</w:t>
      </w:r>
      <w:r>
        <w:rPr>
          <w:rFonts w:hint="eastAsia" w:ascii="华文中宋" w:hAnsi="华文中宋" w:eastAsia="华文中宋" w:cs="华文中宋"/>
          <w:szCs w:val="21"/>
          <w:lang w:eastAsia="zh-CN"/>
        </w:rPr>
        <w:t>、</w:t>
      </w:r>
      <w:r>
        <w:rPr>
          <w:rFonts w:hint="eastAsia" w:ascii="华文中宋" w:hAnsi="华文中宋" w:eastAsia="华文中宋" w:cs="华文中宋"/>
          <w:szCs w:val="21"/>
          <w:lang w:val="en-US" w:eastAsia="zh-CN"/>
        </w:rPr>
        <w:t>施工人员</w:t>
      </w:r>
      <w:r>
        <w:rPr>
          <w:rFonts w:hint="eastAsia" w:ascii="华文中宋" w:hAnsi="华文中宋" w:eastAsia="华文中宋" w:cs="华文中宋"/>
          <w:szCs w:val="21"/>
        </w:rPr>
        <w:t>的专业配置是否合理（</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p>
    <w:p>
      <w:pPr>
        <w:spacing w:line="520" w:lineRule="exact"/>
        <w:ind w:firstLine="420" w:firstLineChars="200"/>
        <w:rPr>
          <w:rFonts w:ascii="华文中宋" w:hAnsi="华文中宋" w:eastAsia="华文中宋" w:cs="华文中宋"/>
          <w:szCs w:val="21"/>
        </w:rPr>
      </w:pP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5</w:t>
      </w:r>
      <w:r>
        <w:rPr>
          <w:rFonts w:hint="eastAsia" w:ascii="华文中宋" w:hAnsi="华文中宋" w:eastAsia="华文中宋" w:cs="华文中宋"/>
          <w:szCs w:val="21"/>
        </w:rPr>
        <w:t>）售后</w:t>
      </w:r>
      <w:r>
        <w:rPr>
          <w:rFonts w:hint="eastAsia" w:ascii="华文中宋" w:hAnsi="华文中宋" w:eastAsia="华文中宋" w:cs="华文中宋"/>
          <w:szCs w:val="21"/>
          <w:lang w:val="en-US" w:eastAsia="zh-CN"/>
        </w:rPr>
        <w:t>技术服务及</w:t>
      </w:r>
      <w:r>
        <w:rPr>
          <w:rFonts w:hint="eastAsia" w:ascii="华文中宋" w:hAnsi="华文中宋" w:eastAsia="华文中宋" w:cs="华文中宋"/>
          <w:szCs w:val="21"/>
        </w:rPr>
        <w:t>承诺。（</w:t>
      </w:r>
      <w:r>
        <w:rPr>
          <w:rFonts w:hint="eastAsia" w:ascii="华文中宋" w:hAnsi="华文中宋" w:eastAsia="华文中宋" w:cs="华文中宋"/>
          <w:szCs w:val="21"/>
          <w:lang w:val="en-US" w:eastAsia="zh-CN"/>
        </w:rPr>
        <w:t>10</w:t>
      </w:r>
      <w:r>
        <w:rPr>
          <w:rFonts w:hint="eastAsia" w:ascii="华文中宋" w:hAnsi="华文中宋" w:eastAsia="华文中宋" w:cs="华文中宋"/>
          <w:szCs w:val="21"/>
        </w:rPr>
        <w:t>分）</w:t>
      </w:r>
    </w:p>
    <w:p>
      <w:pPr>
        <w:spacing w:line="520" w:lineRule="exact"/>
        <w:rPr>
          <w:rFonts w:ascii="华文中宋" w:hAnsi="华文中宋" w:eastAsia="华文中宋" w:cs="华文中宋"/>
          <w:b/>
          <w:bCs/>
          <w:szCs w:val="21"/>
        </w:rPr>
      </w:pPr>
      <w:r>
        <w:rPr>
          <w:rFonts w:hint="eastAsia" w:ascii="华文中宋" w:hAnsi="华文中宋" w:eastAsia="华文中宋" w:cs="华文中宋"/>
          <w:b/>
          <w:bCs/>
          <w:szCs w:val="21"/>
        </w:rPr>
        <w:t>3、其他</w:t>
      </w:r>
    </w:p>
    <w:p>
      <w:pPr>
        <w:spacing w:line="520" w:lineRule="exact"/>
        <w:rPr>
          <w:rFonts w:hint="eastAsia"/>
          <w:lang w:val="en-US" w:eastAsia="zh-CN"/>
        </w:rPr>
      </w:pPr>
      <w:r>
        <w:rPr>
          <w:rFonts w:hint="eastAsia" w:ascii="华文中宋" w:hAnsi="华文中宋" w:eastAsia="华文中宋" w:cs="华文中宋"/>
          <w:szCs w:val="21"/>
        </w:rPr>
        <w:t xml:space="preserve">    </w:t>
      </w:r>
      <w:r>
        <w:rPr>
          <w:rFonts w:hint="eastAsia" w:ascii="华文中宋" w:hAnsi="华文中宋" w:eastAsia="华文中宋" w:cs="华文中宋"/>
          <w:szCs w:val="21"/>
          <w:lang w:val="en-US" w:eastAsia="zh-CN"/>
        </w:rPr>
        <w:t>2.2</w:t>
      </w:r>
      <w:r>
        <w:rPr>
          <w:rFonts w:hint="eastAsia" w:ascii="华文中宋" w:hAnsi="华文中宋" w:eastAsia="华文中宋" w:cs="华文中宋"/>
          <w:szCs w:val="21"/>
        </w:rPr>
        <w:t>，</w:t>
      </w:r>
      <w:r>
        <w:rPr>
          <w:rFonts w:hint="eastAsia" w:ascii="华文中宋" w:hAnsi="华文中宋" w:eastAsia="华文中宋" w:cs="华文中宋"/>
          <w:szCs w:val="21"/>
          <w:lang w:val="en-US" w:eastAsia="zh-CN"/>
        </w:rPr>
        <w:t>2.3</w:t>
      </w:r>
      <w:r>
        <w:rPr>
          <w:rFonts w:hint="eastAsia" w:ascii="华文中宋" w:hAnsi="华文中宋" w:eastAsia="华文中宋" w:cs="华文中宋"/>
          <w:szCs w:val="21"/>
        </w:rPr>
        <w:t xml:space="preserve"> 项由各评标专家分别打分，各投标单位的最终评分值取各专家评分的平均值。</w:t>
      </w:r>
      <w:r>
        <w:rPr>
          <w:rFonts w:hint="eastAsia" w:ascii="华文中宋" w:hAnsi="华文中宋" w:eastAsia="华文中宋" w:cs="华文中宋"/>
          <w:szCs w:val="21"/>
          <w:lang w:val="en-US" w:eastAsia="zh-CN"/>
        </w:rPr>
        <w:t>报价分、技术分、商务分</w:t>
      </w:r>
      <w:r>
        <w:rPr>
          <w:rFonts w:hint="eastAsia" w:ascii="华文中宋" w:hAnsi="华文中宋" w:eastAsia="华文中宋" w:cs="华文中宋"/>
          <w:szCs w:val="21"/>
        </w:rPr>
        <w:t>得分相加后为各投标单位的总得分。总得分最高和次高的投标单位为第一、第二中标候选单位。总得分相同则按商务报价得分的高低顺序排名次，高的为第一中标候选人。</w:t>
      </w:r>
    </w:p>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0"/>
      </w:rPr>
    </w:pPr>
    <w:r>
      <w:fldChar w:fldCharType="begin"/>
    </w:r>
    <w:r>
      <w:rPr>
        <w:rStyle w:val="10"/>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0"/>
      </w:rPr>
      <w:instrText xml:space="preserve"> PAGE </w:instrText>
    </w:r>
    <w:r>
      <w:fldChar w:fldCharType="separate"/>
    </w:r>
    <w:r>
      <w:rPr>
        <w:rStyle w:val="10"/>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15C547"/>
    <w:multiLevelType w:val="singleLevel"/>
    <w:tmpl w:val="C015C5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7C904D2"/>
    <w:rsid w:val="07CD72E2"/>
    <w:rsid w:val="09AC7B34"/>
    <w:rsid w:val="13AA5AD0"/>
    <w:rsid w:val="1DF07351"/>
    <w:rsid w:val="1E755027"/>
    <w:rsid w:val="25F76C1E"/>
    <w:rsid w:val="26212EF7"/>
    <w:rsid w:val="27622B4F"/>
    <w:rsid w:val="2BF96F6F"/>
    <w:rsid w:val="2D6B50D0"/>
    <w:rsid w:val="347D0A86"/>
    <w:rsid w:val="353324D4"/>
    <w:rsid w:val="36477320"/>
    <w:rsid w:val="38EF7149"/>
    <w:rsid w:val="38FC7F3D"/>
    <w:rsid w:val="3A140A17"/>
    <w:rsid w:val="49D32A72"/>
    <w:rsid w:val="4AAC6732"/>
    <w:rsid w:val="57E906EE"/>
    <w:rsid w:val="64C17567"/>
    <w:rsid w:val="64EC31D0"/>
    <w:rsid w:val="67564F5E"/>
    <w:rsid w:val="67832C8C"/>
    <w:rsid w:val="7D1619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0">
    <w:name w:val="page number"/>
    <w:basedOn w:val="9"/>
    <w:qFormat/>
    <w:uiPriority w:val="0"/>
  </w:style>
  <w:style w:type="paragraph" w:customStyle="1" w:styleId="12">
    <w:name w:val="正文2"/>
    <w:basedOn w:val="1"/>
    <w:qFormat/>
    <w:uiPriority w:val="0"/>
    <w:pPr>
      <w:spacing w:before="156" w:beforeLines="0"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Hami猫不迷糊</cp:lastModifiedBy>
  <cp:lastPrinted>2018-07-17T01:54:00Z</cp:lastPrinted>
  <dcterms:modified xsi:type="dcterms:W3CDTF">2018-07-17T06:45:09Z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