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84"/>
          <w14:shadow w14:blurRad="50800" w14:dist="38100" w14:dir="2700000" w14:sx="100000" w14:sy="100000" w14:kx="0" w14:ky="0" w14:algn="tl">
            <w14:srgbClr w14:val="000000">
              <w14:alpha w14:val="60000"/>
            </w14:srgbClr>
          </w14:shadow>
        </w:rPr>
      </w:pPr>
      <w:r>
        <w:rPr>
          <w:rFonts w:hint="eastAsia" w:ascii="宋体" w:hAnsi="宋体" w:cs="宋体"/>
          <w:color w:val="auto"/>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color w:val="auto"/>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color w:val="auto"/>
          <w:sz w:val="32"/>
        </w:rPr>
      </w:pPr>
    </w:p>
    <w:p>
      <w:pPr>
        <w:ind w:firstLine="600"/>
        <w:rPr>
          <w:rFonts w:hint="eastAsia" w:ascii="宋体" w:hAnsi="宋体" w:eastAsia="宋体" w:cs="宋体"/>
          <w:color w:val="auto"/>
          <w:sz w:val="32"/>
        </w:rPr>
      </w:pPr>
    </w:p>
    <w:p>
      <w:pPr>
        <w:rPr>
          <w:rFonts w:hint="eastAsia" w:ascii="宋体" w:hAnsi="宋体" w:eastAsia="宋体" w:cs="宋体"/>
          <w:color w:val="auto"/>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color w:val="auto"/>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pPr>
      <w:r>
        <w:rPr>
          <w:rFonts w:hint="eastAsia" w:ascii="宋体" w:hAnsi="宋体" w:cs="宋体"/>
          <w:color w:val="auto"/>
          <w:sz w:val="48"/>
          <w:u w:val="single"/>
          <w:lang w:eastAsia="zh-CN"/>
          <w14:shadow w14:blurRad="50800" w14:dist="38100" w14:dir="2700000" w14:sx="100000" w14:sy="100000" w14:kx="0" w14:ky="0" w14:algn="tl">
            <w14:srgbClr w14:val="000000">
              <w14:alpha w14:val="60000"/>
            </w14:srgbClr>
          </w14:shadow>
        </w:rPr>
        <w:t>浙江省肿瘤医院景观花箱</w:t>
      </w:r>
      <w:r>
        <w:rPr>
          <w:rFonts w:hint="eastAsia" w:ascii="宋体" w:hAnsi="宋体" w:cs="宋体"/>
          <w:color w:val="auto"/>
          <w:sz w:val="48"/>
          <w:u w:val="single"/>
          <w:lang w:val="en-US" w:eastAsia="zh-CN"/>
          <w14:shadow w14:blurRad="50800" w14:dist="38100" w14:dir="2700000" w14:sx="100000" w14:sy="100000" w14:kx="0" w14:ky="0" w14:algn="tl">
            <w14:srgbClr w14:val="000000">
              <w14:alpha w14:val="60000"/>
            </w14:srgbClr>
          </w14:shadow>
        </w:rPr>
        <w:t>采购</w:t>
      </w:r>
      <w:r>
        <w:rPr>
          <w:rFonts w:hint="eastAsia" w:ascii="宋体" w:hAnsi="宋体" w:cs="宋体"/>
          <w:color w:val="auto"/>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pgBorders>
            <w:top w:val="none" w:sz="0" w:space="0"/>
            <w:left w:val="none" w:sz="0" w:space="0"/>
            <w:bottom w:val="none" w:sz="0" w:space="0"/>
            <w:right w:val="none" w:sz="0" w:space="0"/>
          </w:pgBorders>
          <w:cols w:space="720" w:num="1"/>
          <w:titlePg/>
          <w:docGrid w:type="lines" w:linePitch="286" w:charSpace="0"/>
        </w:sectPr>
      </w:pP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二○一</w:t>
      </w:r>
      <w:r>
        <w:rPr>
          <w:rFonts w:hint="eastAsia" w:ascii="宋体" w:hAnsi="宋体" w:cs="宋体"/>
          <w:color w:val="auto"/>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年</w:t>
      </w:r>
      <w:r>
        <w:rPr>
          <w:rFonts w:hint="eastAsia" w:ascii="宋体" w:hAnsi="宋体" w:cs="宋体"/>
          <w:color w:val="auto"/>
          <w:sz w:val="32"/>
          <w:lang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color w:val="auto"/>
          <w:sz w:val="36"/>
          <w:szCs w:val="36"/>
          <w:lang w:val="zh-CN"/>
        </w:rPr>
        <w:t>浙江省肿瘤医院</w:t>
      </w:r>
      <w:r>
        <w:rPr>
          <w:rFonts w:hint="eastAsia" w:ascii="华文细黑" w:hAnsi="华文细黑" w:eastAsia="华文细黑" w:cs="华文细黑"/>
          <w:b/>
          <w:bCs/>
          <w:color w:val="auto"/>
          <w:sz w:val="36"/>
          <w:szCs w:val="36"/>
          <w:lang w:val="en-US" w:eastAsia="zh-CN"/>
        </w:rPr>
        <w:t>景观花箱采购项目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景观花箱采购</w:t>
      </w:r>
      <w:r>
        <w:rPr>
          <w:rFonts w:hint="eastAsia" w:ascii="华文细黑" w:hAnsi="华文细黑" w:eastAsia="华文细黑" w:cs="华文细黑"/>
          <w:color w:val="auto"/>
          <w:sz w:val="24"/>
          <w:szCs w:val="24"/>
        </w:rPr>
        <w:t>项目招标，现将有关事项公告如下：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景观花箱采购</w:t>
      </w:r>
      <w:r>
        <w:rPr>
          <w:rFonts w:hint="eastAsia" w:ascii="华文细黑" w:hAnsi="华文细黑" w:eastAsia="华文细黑" w:cs="华文细黑"/>
          <w:color w:val="auto"/>
          <w:sz w:val="24"/>
          <w:szCs w:val="24"/>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r>
        <w:rPr>
          <w:rFonts w:hint="eastAsia" w:ascii="华文细黑" w:hAnsi="华文细黑" w:eastAsia="华文细黑" w:cs="华文细黑"/>
          <w:b w:val="0"/>
          <w:bCs/>
          <w:color w:val="auto"/>
          <w:kern w:val="0"/>
          <w:sz w:val="24"/>
          <w:szCs w:val="24"/>
          <w:lang w:val="en-US" w:eastAsia="zh-CN"/>
        </w:rPr>
        <w:t>1.</w:t>
      </w:r>
      <w:r>
        <w:rPr>
          <w:rFonts w:hint="eastAsia" w:ascii="华文细黑" w:hAnsi="华文细黑" w:eastAsia="华文细黑" w:cs="华文细黑"/>
          <w:b w:val="0"/>
          <w:bCs/>
          <w:color w:val="auto"/>
          <w:kern w:val="0"/>
          <w:sz w:val="24"/>
          <w:szCs w:val="24"/>
        </w:rPr>
        <w:t>货物（品牌、规格、厂家、产地）、服务名称、数量、单价及合同分项价格、总价：</w:t>
      </w: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p>
      <w:pPr>
        <w:spacing w:line="400" w:lineRule="exact"/>
        <w:ind w:left="-426" w:right="-340" w:rightChars="-162" w:firstLine="480" w:firstLineChars="200"/>
        <w:rPr>
          <w:rFonts w:hint="eastAsia" w:ascii="华文细黑" w:hAnsi="华文细黑" w:eastAsia="华文细黑" w:cs="华文细黑"/>
          <w:b w:val="0"/>
          <w:bCs/>
          <w:color w:val="auto"/>
          <w:kern w:val="0"/>
          <w:sz w:val="24"/>
          <w:szCs w:val="24"/>
        </w:rPr>
      </w:pPr>
    </w:p>
    <w:tbl>
      <w:tblPr>
        <w:tblStyle w:val="11"/>
        <w:tblpPr w:leftFromText="180" w:rightFromText="180" w:vertAnchor="text" w:horzAnchor="page" w:tblpX="534" w:tblpY="17"/>
        <w:tblOverlap w:val="never"/>
        <w:tblW w:w="10917" w:type="dxa"/>
        <w:tblInd w:w="0" w:type="dxa"/>
        <w:tblLayout w:type="fixed"/>
        <w:tblCellMar>
          <w:top w:w="0" w:type="dxa"/>
          <w:left w:w="30" w:type="dxa"/>
          <w:bottom w:w="0" w:type="dxa"/>
          <w:right w:w="30" w:type="dxa"/>
        </w:tblCellMar>
      </w:tblPr>
      <w:tblGrid>
        <w:gridCol w:w="550"/>
        <w:gridCol w:w="3583"/>
        <w:gridCol w:w="617"/>
        <w:gridCol w:w="1183"/>
        <w:gridCol w:w="2334"/>
        <w:gridCol w:w="900"/>
        <w:gridCol w:w="900"/>
        <w:gridCol w:w="850"/>
      </w:tblGrid>
      <w:tr>
        <w:tblPrEx>
          <w:tblLayout w:type="fixed"/>
          <w:tblCellMar>
            <w:top w:w="0" w:type="dxa"/>
            <w:left w:w="30" w:type="dxa"/>
            <w:bottom w:w="0" w:type="dxa"/>
            <w:right w:w="30" w:type="dxa"/>
          </w:tblCellMar>
        </w:tblPrEx>
        <w:trPr>
          <w:trHeight w:val="406" w:hRule="atLeast"/>
        </w:trPr>
        <w:tc>
          <w:tcPr>
            <w:tcW w:w="550" w:type="dxa"/>
            <w:tcBorders>
              <w:top w:val="doub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3583"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示意</w:t>
            </w:r>
            <w:r>
              <w:rPr>
                <w:rFonts w:hint="eastAsia" w:ascii="宋体" w:hAnsi="宋体" w:eastAsia="宋体" w:cs="宋体"/>
                <w:color w:val="auto"/>
                <w:szCs w:val="21"/>
              </w:rPr>
              <w:t>图片</w:t>
            </w:r>
          </w:p>
        </w:tc>
        <w:tc>
          <w:tcPr>
            <w:tcW w:w="617"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183"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规格</w:t>
            </w:r>
            <w:r>
              <w:rPr>
                <w:rFonts w:hint="eastAsia" w:ascii="宋体" w:hAnsi="宋体" w:cs="宋体"/>
                <w:color w:val="auto"/>
                <w:szCs w:val="21"/>
                <w:lang w:val="en-US" w:eastAsia="zh-CN"/>
              </w:rPr>
              <w:t>MM</w:t>
            </w:r>
            <w:r>
              <w:rPr>
                <w:rFonts w:hint="eastAsia" w:ascii="宋体" w:hAnsi="宋体" w:cs="宋体"/>
                <w:color w:val="auto"/>
                <w:szCs w:val="21"/>
                <w:lang w:eastAsia="zh-CN"/>
              </w:rPr>
              <w:t>（长</w:t>
            </w:r>
            <w:r>
              <w:rPr>
                <w:rFonts w:hint="eastAsia" w:ascii="宋体" w:hAnsi="宋体" w:cs="宋体"/>
                <w:color w:val="auto"/>
                <w:szCs w:val="21"/>
                <w:lang w:val="en-US" w:eastAsia="zh-CN"/>
              </w:rPr>
              <w:t>*宽*高</w:t>
            </w:r>
            <w:r>
              <w:rPr>
                <w:rFonts w:hint="eastAsia" w:ascii="宋体" w:hAnsi="宋体" w:cs="宋体"/>
                <w:color w:val="auto"/>
                <w:szCs w:val="21"/>
                <w:lang w:eastAsia="zh-CN"/>
              </w:rPr>
              <w:t>）</w:t>
            </w:r>
          </w:p>
        </w:tc>
        <w:tc>
          <w:tcPr>
            <w:tcW w:w="2334"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材质</w:t>
            </w:r>
          </w:p>
        </w:tc>
        <w:tc>
          <w:tcPr>
            <w:tcW w:w="900"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数量(张)</w:t>
            </w:r>
          </w:p>
        </w:tc>
        <w:tc>
          <w:tcPr>
            <w:tcW w:w="900"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单价(元)</w:t>
            </w:r>
          </w:p>
        </w:tc>
        <w:tc>
          <w:tcPr>
            <w:tcW w:w="850" w:type="dxa"/>
            <w:tcBorders>
              <w:top w:val="doub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合价(元)</w:t>
            </w:r>
          </w:p>
        </w:tc>
      </w:tr>
      <w:tr>
        <w:tblPrEx>
          <w:tblLayout w:type="fixed"/>
          <w:tblCellMar>
            <w:top w:w="0" w:type="dxa"/>
            <w:left w:w="30" w:type="dxa"/>
            <w:bottom w:w="0" w:type="dxa"/>
            <w:right w:w="30" w:type="dxa"/>
          </w:tblCellMar>
        </w:tblPrEx>
        <w:trPr>
          <w:trHeight w:val="2144" w:hRule="atLeast"/>
        </w:trPr>
        <w:tc>
          <w:tcPr>
            <w:tcW w:w="550" w:type="dxa"/>
            <w:vMerge w:val="restart"/>
            <w:tcBorders>
              <w:top w:val="single" w:color="auto" w:sz="4" w:space="0"/>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p>
            <w:pPr>
              <w:autoSpaceDE w:val="0"/>
              <w:autoSpaceDN w:val="0"/>
              <w:adjustRightInd w:val="0"/>
              <w:spacing w:line="400" w:lineRule="exact"/>
              <w:jc w:val="center"/>
              <w:rPr>
                <w:rFonts w:hint="eastAsia" w:ascii="宋体" w:hAnsi="宋体" w:eastAsia="宋体" w:cs="宋体"/>
                <w:color w:val="auto"/>
                <w:szCs w:val="21"/>
              </w:rPr>
            </w:pPr>
          </w:p>
        </w:tc>
        <w:tc>
          <w:tcPr>
            <w:tcW w:w="358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drawing>
                <wp:anchor distT="0" distB="0" distL="114300" distR="114300" simplePos="0" relativeHeight="251661312" behindDoc="0" locked="0" layoutInCell="1" allowOverlap="1">
                  <wp:simplePos x="0" y="0"/>
                  <wp:positionH relativeFrom="column">
                    <wp:posOffset>236220</wp:posOffset>
                  </wp:positionH>
                  <wp:positionV relativeFrom="paragraph">
                    <wp:posOffset>446405</wp:posOffset>
                  </wp:positionV>
                  <wp:extent cx="1760220" cy="1617345"/>
                  <wp:effectExtent l="0" t="0" r="11430" b="1905"/>
                  <wp:wrapSquare wrapText="bothSides"/>
                  <wp:docPr id="2" name="图片 2" descr="IMG_20180322_08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80322_083100"/>
                          <pic:cNvPicPr>
                            <a:picLocks noChangeAspect="1"/>
                          </pic:cNvPicPr>
                        </pic:nvPicPr>
                        <pic:blipFill>
                          <a:blip r:embed="rId12"/>
                          <a:srcRect l="5746" t="7832" r="21109" b="2504"/>
                          <a:stretch>
                            <a:fillRect/>
                          </a:stretch>
                        </pic:blipFill>
                        <pic:spPr>
                          <a:xfrm>
                            <a:off x="0" y="0"/>
                            <a:ext cx="1760220" cy="1617345"/>
                          </a:xfrm>
                          <a:prstGeom prst="rect">
                            <a:avLst/>
                          </a:prstGeom>
                        </pic:spPr>
                      </pic:pic>
                    </a:graphicData>
                  </a:graphic>
                </wp:anchor>
              </w:drawing>
            </w:r>
          </w:p>
        </w:tc>
        <w:tc>
          <w:tcPr>
            <w:tcW w:w="617" w:type="dxa"/>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cs="宋体"/>
                <w:color w:val="auto"/>
                <w:szCs w:val="21"/>
                <w:lang w:eastAsia="zh-CN"/>
              </w:rPr>
            </w:pPr>
          </w:p>
          <w:p>
            <w:pPr>
              <w:autoSpaceDE w:val="0"/>
              <w:autoSpaceDN w:val="0"/>
              <w:adjustRightInd w:val="0"/>
              <w:spacing w:line="400" w:lineRule="exact"/>
              <w:jc w:val="center"/>
              <w:rPr>
                <w:rFonts w:hint="eastAsia" w:ascii="宋体" w:hAnsi="宋体" w:cs="宋体"/>
                <w:color w:val="auto"/>
                <w:szCs w:val="21"/>
                <w:lang w:eastAsia="zh-CN"/>
              </w:rPr>
            </w:pPr>
          </w:p>
          <w:p>
            <w:pPr>
              <w:autoSpaceDE w:val="0"/>
              <w:autoSpaceDN w:val="0"/>
              <w:adjustRightInd w:val="0"/>
              <w:spacing w:line="400" w:lineRule="exact"/>
              <w:jc w:val="center"/>
              <w:rPr>
                <w:rFonts w:hint="eastAsia" w:ascii="宋体" w:hAnsi="宋体" w:cs="宋体"/>
                <w:color w:val="auto"/>
                <w:szCs w:val="21"/>
                <w:lang w:eastAsia="zh-CN"/>
              </w:rPr>
            </w:pPr>
          </w:p>
          <w:p>
            <w:pPr>
              <w:autoSpaceDE w:val="0"/>
              <w:autoSpaceDN w:val="0"/>
              <w:adjustRightInd w:val="0"/>
              <w:spacing w:line="400" w:lineRule="exact"/>
              <w:jc w:val="center"/>
              <w:rPr>
                <w:rFonts w:hint="eastAsia" w:ascii="宋体" w:hAnsi="宋体" w:cs="宋体"/>
                <w:color w:val="auto"/>
                <w:szCs w:val="21"/>
                <w:lang w:eastAsia="zh-CN"/>
              </w:rPr>
            </w:pPr>
          </w:p>
          <w:p>
            <w:pPr>
              <w:autoSpaceDE w:val="0"/>
              <w:autoSpaceDN w:val="0"/>
              <w:adjustRightInd w:val="0"/>
              <w:spacing w:line="400" w:lineRule="exact"/>
              <w:jc w:val="center"/>
              <w:rPr>
                <w:rFonts w:hint="eastAsia" w:ascii="宋体" w:hAnsi="宋体" w:cs="宋体"/>
                <w:color w:val="auto"/>
                <w:szCs w:val="21"/>
                <w:lang w:eastAsia="zh-CN"/>
              </w:rPr>
            </w:pPr>
            <w:r>
              <w:rPr>
                <w:rFonts w:hint="eastAsia" w:ascii="宋体" w:hAnsi="宋体" w:cs="宋体"/>
                <w:color w:val="auto"/>
                <w:szCs w:val="21"/>
                <w:lang w:eastAsia="zh-CN"/>
              </w:rPr>
              <w:t>花箱</w:t>
            </w:r>
          </w:p>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647*500*700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塑木材质，进口高分子漆喷涂，防水、防晒、防虫蚁。</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p>
        </w:tc>
      </w:tr>
      <w:tr>
        <w:tblPrEx>
          <w:tblLayout w:type="fixed"/>
          <w:tblCellMar>
            <w:top w:w="0" w:type="dxa"/>
            <w:left w:w="30" w:type="dxa"/>
            <w:bottom w:w="0" w:type="dxa"/>
            <w:right w:w="30" w:type="dxa"/>
          </w:tblCellMar>
        </w:tblPrEx>
        <w:trPr>
          <w:trHeight w:val="1418" w:hRule="atLeast"/>
        </w:trPr>
        <w:tc>
          <w:tcPr>
            <w:tcW w:w="550" w:type="dxa"/>
            <w:vMerge w:val="continue"/>
            <w:tcBorders>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3583"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617" w:type="dxa"/>
            <w:tcBorders>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547*500*700</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rPr>
            </w:pPr>
            <w:r>
              <w:rPr>
                <w:rFonts w:hint="eastAsia" w:ascii="宋体" w:hAnsi="宋体" w:cs="宋体"/>
                <w:color w:val="auto"/>
                <w:szCs w:val="21"/>
                <w:lang w:eastAsia="zh-CN"/>
              </w:rPr>
              <w:t>塑木材质，进口高分子漆喷涂，防水、防晒、防虫蚁。</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22</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p>
        </w:tc>
      </w:tr>
      <w:tr>
        <w:tblPrEx>
          <w:tblLayout w:type="fixed"/>
          <w:tblCellMar>
            <w:top w:w="0" w:type="dxa"/>
            <w:left w:w="30" w:type="dxa"/>
            <w:bottom w:w="0" w:type="dxa"/>
            <w:right w:w="30" w:type="dxa"/>
          </w:tblCellMar>
        </w:tblPrEx>
        <w:trPr>
          <w:trHeight w:val="1418" w:hRule="atLeast"/>
        </w:trPr>
        <w:tc>
          <w:tcPr>
            <w:tcW w:w="550" w:type="dxa"/>
            <w:vMerge w:val="continue"/>
            <w:tcBorders>
              <w:left w:val="doub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p>
        </w:tc>
        <w:tc>
          <w:tcPr>
            <w:tcW w:w="358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p>
        </w:tc>
        <w:tc>
          <w:tcPr>
            <w:tcW w:w="617"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eastAsia="zh-CN"/>
              </w:rPr>
            </w:pPr>
            <w:r>
              <w:rPr>
                <w:rFonts w:hint="eastAsia"/>
                <w:color w:val="auto"/>
                <w:lang w:eastAsia="zh-CN"/>
              </w:rPr>
              <w:t>圆弧花箱</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620*500*700</w:t>
            </w: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lang w:val="en-US" w:eastAsia="zh-CN"/>
              </w:rPr>
            </w:pPr>
            <w:r>
              <w:rPr>
                <w:rFonts w:hint="eastAsia" w:ascii="宋体" w:hAnsi="宋体" w:cs="宋体"/>
                <w:color w:val="auto"/>
                <w:szCs w:val="21"/>
                <w:lang w:eastAsia="zh-CN"/>
              </w:rPr>
              <w:t>塑木材质，进口高分子漆喷涂，防水、防晒、防虫蚁。</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28</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cs="宋体"/>
                <w:color w:val="auto"/>
                <w:szCs w:val="21"/>
                <w:lang w:val="en-US" w:eastAsia="zh-CN"/>
              </w:rPr>
            </w:pPr>
          </w:p>
        </w:tc>
      </w:tr>
      <w:tr>
        <w:tblPrEx>
          <w:tblLayout w:type="fixed"/>
          <w:tblCellMar>
            <w:top w:w="0" w:type="dxa"/>
            <w:left w:w="30" w:type="dxa"/>
            <w:bottom w:w="0" w:type="dxa"/>
            <w:right w:w="30" w:type="dxa"/>
          </w:tblCellMar>
        </w:tblPrEx>
        <w:trPr>
          <w:cantSplit/>
          <w:trHeight w:val="198" w:hRule="atLeast"/>
        </w:trPr>
        <w:tc>
          <w:tcPr>
            <w:tcW w:w="550" w:type="dxa"/>
            <w:vMerge w:val="restart"/>
            <w:tcBorders>
              <w:top w:val="single" w:color="auto" w:sz="4" w:space="0"/>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both"/>
              <w:rPr>
                <w:rFonts w:hint="eastAsia" w:ascii="宋体" w:hAnsi="宋体" w:eastAsia="宋体" w:cs="宋体"/>
                <w:color w:val="auto"/>
                <w:szCs w:val="21"/>
              </w:rPr>
            </w:pPr>
          </w:p>
          <w:p>
            <w:pPr>
              <w:autoSpaceDE w:val="0"/>
              <w:autoSpaceDN w:val="0"/>
              <w:adjustRightInd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铁艺花架</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3300*400*1500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373"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2800*400*1500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198"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2200*400*1500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198"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1600*400*1025</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198"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2000*400*1025</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263"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900*400*550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263" w:hRule="atLeast"/>
        </w:trPr>
        <w:tc>
          <w:tcPr>
            <w:tcW w:w="550"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1300*400*550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263" w:hRule="atLeast"/>
        </w:trPr>
        <w:tc>
          <w:tcPr>
            <w:tcW w:w="550" w:type="dxa"/>
            <w:vMerge w:val="continue"/>
            <w:tcBorders>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420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1050*400*1500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cs="宋体"/>
                <w:color w:val="auto"/>
                <w:szCs w:val="21"/>
                <w:lang w:eastAsia="zh-CN"/>
              </w:rPr>
              <w:t>优质铁艺骨架，外部静电高温烤漆防锈</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c>
          <w:tcPr>
            <w:tcW w:w="85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p>
        </w:tc>
      </w:tr>
      <w:tr>
        <w:tblPrEx>
          <w:tblLayout w:type="fixed"/>
          <w:tblCellMar>
            <w:top w:w="0" w:type="dxa"/>
            <w:left w:w="30" w:type="dxa"/>
            <w:bottom w:w="0" w:type="dxa"/>
            <w:right w:w="30" w:type="dxa"/>
          </w:tblCellMar>
        </w:tblPrEx>
        <w:trPr>
          <w:cantSplit/>
          <w:trHeight w:val="445" w:hRule="atLeast"/>
        </w:trPr>
        <w:tc>
          <w:tcPr>
            <w:tcW w:w="10917" w:type="dxa"/>
            <w:gridSpan w:val="8"/>
            <w:tcBorders>
              <w:top w:val="single" w:color="auto" w:sz="4"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b/>
                <w:bCs/>
                <w:color w:val="auto"/>
                <w:szCs w:val="21"/>
              </w:rPr>
              <w:t>报价</w:t>
            </w: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人民币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元整</w:t>
            </w:r>
            <w:r>
              <w:rPr>
                <w:rFonts w:hint="eastAsia" w:ascii="宋体" w:hAnsi="宋体" w:eastAsia="宋体" w:cs="宋体"/>
                <w:color w:val="auto"/>
                <w:szCs w:val="21"/>
              </w:rPr>
              <w:t xml:space="preserve">  </w:t>
            </w:r>
          </w:p>
          <w:p>
            <w:pPr>
              <w:autoSpaceDE w:val="0"/>
              <w:autoSpaceDN w:val="0"/>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 xml:space="preserve">  （人民币小写）¥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元</w:t>
            </w:r>
          </w:p>
        </w:tc>
      </w:tr>
    </w:tbl>
    <w:p>
      <w:pPr>
        <w:spacing w:line="400" w:lineRule="exact"/>
        <w:ind w:right="-340" w:rightChars="-162"/>
        <w:rPr>
          <w:rFonts w:ascii="华文细黑" w:hAnsi="华文细黑" w:eastAsia="华文细黑" w:cs="华文细黑"/>
          <w:color w:val="auto"/>
          <w:kern w:val="0"/>
          <w:sz w:val="24"/>
          <w:szCs w:val="24"/>
          <w:highlight w:val="yellow"/>
        </w:rPr>
      </w:pPr>
    </w:p>
    <w:p>
      <w:pPr>
        <w:numPr>
          <w:ilvl w:val="0"/>
          <w:numId w:val="0"/>
        </w:numPr>
        <w:spacing w:line="400" w:lineRule="exact"/>
        <w:ind w:right="-340" w:rightChars="-162"/>
        <w:rPr>
          <w:rFonts w:hint="eastAsia" w:ascii="华文细黑" w:hAnsi="华文细黑" w:eastAsia="华文细黑" w:cs="华文细黑"/>
          <w:color w:val="auto"/>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合同价格为货物到达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保管费、货物仓储费、二次搬运费（搬运至各区域所发生的全部费用）、检测验收费（有关法律法规规定的货物进场、材料和成品抽检、最终检测及验收费）及质保期内</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3.本项目表格内所列货物数量为暂定数量，最终以实际结算为准，</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4.如涉及款式、造型、颜色调整，不二次计价，单价包含医院LOGO喷漆费用。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1.投标人类型要求：符合《中华人民共和国政府采购法》第二十二条规定的有供货能力的家具生产厂家（不接受代理商投标）。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val="0"/>
          <w:bCs w:val="0"/>
          <w:color w:val="auto"/>
          <w:sz w:val="24"/>
          <w:szCs w:val="24"/>
          <w:lang w:val="en-US" w:eastAsia="zh-CN"/>
        </w:rPr>
      </w:pPr>
      <w:r>
        <w:rPr>
          <w:rFonts w:hint="eastAsia" w:ascii="华文细黑" w:hAnsi="华文细黑" w:eastAsia="华文细黑" w:cs="华文细黑"/>
          <w:color w:val="auto"/>
          <w:sz w:val="24"/>
          <w:szCs w:val="24"/>
          <w:lang w:val="en-US" w:eastAsia="zh-CN"/>
        </w:rPr>
        <w:t>2.投标产品必须符合国家法律法规规定的质量及环保标准。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技术方案、实施方案</w:t>
      </w:r>
      <w:r>
        <w:rPr>
          <w:rFonts w:hint="eastAsia" w:ascii="华文细黑" w:hAnsi="华文细黑" w:eastAsia="华文细黑" w:cs="华文细黑"/>
          <w:color w:val="auto"/>
          <w:sz w:val="24"/>
          <w:szCs w:val="24"/>
        </w:rPr>
        <w:t>等相关证明材料</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4.响应文件正本一份，副本贰份。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本次报价总价不得超过10万元，超过10万元做无效标处理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递交投标文件截止时间：2018年</w:t>
      </w:r>
      <w:r>
        <w:rPr>
          <w:rFonts w:hint="eastAsia" w:ascii="华文细黑" w:hAnsi="华文细黑" w:eastAsia="华文细黑" w:cs="华文细黑"/>
          <w:color w:val="auto"/>
          <w:sz w:val="24"/>
          <w:szCs w:val="24"/>
          <w:highlight w:val="none"/>
          <w:lang w:val="en-US" w:eastAsia="zh-CN"/>
        </w:rPr>
        <w:t>4</w:t>
      </w:r>
      <w:r>
        <w:rPr>
          <w:rFonts w:hint="eastAsia" w:ascii="华文细黑" w:hAnsi="华文细黑" w:eastAsia="华文细黑" w:cs="华文细黑"/>
          <w:color w:val="auto"/>
          <w:sz w:val="24"/>
          <w:szCs w:val="24"/>
          <w:highlight w:val="none"/>
        </w:rPr>
        <w:t>月</w:t>
      </w:r>
      <w:r>
        <w:rPr>
          <w:rFonts w:hint="eastAsia" w:ascii="华文细黑" w:hAnsi="华文细黑" w:eastAsia="华文细黑" w:cs="华文细黑"/>
          <w:color w:val="auto"/>
          <w:sz w:val="24"/>
          <w:szCs w:val="24"/>
          <w:highlight w:val="none"/>
          <w:lang w:val="en-US" w:eastAsia="zh-CN"/>
        </w:rPr>
        <w:t>2</w:t>
      </w:r>
      <w:r>
        <w:rPr>
          <w:rFonts w:hint="eastAsia" w:ascii="华文细黑" w:hAnsi="华文细黑" w:eastAsia="华文细黑" w:cs="华文细黑"/>
          <w:color w:val="auto"/>
          <w:sz w:val="24"/>
          <w:szCs w:val="24"/>
          <w:highlight w:val="none"/>
        </w:rPr>
        <w:t>日（周</w:t>
      </w:r>
      <w:r>
        <w:rPr>
          <w:rFonts w:hint="eastAsia" w:ascii="华文细黑" w:hAnsi="华文细黑" w:eastAsia="华文细黑" w:cs="华文细黑"/>
          <w:color w:val="auto"/>
          <w:sz w:val="24"/>
          <w:szCs w:val="24"/>
          <w:highlight w:val="none"/>
          <w:lang w:val="en-US" w:eastAsia="zh-CN"/>
        </w:rPr>
        <w:t>一</w:t>
      </w:r>
      <w:r>
        <w:rPr>
          <w:rFonts w:hint="eastAsia" w:ascii="华文细黑" w:hAnsi="华文细黑" w:eastAsia="华文细黑" w:cs="华文细黑"/>
          <w:color w:val="auto"/>
          <w:sz w:val="24"/>
          <w:szCs w:val="24"/>
          <w:highlight w:val="none"/>
        </w:rPr>
        <w:t>）1</w:t>
      </w:r>
      <w:r>
        <w:rPr>
          <w:rFonts w:hint="eastAsia" w:ascii="华文细黑" w:hAnsi="华文细黑" w:eastAsia="华文细黑" w:cs="华文细黑"/>
          <w:color w:val="auto"/>
          <w:sz w:val="24"/>
          <w:szCs w:val="24"/>
          <w:highlight w:val="none"/>
          <w:lang w:val="en-US" w:eastAsia="zh-CN"/>
        </w:rPr>
        <w:t>6</w:t>
      </w:r>
      <w:r>
        <w:rPr>
          <w:rFonts w:hint="eastAsia" w:ascii="华文细黑" w:hAnsi="华文细黑" w:eastAsia="华文细黑" w:cs="华文细黑"/>
          <w:color w:val="auto"/>
          <w:sz w:val="24"/>
          <w:szCs w:val="24"/>
          <w:highlight w:val="none"/>
        </w:rPr>
        <w:t>：</w:t>
      </w:r>
      <w:r>
        <w:rPr>
          <w:rFonts w:hint="eastAsia" w:ascii="华文细黑" w:hAnsi="华文细黑" w:eastAsia="华文细黑" w:cs="华文细黑"/>
          <w:color w:val="auto"/>
          <w:sz w:val="24"/>
          <w:szCs w:val="24"/>
          <w:highlight w:val="none"/>
          <w:lang w:val="en-US" w:eastAsia="zh-CN"/>
        </w:rPr>
        <w:t>3</w:t>
      </w:r>
      <w:r>
        <w:rPr>
          <w:rFonts w:hint="eastAsia" w:ascii="华文细黑" w:hAnsi="华文细黑" w:eastAsia="华文细黑" w:cs="华文细黑"/>
          <w:color w:val="auto"/>
          <w:sz w:val="24"/>
          <w:szCs w:val="24"/>
          <w:highlight w:val="none"/>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2．开标时间：2018年</w:t>
      </w:r>
      <w:r>
        <w:rPr>
          <w:rFonts w:hint="eastAsia" w:ascii="华文细黑" w:hAnsi="华文细黑" w:eastAsia="华文细黑" w:cs="华文细黑"/>
          <w:color w:val="auto"/>
          <w:sz w:val="24"/>
          <w:szCs w:val="24"/>
          <w:highlight w:val="none"/>
          <w:lang w:val="en-US" w:eastAsia="zh-CN"/>
        </w:rPr>
        <w:t>4</w:t>
      </w:r>
      <w:r>
        <w:rPr>
          <w:rFonts w:hint="eastAsia" w:ascii="华文细黑" w:hAnsi="华文细黑" w:eastAsia="华文细黑" w:cs="华文细黑"/>
          <w:color w:val="auto"/>
          <w:sz w:val="24"/>
          <w:szCs w:val="24"/>
          <w:highlight w:val="none"/>
        </w:rPr>
        <w:t>月</w:t>
      </w:r>
      <w:r>
        <w:rPr>
          <w:rFonts w:hint="eastAsia" w:ascii="华文细黑" w:hAnsi="华文细黑" w:eastAsia="华文细黑" w:cs="华文细黑"/>
          <w:color w:val="auto"/>
          <w:sz w:val="24"/>
          <w:szCs w:val="24"/>
          <w:highlight w:val="none"/>
          <w:lang w:val="en-US" w:eastAsia="zh-CN"/>
        </w:rPr>
        <w:t>4</w:t>
      </w:r>
      <w:r>
        <w:rPr>
          <w:rFonts w:hint="eastAsia" w:ascii="华文细黑" w:hAnsi="华文细黑" w:eastAsia="华文细黑" w:cs="华文细黑"/>
          <w:color w:val="auto"/>
          <w:sz w:val="24"/>
          <w:szCs w:val="24"/>
          <w:highlight w:val="none"/>
        </w:rPr>
        <w:t>日（周</w:t>
      </w:r>
      <w:r>
        <w:rPr>
          <w:rFonts w:hint="eastAsia" w:ascii="华文细黑" w:hAnsi="华文细黑" w:eastAsia="华文细黑" w:cs="华文细黑"/>
          <w:color w:val="auto"/>
          <w:sz w:val="24"/>
          <w:szCs w:val="24"/>
          <w:highlight w:val="none"/>
          <w:lang w:val="en-US" w:eastAsia="zh-CN"/>
        </w:rPr>
        <w:t>三</w:t>
      </w:r>
      <w:r>
        <w:rPr>
          <w:rFonts w:hint="eastAsia" w:ascii="华文细黑" w:hAnsi="华文细黑" w:eastAsia="华文细黑" w:cs="华文细黑"/>
          <w:color w:val="auto"/>
          <w:sz w:val="24"/>
          <w:szCs w:val="24"/>
          <w:highlight w:val="none"/>
        </w:rPr>
        <w:t>）</w:t>
      </w:r>
      <w:r>
        <w:rPr>
          <w:rFonts w:hint="eastAsia" w:ascii="华文细黑" w:hAnsi="华文细黑" w:eastAsia="华文细黑" w:cs="华文细黑"/>
          <w:color w:val="auto"/>
          <w:sz w:val="24"/>
          <w:szCs w:val="24"/>
          <w:highlight w:val="none"/>
          <w:lang w:val="en-US" w:eastAsia="zh-CN"/>
        </w:rPr>
        <w:t>9</w:t>
      </w:r>
      <w:r>
        <w:rPr>
          <w:rFonts w:hint="eastAsia" w:ascii="华文细黑" w:hAnsi="华文细黑" w:eastAsia="华文细黑" w:cs="华文细黑"/>
          <w:color w:val="auto"/>
          <w:sz w:val="24"/>
          <w:szCs w:val="24"/>
          <w:highlight w:val="none"/>
        </w:rPr>
        <w:t>：</w:t>
      </w:r>
      <w:r>
        <w:rPr>
          <w:rFonts w:hint="eastAsia" w:ascii="华文细黑" w:hAnsi="华文细黑" w:eastAsia="华文细黑" w:cs="华文细黑"/>
          <w:color w:val="auto"/>
          <w:sz w:val="24"/>
          <w:szCs w:val="24"/>
          <w:highlight w:val="none"/>
          <w:lang w:val="en-US" w:eastAsia="zh-CN"/>
        </w:rPr>
        <w:t>30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5. 采用快递方式递交投标文件，必须对投标文件进行密封并在密封处加盖公章，快递费用由投标单位自理，不接受到付件。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r>
        <w:rPr>
          <w:rFonts w:hint="eastAsia" w:ascii="华文细黑" w:hAnsi="华文细黑" w:eastAsia="华文细黑" w:cs="华文细黑"/>
          <w:color w:val="auto"/>
          <w:sz w:val="24"/>
          <w:szCs w:val="24"/>
          <w:lang w:val="en-US" w:eastAsia="zh-CN"/>
        </w:rPr>
        <w:t>浙江省肿瘤医院行政楼402室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傅</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2018年3月26日</w:t>
      </w:r>
    </w:p>
    <w:sectPr>
      <w:headerReference r:id="rId8" w:type="first"/>
      <w:footerReference r:id="rId10" w:type="first"/>
      <w:headerReference r:id="rId7"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8683F"/>
    <w:rsid w:val="07C904D2"/>
    <w:rsid w:val="07CD72E2"/>
    <w:rsid w:val="09AC7B34"/>
    <w:rsid w:val="0B8E5BE9"/>
    <w:rsid w:val="0FB76DBC"/>
    <w:rsid w:val="13AA5AD0"/>
    <w:rsid w:val="195145A1"/>
    <w:rsid w:val="1AC2018F"/>
    <w:rsid w:val="1C353A31"/>
    <w:rsid w:val="1E755027"/>
    <w:rsid w:val="1FE92837"/>
    <w:rsid w:val="23033691"/>
    <w:rsid w:val="25F76C1E"/>
    <w:rsid w:val="26212EF7"/>
    <w:rsid w:val="27622B4F"/>
    <w:rsid w:val="2BF96F6F"/>
    <w:rsid w:val="2D6B50D0"/>
    <w:rsid w:val="347D0A86"/>
    <w:rsid w:val="38EF7149"/>
    <w:rsid w:val="38FC7F3D"/>
    <w:rsid w:val="39CD2060"/>
    <w:rsid w:val="3A140A17"/>
    <w:rsid w:val="3D310A28"/>
    <w:rsid w:val="3FE22C64"/>
    <w:rsid w:val="46FB7956"/>
    <w:rsid w:val="49D32A72"/>
    <w:rsid w:val="4AAC6732"/>
    <w:rsid w:val="514F2790"/>
    <w:rsid w:val="57E906EE"/>
    <w:rsid w:val="5E565EDE"/>
    <w:rsid w:val="62453DB9"/>
    <w:rsid w:val="67564F5E"/>
    <w:rsid w:val="67832C8C"/>
    <w:rsid w:val="6C905AAC"/>
    <w:rsid w:val="71A94DE3"/>
    <w:rsid w:val="782B439F"/>
    <w:rsid w:val="7D161986"/>
    <w:rsid w:val="7D2563D1"/>
    <w:rsid w:val="7F065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2018-03-06T08:34:00Z</cp:lastPrinted>
  <dcterms:modified xsi:type="dcterms:W3CDTF">2018-03-26T07:43:24Z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