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安全阀采购</w:t>
      </w: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三</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安全阀采购项目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bookmarkStart w:id="0" w:name="_GoBack"/>
      <w:r>
        <w:rPr>
          <w:rFonts w:hint="eastAsia" w:ascii="华文细黑" w:hAnsi="华文细黑" w:eastAsia="华文细黑" w:cs="华文细黑"/>
          <w:color w:val="auto"/>
          <w:sz w:val="24"/>
          <w:szCs w:val="24"/>
        </w:rPr>
        <w:t>我院拟采取公开招标议价谈判方式，完成浙江省肿瘤医院安全阀采购项目招标。但因</w:t>
      </w:r>
      <w:r>
        <w:rPr>
          <w:rFonts w:hint="eastAsia" w:ascii="华文细黑" w:hAnsi="华文细黑" w:eastAsia="华文细黑" w:cs="华文细黑"/>
          <w:color w:val="auto"/>
          <w:sz w:val="24"/>
          <w:szCs w:val="24"/>
          <w:lang w:val="en-US" w:eastAsia="zh-CN"/>
        </w:rPr>
        <w:t>实际</w:t>
      </w:r>
      <w:r>
        <w:rPr>
          <w:rFonts w:hint="eastAsia" w:ascii="华文细黑" w:hAnsi="华文细黑" w:eastAsia="华文细黑" w:cs="华文细黑"/>
          <w:color w:val="auto"/>
          <w:sz w:val="24"/>
          <w:szCs w:val="24"/>
        </w:rPr>
        <w:t>报名单位不足三家，无法正常开标，特此将有关事项</w:t>
      </w:r>
      <w:r>
        <w:rPr>
          <w:rFonts w:hint="eastAsia" w:ascii="华文细黑" w:hAnsi="华文细黑" w:eastAsia="华文细黑" w:cs="华文细黑"/>
          <w:color w:val="auto"/>
          <w:sz w:val="24"/>
          <w:szCs w:val="24"/>
          <w:lang w:val="en-US" w:eastAsia="zh-CN"/>
        </w:rPr>
        <w:t>三</w:t>
      </w:r>
      <w:r>
        <w:rPr>
          <w:rFonts w:hint="eastAsia" w:ascii="华文细黑" w:hAnsi="华文细黑" w:eastAsia="华文细黑" w:cs="华文细黑"/>
          <w:color w:val="auto"/>
          <w:sz w:val="24"/>
          <w:szCs w:val="24"/>
        </w:rPr>
        <w:t>次公告如下：：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安全阀采购</w:t>
      </w:r>
      <w:r>
        <w:rPr>
          <w:rFonts w:hint="eastAsia" w:ascii="华文细黑" w:hAnsi="华文细黑" w:eastAsia="华文细黑" w:cs="华文细黑"/>
          <w:color w:val="auto"/>
          <w:sz w:val="24"/>
          <w:szCs w:val="24"/>
        </w:rPr>
        <w:t>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（1）所供货物是全新的、未使用过的货物，同时应保证货物的各项功能和技术指标达到投标文件和国家相关标准。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（2）货物在正确安装、正常使用和保养条件下，在建筑物使用寿命内的正常使用和运行。</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（3）货物质保期不得少于24个月（含人工及配件维修）。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spacing w:line="400" w:lineRule="exact"/>
        <w:ind w:left="-426" w:right="-340" w:rightChars="-162" w:firstLine="480" w:firstLineChars="200"/>
        <w:rPr>
          <w:rFonts w:hint="eastAsia" w:ascii="华文细黑" w:hAnsi="华文细黑" w:eastAsia="华文细黑" w:cs="华文细黑"/>
          <w:b w:val="0"/>
          <w:bCs/>
          <w:kern w:val="0"/>
          <w:sz w:val="24"/>
          <w:szCs w:val="24"/>
        </w:rPr>
      </w:pPr>
      <w:r>
        <w:rPr>
          <w:rFonts w:hint="eastAsia" w:ascii="华文细黑" w:hAnsi="华文细黑" w:eastAsia="华文细黑" w:cs="华文细黑"/>
          <w:b w:val="0"/>
          <w:bCs/>
          <w:kern w:val="0"/>
          <w:sz w:val="24"/>
          <w:szCs w:val="24"/>
          <w:lang w:val="en-US" w:eastAsia="zh-CN"/>
        </w:rPr>
        <w:t>1.</w:t>
      </w:r>
      <w:r>
        <w:rPr>
          <w:rFonts w:hint="eastAsia" w:ascii="华文细黑" w:hAnsi="华文细黑" w:eastAsia="华文细黑" w:cs="华文细黑"/>
          <w:b w:val="0"/>
          <w:bCs/>
          <w:kern w:val="0"/>
          <w:sz w:val="24"/>
          <w:szCs w:val="24"/>
        </w:rPr>
        <w:t>货物（品牌、规格、厂家、产地）、服务名称、数量、单价及</w:t>
      </w:r>
      <w:r>
        <w:rPr>
          <w:rFonts w:hint="eastAsia" w:ascii="华文细黑" w:hAnsi="华文细黑" w:eastAsia="华文细黑" w:cs="华文细黑"/>
          <w:b w:val="0"/>
          <w:bCs/>
          <w:kern w:val="0"/>
          <w:sz w:val="24"/>
          <w:szCs w:val="24"/>
          <w:lang w:val="en-US" w:eastAsia="zh-CN"/>
        </w:rPr>
        <w:t>投标</w:t>
      </w:r>
      <w:r>
        <w:rPr>
          <w:rFonts w:hint="eastAsia" w:ascii="华文细黑" w:hAnsi="华文细黑" w:eastAsia="华文细黑" w:cs="华文细黑"/>
          <w:b w:val="0"/>
          <w:bCs/>
          <w:kern w:val="0"/>
          <w:sz w:val="24"/>
          <w:szCs w:val="24"/>
        </w:rPr>
        <w:t>分项价格、总价：</w:t>
      </w:r>
    </w:p>
    <w:tbl>
      <w:tblPr>
        <w:tblStyle w:val="11"/>
        <w:tblpPr w:leftFromText="180" w:rightFromText="180" w:vertAnchor="text" w:horzAnchor="page" w:tblpX="1740" w:tblpY="17"/>
        <w:tblOverlap w:val="never"/>
        <w:tblW w:w="8610" w:type="dxa"/>
        <w:tblInd w:w="0" w:type="dxa"/>
        <w:tblLayout w:type="fixed"/>
        <w:tblCellMar>
          <w:top w:w="0" w:type="dxa"/>
          <w:left w:w="30" w:type="dxa"/>
          <w:bottom w:w="0" w:type="dxa"/>
          <w:right w:w="30" w:type="dxa"/>
        </w:tblCellMar>
      </w:tblPr>
      <w:tblGrid>
        <w:gridCol w:w="597"/>
        <w:gridCol w:w="4122"/>
        <w:gridCol w:w="933"/>
        <w:gridCol w:w="1000"/>
        <w:gridCol w:w="1017"/>
        <w:gridCol w:w="941"/>
      </w:tblGrid>
      <w:tr>
        <w:tblPrEx>
          <w:tblLayout w:type="fixed"/>
          <w:tblCellMar>
            <w:top w:w="0" w:type="dxa"/>
            <w:left w:w="30" w:type="dxa"/>
            <w:bottom w:w="0" w:type="dxa"/>
            <w:right w:w="30" w:type="dxa"/>
          </w:tblCellMar>
        </w:tblPrEx>
        <w:trPr>
          <w:trHeight w:val="406" w:hRule="atLeast"/>
        </w:trPr>
        <w:tc>
          <w:tcPr>
            <w:tcW w:w="597" w:type="dxa"/>
            <w:tcBorders>
              <w:top w:val="double" w:color="auto" w:sz="4" w:space="0"/>
              <w:left w:val="doub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序号</w:t>
            </w:r>
          </w:p>
        </w:tc>
        <w:tc>
          <w:tcPr>
            <w:tcW w:w="4122"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货物名称</w:t>
            </w:r>
          </w:p>
        </w:tc>
        <w:tc>
          <w:tcPr>
            <w:tcW w:w="933"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数量（件）</w:t>
            </w:r>
          </w:p>
        </w:tc>
        <w:tc>
          <w:tcPr>
            <w:tcW w:w="1000"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产地/品牌</w:t>
            </w:r>
          </w:p>
        </w:tc>
        <w:tc>
          <w:tcPr>
            <w:tcW w:w="1017"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单价（元）</w:t>
            </w:r>
          </w:p>
        </w:tc>
        <w:tc>
          <w:tcPr>
            <w:tcW w:w="941" w:type="dxa"/>
            <w:tcBorders>
              <w:top w:val="double" w:color="auto" w:sz="4" w:space="0"/>
              <w:left w:val="sing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合价（元）</w:t>
            </w: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安全阀 球墨铸铁 DN50 PN25法兰连接6.5-10.4barg 开式阀盖/微升杆/set:10barg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安全阀 球墨铸铁 DN50 PN25法兰连接6.5-10.4barg 开式阀盖/微升杆/set:10.2barg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3</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安全阀 球墨铸铁 DN80 PN25法兰连接8.7-10.4barg 开式阀盖/微升杆/set:10barg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4</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安全阀 球墨铸铁 DN80 PN25法兰连接8.7-10.4barg 开式阀盖/微升杆/set:10.2barg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59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5</w:t>
            </w:r>
          </w:p>
        </w:tc>
        <w:tc>
          <w:tcPr>
            <w:tcW w:w="412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安全阀 球墨铸铁 DN32 PN25法兰连接3.8-5.5barg 开式阀盖/微升杆/set:5.5barg</w:t>
            </w:r>
          </w:p>
        </w:tc>
        <w:tc>
          <w:tcPr>
            <w:tcW w:w="933"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100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西门子、斯派莎克、艾瑞或同档次品牌</w:t>
            </w:r>
          </w:p>
        </w:tc>
        <w:tc>
          <w:tcPr>
            <w:tcW w:w="1017"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941"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cantSplit/>
          <w:trHeight w:val="445" w:hRule="atLeast"/>
        </w:trPr>
        <w:tc>
          <w:tcPr>
            <w:tcW w:w="8610" w:type="dxa"/>
            <w:gridSpan w:val="6"/>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b/>
                <w:bCs/>
                <w:sz w:val="21"/>
                <w:szCs w:val="21"/>
                <w:lang w:val="en-US" w:eastAsia="zh-CN"/>
              </w:rPr>
              <w:t>报</w:t>
            </w:r>
            <w:r>
              <w:rPr>
                <w:rFonts w:hint="eastAsia" w:ascii="华文细黑" w:hAnsi="华文细黑" w:eastAsia="华文细黑" w:cs="华文细黑"/>
                <w:b/>
                <w:bCs/>
                <w:sz w:val="21"/>
                <w:szCs w:val="21"/>
              </w:rPr>
              <w:t>价</w:t>
            </w:r>
            <w:r>
              <w:rPr>
                <w:rFonts w:hint="eastAsia" w:ascii="华文细黑" w:hAnsi="华文细黑" w:eastAsia="华文细黑" w:cs="华文细黑"/>
                <w:sz w:val="21"/>
                <w:szCs w:val="21"/>
              </w:rPr>
              <w:t>（人民币大写）</w:t>
            </w:r>
            <w:r>
              <w:rPr>
                <w:rFonts w:hint="eastAsia" w:ascii="华文细黑" w:hAnsi="华文细黑" w:eastAsia="华文细黑" w:cs="华文细黑"/>
                <w:sz w:val="21"/>
                <w:szCs w:val="21"/>
                <w:u w:val="single"/>
              </w:rPr>
              <w:t>人民币</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u w:val="single"/>
              </w:rPr>
              <w:t>元整</w:t>
            </w:r>
            <w:r>
              <w:rPr>
                <w:rFonts w:hint="eastAsia" w:ascii="华文细黑" w:hAnsi="华文细黑" w:eastAsia="华文细黑" w:cs="华文细黑"/>
                <w:sz w:val="21"/>
                <w:szCs w:val="21"/>
              </w:rPr>
              <w:t xml:space="preserve">  </w:t>
            </w:r>
          </w:p>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rPr>
              <w:t>（人民币小写）¥</w:t>
            </w: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rPr>
              <w:t>元</w:t>
            </w:r>
          </w:p>
        </w:tc>
      </w:tr>
    </w:tbl>
    <w:p>
      <w:pPr>
        <w:numPr>
          <w:ilvl w:val="0"/>
          <w:numId w:val="0"/>
        </w:numPr>
        <w:spacing w:line="400" w:lineRule="exact"/>
        <w:ind w:right="-340" w:rightChars="-162"/>
        <w:rPr>
          <w:rFonts w:hint="eastAsia" w:ascii="华文细黑" w:hAnsi="华文细黑" w:eastAsia="华文细黑" w:cs="华文细黑"/>
          <w:kern w:val="0"/>
          <w:sz w:val="24"/>
          <w:szCs w:val="24"/>
          <w:highlight w:val="yellow"/>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2.投标</w:t>
      </w:r>
      <w:r>
        <w:rPr>
          <w:rFonts w:hint="eastAsia" w:ascii="华文细黑" w:hAnsi="华文细黑" w:eastAsia="华文细黑" w:cs="华文细黑"/>
          <w:color w:val="auto"/>
          <w:sz w:val="24"/>
          <w:szCs w:val="24"/>
        </w:rPr>
        <w:t>价格为货物到达</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指定地点价格，包含一切税费、货物费、运杂费、保险费、装卸落地费、保管费、货物仓储费、二次搬运费（搬运至各区域所发生的全部费用）、检测验收费（有关法律法规规定的货物进场、材料和成品抽检、最终检测及验收费）及质保期内维护保养等</w:t>
      </w:r>
      <w:r>
        <w:rPr>
          <w:rFonts w:hint="eastAsia" w:ascii="华文细黑" w:hAnsi="华文细黑" w:eastAsia="华文细黑" w:cs="华文细黑"/>
          <w:color w:val="auto"/>
          <w:sz w:val="24"/>
          <w:szCs w:val="24"/>
          <w:lang w:val="en-US" w:eastAsia="zh-CN"/>
        </w:rPr>
        <w:t>完成本项目所需的</w:t>
      </w:r>
      <w:r>
        <w:rPr>
          <w:rFonts w:hint="eastAsia" w:ascii="华文细黑" w:hAnsi="华文细黑" w:eastAsia="华文细黑" w:cs="华文细黑"/>
          <w:color w:val="auto"/>
          <w:sz w:val="24"/>
          <w:szCs w:val="24"/>
        </w:rPr>
        <w:t>所有费用等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实行固定单价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单价按投标报价</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医院</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1.符合《中华人民共和国政府采购法》第二十二条规定条件；必须具备本次招标货物或服务的经营资质；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2.近三年内有从事上述项目经营的业绩；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3.须具有《特种设备制造许可证》；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技术文件包含公司简介、企业法人营业执照、法人代表及委托代理人身份证复印件、法人授权委托书、资质证书复印件（复印件需加盖单位公章）等相关证明材料；</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按本文件第二条第1款表格内所列内容报价。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采购到货</w:t>
      </w:r>
      <w:r>
        <w:rPr>
          <w:rFonts w:hint="eastAsia" w:ascii="华文细黑" w:hAnsi="华文细黑" w:eastAsia="华文细黑" w:cs="华文细黑"/>
          <w:color w:val="auto"/>
          <w:sz w:val="24"/>
          <w:szCs w:val="24"/>
        </w:rPr>
        <w:t>响应周期及相应优惠条件等。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综合评标法，详见附件1</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本次报价总价不得超过10万元，超过10万元作无效标处理</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递交投标文件截止时间：2018年</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16</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五</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2．开标时间：2018年</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16</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五</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3．投标地点：浙江省肿瘤医院行政楼411</w:t>
      </w:r>
      <w:r>
        <w:rPr>
          <w:rFonts w:hint="eastAsia" w:ascii="华文细黑" w:hAnsi="华文细黑" w:eastAsia="华文细黑" w:cs="华文细黑"/>
          <w:color w:val="auto"/>
          <w:sz w:val="24"/>
          <w:szCs w:val="24"/>
          <w:lang w:val="en-US" w:eastAsia="zh-CN"/>
        </w:rPr>
        <w:t>会议</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开标地点：浙江省肿瘤医院行政楼411</w:t>
      </w:r>
      <w:r>
        <w:rPr>
          <w:rFonts w:hint="eastAsia" w:ascii="华文细黑" w:hAnsi="华文细黑" w:eastAsia="华文细黑" w:cs="华文细黑"/>
          <w:color w:val="auto"/>
          <w:sz w:val="24"/>
          <w:szCs w:val="24"/>
          <w:lang w:val="en-US" w:eastAsia="zh-CN"/>
        </w:rPr>
        <w:t>会议</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2018年3月8日</w:t>
      </w:r>
    </w:p>
    <w:bookmarkEnd w:id="0"/>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附件</w:t>
      </w:r>
      <w:r>
        <w:rPr>
          <w:rFonts w:hint="eastAsia" w:ascii="华文中宋" w:hAnsi="华文中宋" w:eastAsia="华文中宋" w:cs="华文中宋"/>
          <w:b/>
          <w:sz w:val="24"/>
          <w:szCs w:val="24"/>
          <w:lang w:val="en-US" w:eastAsia="zh-CN"/>
        </w:rPr>
        <w:t>1</w:t>
      </w:r>
      <w:r>
        <w:rPr>
          <w:rFonts w:hint="eastAsia" w:ascii="华文中宋" w:hAnsi="华文中宋" w:eastAsia="华文中宋" w:cs="华文中宋"/>
          <w:b/>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本次议标</w:t>
      </w:r>
      <w:r>
        <w:rPr>
          <w:rFonts w:hint="eastAsia" w:ascii="华文中宋" w:hAnsi="华文中宋" w:eastAsia="华文中宋" w:cs="华文中宋"/>
          <w:b/>
          <w:bCs/>
          <w:sz w:val="28"/>
          <w:szCs w:val="28"/>
        </w:rPr>
        <w:t>评标办法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1</w:t>
      </w:r>
      <w:r>
        <w:rPr>
          <w:rFonts w:hint="eastAsia" w:ascii="华文中宋" w:hAnsi="华文中宋" w:eastAsia="华文中宋" w:cs="华文中宋"/>
          <w:b/>
          <w:bCs/>
          <w:sz w:val="21"/>
          <w:szCs w:val="21"/>
        </w:rPr>
        <w:t>、评标纪律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1.1．评标是招标工作的重要环节，评标工作在评标委员会内独立进行。</w:t>
      </w:r>
      <w:r>
        <w:rPr>
          <w:rFonts w:hint="eastAsia" w:ascii="华文中宋" w:hAnsi="华文中宋" w:eastAsia="华文中宋" w:cs="华文中宋"/>
          <w:sz w:val="21"/>
          <w:szCs w:val="21"/>
          <w:lang w:eastAsia="zh-CN"/>
        </w:rPr>
        <w:t>评标委员会成员由采购人代表及专家组成。</w:t>
      </w:r>
      <w:r>
        <w:rPr>
          <w:rFonts w:hint="eastAsia" w:ascii="华文中宋" w:hAnsi="华文中宋" w:eastAsia="华文中宋" w:cs="华文中宋"/>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2、关于评标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2.1商务分</w:t>
      </w:r>
      <w:r>
        <w:rPr>
          <w:rFonts w:hint="eastAsia" w:ascii="华文中宋" w:hAnsi="华文中宋" w:eastAsia="华文中宋" w:cs="华文中宋"/>
          <w:b/>
          <w:bCs/>
          <w:sz w:val="21"/>
          <w:szCs w:val="21"/>
          <w:lang w:val="en-US" w:eastAsia="zh-CN"/>
        </w:rPr>
        <w:t>50</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2.2技术资信分</w:t>
      </w:r>
      <w:r>
        <w:rPr>
          <w:rFonts w:hint="eastAsia" w:ascii="华文中宋" w:hAnsi="华文中宋" w:eastAsia="华文中宋" w:cs="华文中宋"/>
          <w:b/>
          <w:bCs/>
          <w:sz w:val="21"/>
          <w:szCs w:val="21"/>
          <w:lang w:val="en-US" w:eastAsia="zh-CN"/>
        </w:rPr>
        <w:t>50</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资信业绩评分标准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420"/>
        <w:textAlignment w:val="auto"/>
        <w:outlineLvl w:val="9"/>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rPr>
        <w:t>制造厂品牌（</w:t>
      </w:r>
      <w:r>
        <w:rPr>
          <w:rFonts w:hint="eastAsia" w:ascii="华文中宋" w:hAnsi="华文中宋" w:eastAsia="华文中宋" w:cs="华文中宋"/>
          <w:sz w:val="21"/>
          <w:szCs w:val="21"/>
          <w:lang w:val="en-US" w:eastAsia="zh-CN"/>
        </w:rPr>
        <w:t>0-</w:t>
      </w:r>
      <w:r>
        <w:rPr>
          <w:rFonts w:hint="eastAsia" w:ascii="华文中宋" w:hAnsi="华文中宋" w:eastAsia="华文中宋" w:cs="华文中宋"/>
          <w:sz w:val="21"/>
          <w:szCs w:val="21"/>
        </w:rPr>
        <w:t>6分）</w:t>
      </w:r>
      <w:r>
        <w:rPr>
          <w:rFonts w:hint="eastAsia" w:ascii="华文中宋" w:hAnsi="华文中宋" w:eastAsia="华文中宋" w:cs="华文中宋"/>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420"/>
        <w:textAlignment w:val="auto"/>
        <w:outlineLvl w:val="9"/>
        <w:rPr>
          <w:rFonts w:hint="eastAsia" w:ascii="华文中宋" w:hAnsi="华文中宋" w:eastAsia="华文中宋" w:cs="华文中宋"/>
          <w:sz w:val="21"/>
          <w:szCs w:val="21"/>
          <w:lang w:eastAsia="zh-CN"/>
        </w:rPr>
      </w:pPr>
      <w:r>
        <w:rPr>
          <w:rFonts w:hint="eastAsia" w:ascii="华文中宋" w:hAnsi="华文中宋" w:eastAsia="华文中宋" w:cs="华文中宋"/>
          <w:sz w:val="21"/>
          <w:szCs w:val="21"/>
          <w:lang w:eastAsia="zh-CN"/>
        </w:rPr>
        <w:t>安全阀业绩（</w:t>
      </w:r>
      <w:r>
        <w:rPr>
          <w:rFonts w:hint="eastAsia" w:ascii="华文中宋" w:hAnsi="华文中宋" w:eastAsia="华文中宋" w:cs="华文中宋"/>
          <w:sz w:val="21"/>
          <w:szCs w:val="21"/>
          <w:lang w:val="en-US" w:eastAsia="zh-CN"/>
        </w:rPr>
        <w:t>0-</w:t>
      </w:r>
      <w:r>
        <w:rPr>
          <w:rFonts w:hint="eastAsia" w:ascii="华文中宋" w:hAnsi="华文中宋" w:eastAsia="华文中宋" w:cs="华文中宋"/>
          <w:sz w:val="21"/>
          <w:szCs w:val="21"/>
          <w:lang w:eastAsia="zh-CN"/>
        </w:rPr>
        <w:t>10分）。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2、</w:t>
      </w:r>
      <w:r>
        <w:rPr>
          <w:rFonts w:hint="eastAsia" w:ascii="华文中宋" w:hAnsi="华文中宋" w:eastAsia="华文中宋" w:cs="华文中宋"/>
          <w:b/>
          <w:bCs/>
          <w:sz w:val="21"/>
          <w:szCs w:val="21"/>
        </w:rPr>
        <w:t>技术部分评分标准</w:t>
      </w:r>
      <w:r>
        <w:rPr>
          <w:rFonts w:hint="eastAsia" w:ascii="华文中宋" w:hAnsi="华文中宋" w:eastAsia="华文中宋" w:cs="华文中宋"/>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主要部件材质</w:t>
      </w:r>
      <w:r>
        <w:rPr>
          <w:rFonts w:hint="eastAsia" w:ascii="华文中宋" w:hAnsi="华文中宋" w:eastAsia="华文中宋" w:cs="华文中宋"/>
          <w:sz w:val="21"/>
          <w:szCs w:val="21"/>
          <w:lang w:eastAsia="zh-CN"/>
        </w:rPr>
        <w:t>（</w:t>
      </w:r>
      <w:r>
        <w:rPr>
          <w:rFonts w:hint="eastAsia" w:ascii="华文中宋" w:hAnsi="华文中宋" w:eastAsia="华文中宋" w:cs="华文中宋"/>
          <w:sz w:val="21"/>
          <w:szCs w:val="21"/>
          <w:lang w:val="en-US" w:eastAsia="zh-CN"/>
        </w:rPr>
        <w:t>0-</w:t>
      </w:r>
      <w:r>
        <w:rPr>
          <w:rFonts w:hint="eastAsia" w:ascii="华文中宋" w:hAnsi="华文中宋" w:eastAsia="华文中宋" w:cs="华文中宋"/>
          <w:sz w:val="21"/>
          <w:szCs w:val="21"/>
          <w:lang w:eastAsia="zh-CN"/>
        </w:rPr>
        <w:t>10分）。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安全阀对招标文件的性能响应程度（0-12分）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Cs/>
          <w:spacing w:val="-6"/>
          <w:sz w:val="21"/>
          <w:szCs w:val="21"/>
          <w:highlight w:val="none"/>
          <w:lang w:val="en-US" w:eastAsia="zh-CN"/>
        </w:rPr>
        <w:t>质保期、售后服务承诺</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0-12</w:t>
      </w:r>
      <w:r>
        <w:rPr>
          <w:rFonts w:hint="eastAsia" w:ascii="华文中宋" w:hAnsi="华文中宋" w:eastAsia="华文中宋" w:cs="华文中宋"/>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投标人评标综合得分=商务分+技术资信分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3、其他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lang w:val="en-US" w:eastAsia="zh-CN"/>
        </w:rPr>
        <w:t xml:space="preserve">    </w:t>
      </w:r>
      <w:r>
        <w:rPr>
          <w:rFonts w:hint="eastAsia" w:ascii="华文中宋" w:hAnsi="华文中宋" w:eastAsia="华文中宋" w:cs="华文中宋"/>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b/>
          <w:bCs/>
          <w:sz w:val="21"/>
          <w:szCs w:val="21"/>
        </w:rPr>
        <w:t>4、</w:t>
      </w:r>
      <w:r>
        <w:rPr>
          <w:rFonts w:hint="eastAsia" w:ascii="华文中宋" w:hAnsi="华文中宋" w:eastAsia="华文中宋" w:cs="华文中宋"/>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b/>
          <w:bCs/>
          <w:sz w:val="21"/>
          <w:szCs w:val="21"/>
        </w:rPr>
        <w:t>5、</w:t>
      </w:r>
      <w:r>
        <w:rPr>
          <w:rFonts w:hint="eastAsia" w:ascii="华文中宋" w:hAnsi="华文中宋" w:eastAsia="华文中宋" w:cs="华文中宋"/>
          <w:sz w:val="21"/>
          <w:szCs w:val="21"/>
        </w:rPr>
        <w:t>本次采购中标单位的供货定价：中标单位的综合单价为本次采购的中标单价，总价按每批供货量乘中标综合单价计算。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1"/>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89"/>
        <w:gridCol w:w="7235"/>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300" w:type="dxa"/>
            <w:gridSpan w:val="4"/>
            <w:vAlign w:val="center"/>
          </w:tcPr>
          <w:p>
            <w:pPr>
              <w:jc w:val="center"/>
              <w:rPr>
                <w:rFonts w:hint="eastAsia" w:ascii="华文中宋" w:hAnsi="华文中宋" w:eastAsia="华文中宋" w:cs="华文中宋"/>
                <w:b/>
                <w:sz w:val="21"/>
                <w:szCs w:val="21"/>
                <w:highlight w:val="none"/>
              </w:rPr>
            </w:pPr>
            <w:r>
              <w:rPr>
                <w:rFonts w:hint="eastAsia" w:ascii="华文中宋" w:hAnsi="华文中宋" w:eastAsia="华文中宋" w:cs="华文中宋"/>
                <w:b/>
                <w:bCs/>
                <w:sz w:val="21"/>
                <w:szCs w:val="21"/>
              </w:rPr>
              <w:t>技术资信分</w:t>
            </w:r>
            <w:r>
              <w:rPr>
                <w:rFonts w:hint="eastAsia" w:ascii="华文中宋" w:hAnsi="华文中宋" w:eastAsia="华文中宋" w:cs="华文中宋"/>
                <w:b/>
                <w:bCs/>
                <w:sz w:val="21"/>
                <w:szCs w:val="21"/>
                <w:lang w:val="en-US" w:eastAsia="zh-CN"/>
              </w:rPr>
              <w:t>50</w:t>
            </w:r>
            <w:r>
              <w:rPr>
                <w:rFonts w:hint="eastAsia" w:ascii="华文中宋" w:hAnsi="华文中宋" w:eastAsia="华文中宋" w:cs="华文中宋"/>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82" w:type="dxa"/>
            <w:vAlign w:val="center"/>
          </w:tcPr>
          <w:p>
            <w:pPr>
              <w:spacing w:line="288" w:lineRule="auto"/>
              <w:jc w:val="both"/>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评分项目</w:t>
            </w:r>
          </w:p>
        </w:tc>
        <w:tc>
          <w:tcPr>
            <w:tcW w:w="1089" w:type="dxa"/>
            <w:vAlign w:val="center"/>
          </w:tcPr>
          <w:p>
            <w:pPr>
              <w:spacing w:line="288" w:lineRule="auto"/>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分值</w:t>
            </w:r>
          </w:p>
        </w:tc>
        <w:tc>
          <w:tcPr>
            <w:tcW w:w="7235" w:type="dxa"/>
            <w:vAlign w:val="center"/>
          </w:tcPr>
          <w:p>
            <w:pPr>
              <w:spacing w:line="288" w:lineRule="auto"/>
              <w:ind w:firstLine="560" w:firstLineChars="0"/>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评标要点及说明</w:t>
            </w:r>
          </w:p>
        </w:tc>
        <w:tc>
          <w:tcPr>
            <w:tcW w:w="694" w:type="dxa"/>
            <w:vAlign w:val="center"/>
          </w:tcPr>
          <w:p>
            <w:pPr>
              <w:spacing w:line="288" w:lineRule="auto"/>
              <w:jc w:val="both"/>
              <w:textAlignment w:val="baseline"/>
              <w:rPr>
                <w:rFonts w:hint="eastAsia" w:ascii="华文中宋" w:hAnsi="华文中宋" w:eastAsia="华文中宋" w:cs="华文中宋"/>
                <w:b/>
                <w:sz w:val="21"/>
                <w:szCs w:val="21"/>
                <w:highlight w:val="none"/>
                <w:lang w:val="en-US" w:eastAsia="zh-CN"/>
              </w:rPr>
            </w:pPr>
            <w:r>
              <w:rPr>
                <w:rFonts w:hint="eastAsia" w:ascii="华文中宋" w:hAnsi="华文中宋" w:eastAsia="华文中宋" w:cs="华文中宋"/>
                <w:b/>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制造厂品牌</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6</w:t>
            </w:r>
            <w:r>
              <w:rPr>
                <w:rFonts w:hint="eastAsia" w:ascii="华文中宋" w:hAnsi="华文中宋" w:eastAsia="华文中宋" w:cs="华文中宋"/>
                <w:sz w:val="21"/>
                <w:szCs w:val="21"/>
                <w:highlight w:val="none"/>
              </w:rPr>
              <w:t>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val="en-US" w:eastAsia="zh-CN"/>
              </w:rPr>
              <w:t>6</w:t>
            </w:r>
          </w:p>
        </w:tc>
        <w:tc>
          <w:tcPr>
            <w:tcW w:w="7235" w:type="dxa"/>
            <w:vAlign w:val="center"/>
          </w:tcPr>
          <w:p>
            <w:pPr>
              <w:spacing w:line="288" w:lineRule="auto"/>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rPr>
              <w:t>1、</w:t>
            </w:r>
            <w:r>
              <w:rPr>
                <w:rFonts w:hint="eastAsia" w:ascii="华文中宋" w:hAnsi="华文中宋" w:eastAsia="华文中宋" w:cs="华文中宋"/>
                <w:sz w:val="21"/>
                <w:szCs w:val="21"/>
                <w:highlight w:val="none"/>
                <w:lang w:val="en-US" w:eastAsia="zh-CN"/>
              </w:rPr>
              <w:t>国际、国内知名品牌，根据品牌的知名度、美誉度排序，知名得4-6分，良好得2-3分，一般得0-1分。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安全阀业绩</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10</w:t>
            </w:r>
            <w:r>
              <w:rPr>
                <w:rFonts w:hint="eastAsia" w:ascii="华文中宋" w:hAnsi="华文中宋" w:eastAsia="华文中宋" w:cs="华文中宋"/>
                <w:sz w:val="21"/>
                <w:szCs w:val="21"/>
                <w:highlight w:val="none"/>
              </w:rPr>
              <w:t>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10</w:t>
            </w:r>
          </w:p>
        </w:tc>
        <w:tc>
          <w:tcPr>
            <w:tcW w:w="7235"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自2015年1月1日至今，在浙江省内出售类似规格、材质安全阀，用户运行评价良好，无质量问题的，每个项目得2分，最高得10分。投标时须随标书提供供货合同和与之相对应的用户运行良好、无质量问题的评价等证明文件复印件加盖投标人公章，否则不得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主要部件材质</w:t>
            </w:r>
          </w:p>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（10分）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10</w:t>
            </w:r>
          </w:p>
        </w:tc>
        <w:tc>
          <w:tcPr>
            <w:tcW w:w="7235"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阀杆、螺栓、密封、螺母等材质必须满足招标文件技术要求，评委根据投标人主要部件材质的优劣、阀门性能的好坏进行评分，优秀得7-10分，良好得4-6分，一般得0-3分。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安全阀对招标文件的性能响应程度（12分）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12</w:t>
            </w:r>
          </w:p>
        </w:tc>
        <w:tc>
          <w:tcPr>
            <w:tcW w:w="7235"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评委根据投标产品对招标技术要求的相应和性能优劣进行评分，优秀得9-12分，良好得5-8分，一般得0-4分。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5" w:hRule="atLeast"/>
          <w:jc w:val="center"/>
        </w:trPr>
        <w:tc>
          <w:tcPr>
            <w:tcW w:w="1282" w:type="dxa"/>
            <w:vMerge w:val="restart"/>
            <w:vAlign w:val="center"/>
          </w:tcPr>
          <w:p>
            <w:pPr>
              <w:spacing w:line="288"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bCs/>
                <w:spacing w:val="-6"/>
                <w:sz w:val="21"/>
                <w:szCs w:val="21"/>
                <w:highlight w:val="none"/>
                <w:lang w:val="en-US" w:eastAsia="zh-CN"/>
              </w:rPr>
              <w:t>质保期、售后服务承诺</w:t>
            </w:r>
            <w:r>
              <w:rPr>
                <w:rFonts w:hint="eastAsia" w:ascii="华文中宋" w:hAnsi="华文中宋" w:eastAsia="华文中宋" w:cs="华文中宋"/>
                <w:sz w:val="21"/>
                <w:szCs w:val="21"/>
                <w:highlight w:val="none"/>
              </w:rPr>
              <w:t>（</w:t>
            </w:r>
            <w:r>
              <w:rPr>
                <w:rFonts w:hint="eastAsia" w:ascii="华文中宋" w:hAnsi="华文中宋" w:eastAsia="华文中宋" w:cs="华文中宋"/>
                <w:sz w:val="21"/>
                <w:szCs w:val="21"/>
                <w:highlight w:val="none"/>
                <w:lang w:val="en-US" w:eastAsia="zh-CN"/>
              </w:rPr>
              <w:t>12</w:t>
            </w:r>
            <w:r>
              <w:rPr>
                <w:rFonts w:hint="eastAsia" w:ascii="华文中宋" w:hAnsi="华文中宋" w:eastAsia="华文中宋" w:cs="华文中宋"/>
                <w:sz w:val="21"/>
                <w:szCs w:val="21"/>
                <w:highlight w:val="none"/>
              </w:rPr>
              <w:t>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6</w:t>
            </w:r>
          </w:p>
        </w:tc>
        <w:tc>
          <w:tcPr>
            <w:tcW w:w="7235" w:type="dxa"/>
            <w:vAlign w:val="center"/>
          </w:tcPr>
          <w:p>
            <w:pPr>
              <w:spacing w:line="288" w:lineRule="auto"/>
              <w:rPr>
                <w:rFonts w:hint="eastAsia" w:ascii="华文中宋" w:hAnsi="华文中宋" w:eastAsia="华文中宋" w:cs="华文中宋"/>
                <w:sz w:val="21"/>
                <w:szCs w:val="21"/>
                <w:highlight w:val="none"/>
              </w:rPr>
            </w:pPr>
            <w:r>
              <w:rPr>
                <w:rFonts w:hint="eastAsia" w:ascii="华文中宋" w:hAnsi="华文中宋" w:eastAsia="华文中宋" w:cs="华文中宋"/>
                <w:sz w:val="21"/>
                <w:szCs w:val="21"/>
                <w:highlight w:val="none"/>
                <w:lang w:val="en-US" w:eastAsia="zh-CN"/>
              </w:rPr>
              <w:t>响应招标文件</w:t>
            </w:r>
            <w:r>
              <w:rPr>
                <w:rFonts w:hint="eastAsia" w:ascii="华文中宋" w:hAnsi="华文中宋" w:eastAsia="华文中宋" w:cs="华文中宋"/>
                <w:sz w:val="21"/>
                <w:szCs w:val="21"/>
                <w:highlight w:val="none"/>
              </w:rPr>
              <w:t>服务承诺0-</w:t>
            </w:r>
            <w:r>
              <w:rPr>
                <w:rFonts w:hint="eastAsia" w:ascii="华文中宋" w:hAnsi="华文中宋" w:eastAsia="华文中宋" w:cs="华文中宋"/>
                <w:sz w:val="21"/>
                <w:szCs w:val="21"/>
                <w:highlight w:val="none"/>
                <w:lang w:val="en-US" w:eastAsia="zh-CN"/>
              </w:rPr>
              <w:t>6</w:t>
            </w:r>
            <w:r>
              <w:rPr>
                <w:rFonts w:hint="eastAsia" w:ascii="华文中宋" w:hAnsi="华文中宋" w:eastAsia="华文中宋" w:cs="华文中宋"/>
                <w:sz w:val="21"/>
                <w:szCs w:val="21"/>
                <w:highlight w:val="none"/>
              </w:rPr>
              <w:t>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Merge w:val="continue"/>
            <w:vAlign w:val="center"/>
          </w:tcPr>
          <w:p>
            <w:pPr>
              <w:spacing w:line="288" w:lineRule="auto"/>
              <w:jc w:val="center"/>
              <w:rPr>
                <w:rFonts w:hint="eastAsia" w:ascii="华文中宋" w:hAnsi="华文中宋" w:eastAsia="华文中宋" w:cs="华文中宋"/>
                <w:bCs/>
                <w:spacing w:val="-6"/>
                <w:sz w:val="21"/>
                <w:szCs w:val="21"/>
                <w:highlight w:val="none"/>
                <w:lang w:val="en-US" w:eastAsia="zh-CN"/>
              </w:rPr>
            </w:pP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6</w:t>
            </w:r>
          </w:p>
        </w:tc>
        <w:tc>
          <w:tcPr>
            <w:tcW w:w="7235"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rPr>
              <w:t>详细完整</w:t>
            </w:r>
            <w:r>
              <w:rPr>
                <w:rFonts w:hint="eastAsia" w:ascii="华文中宋" w:hAnsi="华文中宋" w:eastAsia="华文中宋" w:cs="华文中宋"/>
                <w:sz w:val="21"/>
                <w:szCs w:val="21"/>
                <w:highlight w:val="none"/>
                <w:lang w:val="en-US" w:eastAsia="zh-CN"/>
              </w:rPr>
              <w:t>的</w:t>
            </w:r>
            <w:r>
              <w:rPr>
                <w:rFonts w:hint="eastAsia" w:ascii="华文中宋" w:hAnsi="华文中宋" w:eastAsia="华文中宋" w:cs="华文中宋"/>
                <w:sz w:val="21"/>
                <w:szCs w:val="21"/>
                <w:highlight w:val="none"/>
              </w:rPr>
              <w:t>售后服务措施和方案（包括服务措施0-</w:t>
            </w:r>
            <w:r>
              <w:rPr>
                <w:rFonts w:hint="eastAsia" w:ascii="华文中宋" w:hAnsi="华文中宋" w:eastAsia="华文中宋" w:cs="华文中宋"/>
                <w:sz w:val="21"/>
                <w:szCs w:val="21"/>
                <w:highlight w:val="none"/>
                <w:lang w:val="en-US" w:eastAsia="zh-CN"/>
              </w:rPr>
              <w:t>2</w:t>
            </w:r>
            <w:r>
              <w:rPr>
                <w:rFonts w:hint="eastAsia" w:ascii="华文中宋" w:hAnsi="华文中宋" w:eastAsia="华文中宋" w:cs="华文中宋"/>
                <w:sz w:val="21"/>
                <w:szCs w:val="21"/>
                <w:highlight w:val="none"/>
              </w:rPr>
              <w:t>分 、本地化服务0-</w:t>
            </w:r>
            <w:r>
              <w:rPr>
                <w:rFonts w:hint="eastAsia" w:ascii="华文中宋" w:hAnsi="华文中宋" w:eastAsia="华文中宋" w:cs="华文中宋"/>
                <w:sz w:val="21"/>
                <w:szCs w:val="21"/>
                <w:highlight w:val="none"/>
                <w:lang w:val="en-US" w:eastAsia="zh-CN"/>
              </w:rPr>
              <w:t>2</w:t>
            </w:r>
            <w:r>
              <w:rPr>
                <w:rFonts w:hint="eastAsia" w:ascii="华文中宋" w:hAnsi="华文中宋" w:eastAsia="华文中宋" w:cs="华文中宋"/>
                <w:sz w:val="21"/>
                <w:szCs w:val="21"/>
                <w:highlight w:val="none"/>
              </w:rPr>
              <w:t>分</w:t>
            </w:r>
            <w:r>
              <w:rPr>
                <w:rFonts w:hint="eastAsia" w:ascii="华文中宋" w:hAnsi="华文中宋" w:eastAsia="华文中宋" w:cs="华文中宋"/>
                <w:sz w:val="21"/>
                <w:szCs w:val="21"/>
                <w:highlight w:val="none"/>
                <w:lang w:eastAsia="zh-CN"/>
              </w:rPr>
              <w:t>、</w:t>
            </w:r>
            <w:r>
              <w:rPr>
                <w:rFonts w:hint="eastAsia" w:ascii="华文中宋" w:hAnsi="华文中宋" w:eastAsia="华文中宋" w:cs="华文中宋"/>
                <w:sz w:val="21"/>
                <w:szCs w:val="21"/>
                <w:highlight w:val="none"/>
                <w:lang w:val="en-US" w:eastAsia="zh-CN"/>
              </w:rPr>
              <w:t>备品备件供应的及时性和可靠性0-2分</w:t>
            </w:r>
            <w:r>
              <w:rPr>
                <w:rFonts w:hint="eastAsia" w:ascii="华文中宋" w:hAnsi="华文中宋" w:eastAsia="华文中宋" w:cs="华文中宋"/>
                <w:sz w:val="21"/>
                <w:szCs w:val="21"/>
                <w:highlight w:val="none"/>
              </w:rPr>
              <w:t>）；</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9606" w:type="dxa"/>
            <w:gridSpan w:val="3"/>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      总分（50分）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72A33"/>
    <w:multiLevelType w:val="singleLevel"/>
    <w:tmpl w:val="59672A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AC7B34"/>
    <w:rsid w:val="0E02431E"/>
    <w:rsid w:val="0E810BFA"/>
    <w:rsid w:val="13AA5AD0"/>
    <w:rsid w:val="13B15B0E"/>
    <w:rsid w:val="1E755027"/>
    <w:rsid w:val="25F76C1E"/>
    <w:rsid w:val="26212EF7"/>
    <w:rsid w:val="27622B4F"/>
    <w:rsid w:val="2BF96F6F"/>
    <w:rsid w:val="2D6B50D0"/>
    <w:rsid w:val="347D0A86"/>
    <w:rsid w:val="38EF7149"/>
    <w:rsid w:val="38FC7F3D"/>
    <w:rsid w:val="3A140A17"/>
    <w:rsid w:val="41BD3EFC"/>
    <w:rsid w:val="49D32A72"/>
    <w:rsid w:val="4AAC6732"/>
    <w:rsid w:val="57E906EE"/>
    <w:rsid w:val="65864BA4"/>
    <w:rsid w:val="672E6658"/>
    <w:rsid w:val="67564F5E"/>
    <w:rsid w:val="67832C8C"/>
    <w:rsid w:val="7D161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2018-01-18T06:36:00Z</cp:lastPrinted>
  <dcterms:modified xsi:type="dcterms:W3CDTF">2018-03-08T02:10:53Z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