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sz w:val="84"/>
          <w:lang w:eastAsia="zh-CN"/>
          <w14:shadow w14:blurRad="50800" w14:dist="38100" w14:dir="2700000" w14:sx="100000" w14:sy="100000" w14:kx="0" w14:ky="0" w14:algn="tl">
            <w14:srgbClr w14:val="000000">
              <w14:alpha w14:val="60000"/>
            </w14:srgbClr>
          </w14:shadow>
        </w:rPr>
      </w:pPr>
    </w:p>
    <w:p>
      <w:pPr>
        <w:jc w:val="center"/>
        <w:rPr>
          <w:rFonts w:hint="eastAsia" w:ascii="宋体" w:hAnsi="宋体" w:cs="宋体"/>
          <w:sz w:val="84"/>
          <w:lang w:eastAsia="zh-CN"/>
          <w14:shadow w14:blurRad="50800" w14:dist="38100" w14:dir="2700000" w14:sx="100000" w14:sy="100000" w14:kx="0" w14:ky="0" w14:algn="tl">
            <w14:srgbClr w14:val="000000">
              <w14:alpha w14:val="60000"/>
            </w14:srgbClr>
          </w14:shadow>
        </w:rPr>
      </w:pPr>
    </w:p>
    <w:p>
      <w:pPr>
        <w:jc w:val="center"/>
        <w:rPr>
          <w:rFonts w:hint="eastAsia" w:ascii="宋体" w:hAnsi="宋体" w:eastAsia="宋体" w:cs="宋体"/>
          <w:sz w:val="84"/>
          <w14:shadow w14:blurRad="50800" w14:dist="38100" w14:dir="2700000" w14:sx="100000" w14:sy="100000" w14:kx="0" w14:ky="0" w14:algn="tl">
            <w14:srgbClr w14:val="000000">
              <w14:alpha w14:val="60000"/>
            </w14:srgbClr>
          </w14:shadow>
        </w:rPr>
      </w:pPr>
      <w:r>
        <w:rPr>
          <w:rFonts w:hint="eastAsia" w:ascii="宋体" w:hAnsi="宋体" w:cs="宋体"/>
          <w:sz w:val="84"/>
          <w:lang w:eastAsia="zh-CN"/>
          <w14:shadow w14:blurRad="50800" w14:dist="38100" w14:dir="2700000" w14:sx="100000" w14:sy="100000" w14:kx="0" w14:ky="0" w14:algn="tl">
            <w14:srgbClr w14:val="000000">
              <w14:alpha w14:val="60000"/>
            </w14:srgbClr>
          </w14:shadow>
        </w:rPr>
        <w:t>招</w:t>
      </w:r>
      <w:r>
        <w:rPr>
          <w:rFonts w:hint="eastAsia" w:ascii="宋体" w:hAnsi="宋体" w:eastAsia="宋体" w:cs="宋体"/>
          <w:sz w:val="84"/>
          <w14:shadow w14:blurRad="50800" w14:dist="38100" w14:dir="2700000" w14:sx="100000" w14:sy="100000" w14:kx="0" w14:ky="0" w14:algn="tl">
            <w14:srgbClr w14:val="000000">
              <w14:alpha w14:val="60000"/>
            </w14:srgbClr>
          </w14:shadow>
        </w:rPr>
        <w:t xml:space="preserve"> 标 文 件</w:t>
      </w:r>
    </w:p>
    <w:p>
      <w:pPr>
        <w:ind w:firstLine="600"/>
        <w:rPr>
          <w:rFonts w:hint="eastAsia" w:ascii="宋体" w:hAnsi="宋体" w:eastAsia="宋体" w:cs="宋体"/>
          <w:sz w:val="32"/>
        </w:rPr>
      </w:pPr>
    </w:p>
    <w:p>
      <w:pPr>
        <w:ind w:firstLine="600"/>
        <w:rPr>
          <w:rFonts w:hint="eastAsia" w:ascii="宋体" w:hAnsi="宋体" w:eastAsia="宋体" w:cs="宋体"/>
          <w:sz w:val="32"/>
        </w:rPr>
      </w:pPr>
    </w:p>
    <w:p>
      <w:pPr>
        <w:rPr>
          <w:rFonts w:hint="eastAsia" w:ascii="宋体" w:hAnsi="宋体" w:eastAsia="宋体" w:cs="宋体"/>
          <w:sz w:val="48"/>
          <w:u w:val="single"/>
          <w14:shadow w14:blurRad="50800" w14:dist="38100" w14:dir="2700000" w14:sx="100000" w14:sy="100000" w14:kx="0" w14:ky="0" w14:algn="tl">
            <w14:srgbClr w14:val="000000">
              <w14:alpha w14:val="60000"/>
            </w14:srgbClr>
          </w14:shadow>
        </w:rPr>
      </w:pPr>
    </w:p>
    <w:p>
      <w:pPr>
        <w:rPr>
          <w:rFonts w:hint="eastAsia" w:ascii="宋体" w:hAnsi="宋体" w:eastAsia="宋体" w:cs="宋体"/>
          <w:sz w:val="48"/>
          <w:u w:val="single"/>
          <w14:shadow w14:blurRad="50800" w14:dist="38100" w14:dir="2700000" w14:sx="100000" w14:sy="100000" w14:kx="0" w14:ky="0" w14:algn="tl">
            <w14:srgbClr w14:val="000000">
              <w14:alpha w14:val="60000"/>
            </w14:srgbClr>
          </w14:shadow>
        </w:rPr>
      </w:pPr>
    </w:p>
    <w:p>
      <w:pPr>
        <w:jc w:val="center"/>
        <w:rPr>
          <w:rFonts w:hint="eastAsia" w:ascii="宋体" w:hAnsi="宋体" w:eastAsia="宋体" w:cs="宋体"/>
          <w:sz w:val="32"/>
          <w14:shadow w14:blurRad="50800" w14:dist="38100" w14:dir="2700000" w14:sx="100000" w14:sy="100000" w14:kx="0" w14:ky="0" w14:algn="tl">
            <w14:srgbClr w14:val="000000">
              <w14:alpha w14:val="60000"/>
            </w14:srgbClr>
          </w14:shadow>
        </w:rPr>
      </w:pPr>
      <w:r>
        <w:rPr>
          <w:rFonts w:hint="eastAsia" w:ascii="宋体" w:hAnsi="宋体" w:cs="宋体"/>
          <w:sz w:val="48"/>
          <w:u w:val="single"/>
          <w:lang w:eastAsia="zh-CN"/>
          <w14:shadow w14:blurRad="50800" w14:dist="38100" w14:dir="2700000" w14:sx="100000" w14:sy="100000" w14:kx="0" w14:ky="0" w14:algn="tl">
            <w14:srgbClr w14:val="000000">
              <w14:alpha w14:val="60000"/>
            </w14:srgbClr>
          </w14:shadow>
        </w:rPr>
        <w:t>浙江省肿瘤医院</w:t>
      </w:r>
      <w:r>
        <w:rPr>
          <w:rFonts w:hint="eastAsia" w:ascii="宋体" w:hAnsi="宋体" w:cs="宋体"/>
          <w:sz w:val="48"/>
          <w:u w:val="single"/>
          <w:lang w:val="en-US" w:eastAsia="zh-CN"/>
          <w14:shadow w14:blurRad="50800" w14:dist="38100" w14:dir="2700000" w14:sx="100000" w14:sy="100000" w14:kx="0" w14:ky="0" w14:algn="tl">
            <w14:srgbClr w14:val="000000">
              <w14:alpha w14:val="60000"/>
            </w14:srgbClr>
          </w14:shadow>
        </w:rPr>
        <w:t>安全阀采购</w:t>
      </w:r>
      <w:r>
        <w:rPr>
          <w:rFonts w:hint="eastAsia" w:ascii="宋体" w:hAnsi="宋体" w:cs="宋体"/>
          <w:sz w:val="48"/>
          <w:u w:val="single"/>
          <w:lang w:eastAsia="zh-CN"/>
          <w14:shadow w14:blurRad="50800" w14:dist="38100" w14:dir="2700000" w14:sx="100000" w14:sy="100000" w14:kx="0" w14:ky="0" w14:algn="tl">
            <w14:srgbClr w14:val="000000">
              <w14:alpha w14:val="60000"/>
            </w14:srgbClr>
          </w14:shadow>
        </w:rPr>
        <w:t>项目</w:t>
      </w:r>
    </w:p>
    <w:p>
      <w:pPr>
        <w:ind w:right="5525"/>
        <w:rPr>
          <w:rFonts w:hint="eastAsia" w:ascii="宋体" w:hAnsi="宋体" w:eastAsia="宋体" w:cs="宋体"/>
          <w:sz w:val="32"/>
          <w14:shadow w14:blurRad="50800" w14:dist="38100" w14:dir="2700000" w14:sx="100000" w14:sy="100000" w14:kx="0" w14:ky="0" w14:algn="tl">
            <w14:srgbClr w14:val="000000">
              <w14:alpha w14:val="60000"/>
            </w14:srgbClr>
          </w14:shadow>
        </w:rPr>
      </w:pPr>
    </w:p>
    <w:p>
      <w:pPr>
        <w:spacing w:before="240"/>
        <w:ind w:firstLine="600"/>
        <w:rPr>
          <w:rFonts w:hint="eastAsia" w:ascii="宋体" w:hAnsi="宋体" w:eastAsia="宋体" w:cs="宋体"/>
          <w14:shadow w14:blurRad="50800" w14:dist="38100" w14:dir="2700000" w14:sx="100000" w14:sy="100000" w14:kx="0" w14:ky="0" w14:algn="tl">
            <w14:srgbClr w14:val="000000">
              <w14:alpha w14:val="60000"/>
            </w14:srgbClr>
          </w14:shadow>
        </w:rPr>
      </w:pPr>
    </w:p>
    <w:p>
      <w:pPr>
        <w:spacing w:before="240"/>
        <w:ind w:firstLine="600"/>
        <w:rPr>
          <w:rFonts w:hint="eastAsia" w:ascii="宋体" w:hAnsi="宋体" w:eastAsia="宋体" w:cs="宋体"/>
          <w14:shadow w14:blurRad="50800" w14:dist="38100" w14:dir="2700000" w14:sx="100000" w14:sy="100000" w14:kx="0" w14:ky="0" w14:algn="tl">
            <w14:srgbClr w14:val="000000">
              <w14:alpha w14:val="60000"/>
            </w14:srgbClr>
          </w14:shadow>
        </w:rPr>
      </w:pPr>
    </w:p>
    <w:p>
      <w:pPr>
        <w:spacing w:before="240"/>
        <w:rPr>
          <w:rFonts w:hint="eastAsia" w:ascii="宋体" w:hAnsi="宋体" w:eastAsia="宋体" w:cs="宋体"/>
          <w14:shadow w14:blurRad="50800" w14:dist="38100" w14:dir="2700000" w14:sx="100000" w14:sy="100000" w14:kx="0" w14:ky="0" w14:algn="tl">
            <w14:srgbClr w14:val="000000">
              <w14:alpha w14:val="60000"/>
            </w14:srgbClr>
          </w14:shadow>
        </w:rPr>
      </w:pPr>
    </w:p>
    <w:p>
      <w:pPr>
        <w:spacing w:before="240"/>
        <w:ind w:firstLine="600"/>
        <w:rPr>
          <w:rFonts w:hint="eastAsia" w:ascii="宋体" w:hAnsi="宋体" w:eastAsia="宋体" w:cs="宋体"/>
          <w14:shadow w14:blurRad="50800" w14:dist="38100" w14:dir="2700000" w14:sx="100000" w14:sy="100000" w14:kx="0" w14:ky="0" w14:algn="tl">
            <w14:srgbClr w14:val="000000">
              <w14:alpha w14:val="60000"/>
            </w14:srgbClr>
          </w14:shadow>
        </w:rPr>
      </w:pPr>
    </w:p>
    <w:p>
      <w:pPr>
        <w:jc w:val="center"/>
        <w:rPr>
          <w:rFonts w:hint="eastAsia" w:ascii="宋体" w:hAnsi="宋体" w:eastAsia="宋体" w:cs="宋体"/>
          <w:sz w:val="32"/>
          <w:lang w:eastAsia="zh-CN"/>
          <w14:shadow w14:blurRad="50800" w14:dist="38100" w14:dir="2700000" w14:sx="100000" w14:sy="100000" w14:kx="0" w14:ky="0" w14:algn="tl">
            <w14:srgbClr w14:val="000000">
              <w14:alpha w14:val="60000"/>
            </w14:srgbClr>
          </w14:shadow>
        </w:rPr>
      </w:pPr>
      <w:r>
        <w:rPr>
          <w:rFonts w:hint="eastAsia" w:ascii="宋体" w:hAnsi="宋体" w:eastAsia="宋体" w:cs="宋体"/>
          <w:sz w:val="32"/>
          <w:lang w:eastAsia="zh-CN"/>
          <w14:shadow w14:blurRad="50800" w14:dist="38100" w14:dir="2700000" w14:sx="100000" w14:sy="100000" w14:kx="0" w14:ky="0" w14:algn="tl">
            <w14:srgbClr w14:val="000000">
              <w14:alpha w14:val="60000"/>
            </w14:srgbClr>
          </w14:shadow>
        </w:rPr>
        <w:t>浙江省肿瘤医院</w:t>
      </w:r>
    </w:p>
    <w:p>
      <w:pPr>
        <w:jc w:val="center"/>
        <w:rPr>
          <w:rFonts w:hint="eastAsia" w:ascii="宋体" w:hAnsi="宋体" w:eastAsia="宋体" w:cs="宋体"/>
          <w:sz w:val="32"/>
          <w14:shadow w14:blurRad="50800" w14:dist="38100" w14:dir="2700000" w14:sx="100000" w14:sy="100000" w14:kx="0" w14:ky="0" w14:algn="tl">
            <w14:srgbClr w14:val="000000">
              <w14:alpha w14:val="60000"/>
            </w14:srgbClr>
          </w14:shadow>
        </w:rPr>
        <w:sectPr>
          <w:footerReference r:id="rId6" w:type="first"/>
          <w:headerReference r:id="rId3" w:type="default"/>
          <w:footerReference r:id="rId4" w:type="default"/>
          <w:footerReference r:id="rId5" w:type="even"/>
          <w:pgSz w:w="11907" w:h="16840"/>
          <w:pgMar w:top="1418" w:right="1418" w:bottom="1418" w:left="1701" w:header="851" w:footer="851" w:gutter="0"/>
          <w:cols w:space="720" w:num="1"/>
          <w:titlePg/>
          <w:docGrid w:type="lines" w:linePitch="286" w:charSpace="0"/>
        </w:sectPr>
      </w:pPr>
      <w:r>
        <w:rPr>
          <w:rFonts w:hint="eastAsia" w:ascii="宋体" w:hAnsi="宋体" w:eastAsia="宋体" w:cs="宋体"/>
          <w:sz w:val="32"/>
          <w14:shadow w14:blurRad="50800" w14:dist="38100" w14:dir="2700000" w14:sx="100000" w14:sy="100000" w14:kx="0" w14:ky="0" w14:algn="tl">
            <w14:srgbClr w14:val="000000">
              <w14:alpha w14:val="60000"/>
            </w14:srgbClr>
          </w14:shadow>
        </w:rPr>
        <w:t>二○一</w:t>
      </w:r>
      <w:r>
        <w:rPr>
          <w:rFonts w:hint="eastAsia" w:ascii="宋体" w:hAnsi="宋体" w:cs="宋体"/>
          <w:sz w:val="32"/>
          <w:lang w:val="en-US" w:eastAsia="zh-CN"/>
          <w14:shadow w14:blurRad="50800" w14:dist="38100" w14:dir="2700000" w14:sx="100000" w14:sy="100000" w14:kx="0" w14:ky="0" w14:algn="tl">
            <w14:srgbClr w14:val="000000">
              <w14:alpha w14:val="60000"/>
            </w14:srgbClr>
          </w14:shadow>
        </w:rPr>
        <w:t>八</w:t>
      </w:r>
      <w:r>
        <w:rPr>
          <w:rFonts w:hint="eastAsia" w:ascii="宋体" w:hAnsi="宋体" w:eastAsia="宋体" w:cs="宋体"/>
          <w:sz w:val="32"/>
          <w14:shadow w14:blurRad="50800" w14:dist="38100" w14:dir="2700000" w14:sx="100000" w14:sy="100000" w14:kx="0" w14:ky="0" w14:algn="tl">
            <w14:srgbClr w14:val="000000">
              <w14:alpha w14:val="60000"/>
            </w14:srgbClr>
          </w14:shadow>
        </w:rPr>
        <w:t>年</w:t>
      </w:r>
      <w:r>
        <w:rPr>
          <w:rFonts w:hint="eastAsia" w:ascii="宋体" w:hAnsi="宋体" w:cs="宋体"/>
          <w:sz w:val="32"/>
          <w:lang w:val="en-US" w:eastAsia="zh-CN"/>
          <w14:shadow w14:blurRad="50800" w14:dist="38100" w14:dir="2700000" w14:sx="100000" w14:sy="100000" w14:kx="0" w14:ky="0" w14:algn="tl">
            <w14:srgbClr w14:val="000000">
              <w14:alpha w14:val="60000"/>
            </w14:srgbClr>
          </w14:shadow>
        </w:rPr>
        <w:t>一</w:t>
      </w:r>
      <w:r>
        <w:rPr>
          <w:rFonts w:hint="eastAsia" w:ascii="宋体" w:hAnsi="宋体" w:eastAsia="宋体" w:cs="宋体"/>
          <w:sz w:val="32"/>
          <w14:shadow w14:blurRad="50800" w14:dist="38100" w14:dir="2700000" w14:sx="100000" w14:sy="100000" w14:kx="0" w14:ky="0" w14:algn="tl">
            <w14:srgbClr w14:val="000000">
              <w14:alpha w14:val="60000"/>
            </w14:srgbClr>
          </w14:shadow>
        </w:rPr>
        <w:t>月</w:t>
      </w:r>
    </w:p>
    <w:p>
      <w:pPr>
        <w:pStyle w:val="3"/>
        <w:keepNext w:val="0"/>
        <w:keepLines w:val="0"/>
        <w:pageBreakBefore w:val="0"/>
        <w:kinsoku/>
        <w:overflowPunct/>
        <w:topLinePunct w:val="0"/>
        <w:autoSpaceDE/>
        <w:autoSpaceDN/>
        <w:bidi w:val="0"/>
        <w:adjustRightInd/>
        <w:snapToGrid/>
        <w:spacing w:before="0" w:beforeAutospacing="0" w:after="0" w:afterAutospacing="0" w:line="440" w:lineRule="exact"/>
        <w:ind w:left="360" w:right="0" w:rightChars="0" w:hanging="360" w:hangingChars="100"/>
        <w:jc w:val="center"/>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b/>
          <w:bCs/>
          <w:sz w:val="36"/>
          <w:szCs w:val="36"/>
          <w:lang w:val="zh-CN"/>
        </w:rPr>
        <w:t>浙江省肿瘤医院</w:t>
      </w:r>
      <w:r>
        <w:rPr>
          <w:rFonts w:hint="eastAsia" w:ascii="华文细黑" w:hAnsi="华文细黑" w:eastAsia="华文细黑" w:cs="华文细黑"/>
          <w:b/>
          <w:bCs/>
          <w:sz w:val="36"/>
          <w:szCs w:val="36"/>
          <w:lang w:val="en-US" w:eastAsia="zh-CN"/>
        </w:rPr>
        <w:t>安全阀采购项目</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我院拟采取公开招标议价谈判方式，完成浙江省肿瘤医院</w:t>
      </w:r>
      <w:r>
        <w:rPr>
          <w:rFonts w:hint="eastAsia" w:ascii="华文细黑" w:hAnsi="华文细黑" w:eastAsia="华文细黑" w:cs="华文细黑"/>
          <w:color w:val="auto"/>
          <w:sz w:val="24"/>
          <w:szCs w:val="24"/>
          <w:lang w:val="en-US" w:eastAsia="zh-CN"/>
        </w:rPr>
        <w:t>安全阀采购</w:t>
      </w:r>
      <w:r>
        <w:rPr>
          <w:rFonts w:hint="eastAsia" w:ascii="华文细黑" w:hAnsi="华文细黑" w:eastAsia="华文细黑" w:cs="华文细黑"/>
          <w:color w:val="auto"/>
          <w:sz w:val="24"/>
          <w:szCs w:val="24"/>
        </w:rPr>
        <w:t>项目招标，现将有关事项公告如下：</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一、项目名称和</w:t>
      </w:r>
      <w:r>
        <w:rPr>
          <w:rFonts w:hint="eastAsia" w:ascii="华文细黑" w:hAnsi="华文细黑" w:eastAsia="华文细黑" w:cs="华文细黑"/>
          <w:b/>
          <w:bCs/>
          <w:color w:val="auto"/>
          <w:sz w:val="24"/>
          <w:szCs w:val="24"/>
          <w:lang w:val="en-US" w:eastAsia="zh-CN"/>
        </w:rPr>
        <w:t>质量保证</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项目名称：浙江省肿瘤医院</w:t>
      </w:r>
      <w:r>
        <w:rPr>
          <w:rFonts w:hint="eastAsia" w:ascii="华文细黑" w:hAnsi="华文细黑" w:eastAsia="华文细黑" w:cs="华文细黑"/>
          <w:color w:val="auto"/>
          <w:sz w:val="24"/>
          <w:szCs w:val="24"/>
          <w:lang w:val="en-US" w:eastAsia="zh-CN"/>
        </w:rPr>
        <w:t>安全阀采购</w:t>
      </w:r>
      <w:r>
        <w:rPr>
          <w:rFonts w:hint="eastAsia" w:ascii="华文细黑" w:hAnsi="华文细黑" w:eastAsia="华文细黑" w:cs="华文细黑"/>
          <w:color w:val="auto"/>
          <w:sz w:val="24"/>
          <w:szCs w:val="24"/>
        </w:rPr>
        <w:t>项目。</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rPr>
        <w:t xml:space="preserve">2. </w:t>
      </w:r>
      <w:r>
        <w:rPr>
          <w:rFonts w:hint="eastAsia" w:ascii="华文细黑" w:hAnsi="华文细黑" w:eastAsia="华文细黑" w:cs="华文细黑"/>
          <w:color w:val="auto"/>
          <w:sz w:val="24"/>
          <w:szCs w:val="24"/>
          <w:lang w:val="en-US" w:eastAsia="zh-CN"/>
        </w:rPr>
        <w:t>质量保证：</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（1）所供货物是全新的、未使用过的货物，同时应保证货物的各项功能和技术指标达到投标文件和国家相关标准。</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（2）货物在正确安装、正常使用和保养条件下，在建筑物使用寿命内的正常使用和运行。</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（3）货物质保期不得少于24个月（含人工及配件维修）。</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二、服务内容</w:t>
      </w:r>
    </w:p>
    <w:p>
      <w:pPr>
        <w:spacing w:line="400" w:lineRule="exact"/>
        <w:ind w:left="-426" w:right="-340" w:rightChars="-162" w:firstLine="480" w:firstLineChars="200"/>
        <w:rPr>
          <w:rFonts w:hint="eastAsia" w:ascii="华文细黑" w:hAnsi="华文细黑" w:eastAsia="华文细黑" w:cs="华文细黑"/>
          <w:b w:val="0"/>
          <w:bCs/>
          <w:kern w:val="0"/>
          <w:sz w:val="24"/>
          <w:szCs w:val="24"/>
        </w:rPr>
      </w:pPr>
      <w:r>
        <w:rPr>
          <w:rFonts w:hint="eastAsia" w:ascii="华文细黑" w:hAnsi="华文细黑" w:eastAsia="华文细黑" w:cs="华文细黑"/>
          <w:b w:val="0"/>
          <w:bCs/>
          <w:kern w:val="0"/>
          <w:sz w:val="24"/>
          <w:szCs w:val="24"/>
          <w:lang w:val="en-US" w:eastAsia="zh-CN"/>
        </w:rPr>
        <w:t>1.</w:t>
      </w:r>
      <w:r>
        <w:rPr>
          <w:rFonts w:hint="eastAsia" w:ascii="华文细黑" w:hAnsi="华文细黑" w:eastAsia="华文细黑" w:cs="华文细黑"/>
          <w:b w:val="0"/>
          <w:bCs/>
          <w:kern w:val="0"/>
          <w:sz w:val="24"/>
          <w:szCs w:val="24"/>
        </w:rPr>
        <w:t>货物（品牌、规格、厂家、产地）、服务名称、数量、单价及</w:t>
      </w:r>
      <w:r>
        <w:rPr>
          <w:rFonts w:hint="eastAsia" w:ascii="华文细黑" w:hAnsi="华文细黑" w:eastAsia="华文细黑" w:cs="华文细黑"/>
          <w:b w:val="0"/>
          <w:bCs/>
          <w:kern w:val="0"/>
          <w:sz w:val="24"/>
          <w:szCs w:val="24"/>
          <w:lang w:val="en-US" w:eastAsia="zh-CN"/>
        </w:rPr>
        <w:t>投标</w:t>
      </w:r>
      <w:r>
        <w:rPr>
          <w:rFonts w:hint="eastAsia" w:ascii="华文细黑" w:hAnsi="华文细黑" w:eastAsia="华文细黑" w:cs="华文细黑"/>
          <w:b w:val="0"/>
          <w:bCs/>
          <w:kern w:val="0"/>
          <w:sz w:val="24"/>
          <w:szCs w:val="24"/>
        </w:rPr>
        <w:t>分项价格、总价：</w:t>
      </w:r>
    </w:p>
    <w:tbl>
      <w:tblPr>
        <w:tblStyle w:val="11"/>
        <w:tblpPr w:leftFromText="180" w:rightFromText="180" w:vertAnchor="text" w:horzAnchor="page" w:tblpX="1740" w:tblpY="17"/>
        <w:tblOverlap w:val="never"/>
        <w:tblW w:w="8610" w:type="dxa"/>
        <w:tblInd w:w="0" w:type="dxa"/>
        <w:tblLayout w:type="fixed"/>
        <w:tblCellMar>
          <w:top w:w="0" w:type="dxa"/>
          <w:left w:w="30" w:type="dxa"/>
          <w:bottom w:w="0" w:type="dxa"/>
          <w:right w:w="30" w:type="dxa"/>
        </w:tblCellMar>
      </w:tblPr>
      <w:tblGrid>
        <w:gridCol w:w="597"/>
        <w:gridCol w:w="4122"/>
        <w:gridCol w:w="933"/>
        <w:gridCol w:w="1000"/>
        <w:gridCol w:w="1017"/>
        <w:gridCol w:w="941"/>
      </w:tblGrid>
      <w:tr>
        <w:tblPrEx>
          <w:tblLayout w:type="fixed"/>
          <w:tblCellMar>
            <w:top w:w="0" w:type="dxa"/>
            <w:left w:w="30" w:type="dxa"/>
            <w:bottom w:w="0" w:type="dxa"/>
            <w:right w:w="30" w:type="dxa"/>
          </w:tblCellMar>
        </w:tblPrEx>
        <w:trPr>
          <w:trHeight w:val="406" w:hRule="atLeast"/>
        </w:trPr>
        <w:tc>
          <w:tcPr>
            <w:tcW w:w="597" w:type="dxa"/>
            <w:tcBorders>
              <w:top w:val="double" w:color="auto" w:sz="4" w:space="0"/>
              <w:left w:val="double" w:color="auto" w:sz="4" w:space="0"/>
              <w:bottom w:val="single" w:color="auto" w:sz="6"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r>
              <w:rPr>
                <w:rFonts w:hint="eastAsia" w:ascii="华文细黑" w:hAnsi="华文细黑" w:eastAsia="华文细黑" w:cs="华文细黑"/>
                <w:sz w:val="21"/>
                <w:szCs w:val="21"/>
              </w:rPr>
              <w:t>序号</w:t>
            </w:r>
          </w:p>
        </w:tc>
        <w:tc>
          <w:tcPr>
            <w:tcW w:w="4122" w:type="dxa"/>
            <w:tcBorders>
              <w:top w:val="double" w:color="auto" w:sz="4" w:space="0"/>
              <w:left w:val="single" w:color="auto" w:sz="4" w:space="0"/>
              <w:bottom w:val="single" w:color="auto" w:sz="6"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r>
              <w:rPr>
                <w:rFonts w:hint="eastAsia" w:ascii="华文细黑" w:hAnsi="华文细黑" w:eastAsia="华文细黑" w:cs="华文细黑"/>
                <w:sz w:val="21"/>
                <w:szCs w:val="21"/>
              </w:rPr>
              <w:t>货物名称</w:t>
            </w:r>
          </w:p>
        </w:tc>
        <w:tc>
          <w:tcPr>
            <w:tcW w:w="933" w:type="dxa"/>
            <w:tcBorders>
              <w:top w:val="double" w:color="auto" w:sz="4" w:space="0"/>
              <w:left w:val="single" w:color="auto" w:sz="4" w:space="0"/>
              <w:bottom w:val="single" w:color="auto" w:sz="6"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r>
              <w:rPr>
                <w:rFonts w:hint="eastAsia" w:ascii="华文细黑" w:hAnsi="华文细黑" w:eastAsia="华文细黑" w:cs="华文细黑"/>
                <w:sz w:val="21"/>
                <w:szCs w:val="21"/>
              </w:rPr>
              <w:t>数量（件）</w:t>
            </w:r>
          </w:p>
        </w:tc>
        <w:tc>
          <w:tcPr>
            <w:tcW w:w="1000" w:type="dxa"/>
            <w:tcBorders>
              <w:top w:val="double" w:color="auto" w:sz="4" w:space="0"/>
              <w:left w:val="single" w:color="auto" w:sz="4" w:space="0"/>
              <w:bottom w:val="single" w:color="auto" w:sz="6"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r>
              <w:rPr>
                <w:rFonts w:hint="eastAsia" w:ascii="华文细黑" w:hAnsi="华文细黑" w:eastAsia="华文细黑" w:cs="华文细黑"/>
                <w:sz w:val="21"/>
                <w:szCs w:val="21"/>
              </w:rPr>
              <w:t>产地/品牌</w:t>
            </w:r>
          </w:p>
        </w:tc>
        <w:tc>
          <w:tcPr>
            <w:tcW w:w="1017" w:type="dxa"/>
            <w:tcBorders>
              <w:top w:val="double" w:color="auto" w:sz="4" w:space="0"/>
              <w:left w:val="single" w:color="auto" w:sz="4" w:space="0"/>
              <w:bottom w:val="single" w:color="auto" w:sz="6"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r>
              <w:rPr>
                <w:rFonts w:hint="eastAsia" w:ascii="华文细黑" w:hAnsi="华文细黑" w:eastAsia="华文细黑" w:cs="华文细黑"/>
                <w:sz w:val="21"/>
                <w:szCs w:val="21"/>
              </w:rPr>
              <w:t>单价（元）</w:t>
            </w:r>
          </w:p>
        </w:tc>
        <w:tc>
          <w:tcPr>
            <w:tcW w:w="941" w:type="dxa"/>
            <w:tcBorders>
              <w:top w:val="double" w:color="auto" w:sz="4" w:space="0"/>
              <w:left w:val="single" w:color="auto" w:sz="4" w:space="0"/>
              <w:bottom w:val="single" w:color="auto" w:sz="6" w:space="0"/>
              <w:right w:val="doub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r>
              <w:rPr>
                <w:rFonts w:hint="eastAsia" w:ascii="华文细黑" w:hAnsi="华文细黑" w:eastAsia="华文细黑" w:cs="华文细黑"/>
                <w:sz w:val="21"/>
                <w:szCs w:val="21"/>
              </w:rPr>
              <w:t>合价（元）</w:t>
            </w:r>
          </w:p>
        </w:tc>
      </w:tr>
      <w:tr>
        <w:tblPrEx>
          <w:tblLayout w:type="fixed"/>
          <w:tblCellMar>
            <w:top w:w="0" w:type="dxa"/>
            <w:left w:w="30" w:type="dxa"/>
            <w:bottom w:w="0" w:type="dxa"/>
            <w:right w:w="30" w:type="dxa"/>
          </w:tblCellMar>
        </w:tblPrEx>
        <w:trPr>
          <w:trHeight w:val="681" w:hRule="atLeast"/>
        </w:trPr>
        <w:tc>
          <w:tcPr>
            <w:tcW w:w="597" w:type="dxa"/>
            <w:tcBorders>
              <w:top w:val="single" w:color="auto" w:sz="6" w:space="0"/>
              <w:left w:val="doub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lang w:val="en-US" w:eastAsia="zh-CN"/>
              </w:rPr>
            </w:pPr>
            <w:r>
              <w:rPr>
                <w:rFonts w:hint="eastAsia" w:ascii="华文细黑" w:hAnsi="华文细黑" w:eastAsia="华文细黑" w:cs="华文细黑"/>
                <w:sz w:val="21"/>
                <w:szCs w:val="21"/>
                <w:lang w:val="en-US" w:eastAsia="zh-CN"/>
              </w:rPr>
              <w:t>1</w:t>
            </w:r>
          </w:p>
        </w:tc>
        <w:tc>
          <w:tcPr>
            <w:tcW w:w="4122" w:type="dxa"/>
            <w:tcBorders>
              <w:top w:val="single" w:color="auto" w:sz="6" w:space="0"/>
              <w:left w:val="sing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lang w:val="en-US" w:eastAsia="zh-CN"/>
              </w:rPr>
            </w:pPr>
            <w:r>
              <w:rPr>
                <w:rFonts w:hint="eastAsia" w:ascii="华文细黑" w:hAnsi="华文细黑" w:eastAsia="华文细黑" w:cs="华文细黑"/>
                <w:sz w:val="21"/>
                <w:szCs w:val="21"/>
                <w:lang w:val="en-US" w:eastAsia="zh-CN"/>
              </w:rPr>
              <w:t>安全阀 球墨铸铁 DN50 PN25法兰连接6.5-10.4barg 开式阀盖/微升杆/set:10barg</w:t>
            </w:r>
          </w:p>
        </w:tc>
        <w:tc>
          <w:tcPr>
            <w:tcW w:w="933" w:type="dxa"/>
            <w:tcBorders>
              <w:top w:val="single" w:color="auto" w:sz="6" w:space="0"/>
              <w:left w:val="sing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r>
              <w:rPr>
                <w:rFonts w:hint="eastAsia" w:ascii="华文细黑" w:hAnsi="华文细黑" w:eastAsia="华文细黑" w:cs="华文细黑"/>
                <w:sz w:val="21"/>
                <w:szCs w:val="21"/>
                <w:lang w:val="en-US" w:eastAsia="zh-CN"/>
              </w:rPr>
              <w:t>1</w:t>
            </w:r>
          </w:p>
        </w:tc>
        <w:tc>
          <w:tcPr>
            <w:tcW w:w="1000" w:type="dxa"/>
            <w:tcBorders>
              <w:top w:val="single" w:color="auto" w:sz="6" w:space="0"/>
              <w:left w:val="sing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lang w:val="en-US" w:eastAsia="zh-CN"/>
              </w:rPr>
            </w:pPr>
            <w:r>
              <w:rPr>
                <w:rFonts w:hint="eastAsia" w:ascii="华文细黑" w:hAnsi="华文细黑" w:eastAsia="华文细黑" w:cs="华文细黑"/>
                <w:sz w:val="21"/>
                <w:szCs w:val="21"/>
                <w:lang w:val="en-US" w:eastAsia="zh-CN"/>
              </w:rPr>
              <w:t>西门子、斯派莎克、艾瑞或同档次品牌</w:t>
            </w:r>
          </w:p>
        </w:tc>
        <w:tc>
          <w:tcPr>
            <w:tcW w:w="1017" w:type="dxa"/>
            <w:tcBorders>
              <w:top w:val="single" w:color="auto" w:sz="6" w:space="0"/>
              <w:left w:val="sing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p>
        </w:tc>
        <w:tc>
          <w:tcPr>
            <w:tcW w:w="941" w:type="dxa"/>
            <w:tcBorders>
              <w:top w:val="single" w:color="auto" w:sz="6" w:space="0"/>
              <w:left w:val="single" w:color="auto" w:sz="4" w:space="0"/>
              <w:right w:val="doub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p>
        </w:tc>
      </w:tr>
      <w:tr>
        <w:tblPrEx>
          <w:tblLayout w:type="fixed"/>
          <w:tblCellMar>
            <w:top w:w="0" w:type="dxa"/>
            <w:left w:w="30" w:type="dxa"/>
            <w:bottom w:w="0" w:type="dxa"/>
            <w:right w:w="30" w:type="dxa"/>
          </w:tblCellMar>
        </w:tblPrEx>
        <w:trPr>
          <w:trHeight w:val="681" w:hRule="atLeast"/>
        </w:trPr>
        <w:tc>
          <w:tcPr>
            <w:tcW w:w="597" w:type="dxa"/>
            <w:tcBorders>
              <w:top w:val="single" w:color="auto" w:sz="6" w:space="0"/>
              <w:left w:val="doub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lang w:val="en-US" w:eastAsia="zh-CN"/>
              </w:rPr>
            </w:pPr>
            <w:r>
              <w:rPr>
                <w:rFonts w:hint="eastAsia" w:ascii="华文细黑" w:hAnsi="华文细黑" w:eastAsia="华文细黑" w:cs="华文细黑"/>
                <w:sz w:val="21"/>
                <w:szCs w:val="21"/>
                <w:lang w:val="en-US" w:eastAsia="zh-CN"/>
              </w:rPr>
              <w:t>2</w:t>
            </w:r>
          </w:p>
        </w:tc>
        <w:tc>
          <w:tcPr>
            <w:tcW w:w="4122" w:type="dxa"/>
            <w:tcBorders>
              <w:top w:val="single" w:color="auto" w:sz="6" w:space="0"/>
              <w:left w:val="sing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r>
              <w:rPr>
                <w:rFonts w:hint="eastAsia" w:ascii="华文细黑" w:hAnsi="华文细黑" w:eastAsia="华文细黑" w:cs="华文细黑"/>
                <w:sz w:val="21"/>
                <w:szCs w:val="21"/>
                <w:lang w:val="en-US" w:eastAsia="zh-CN"/>
              </w:rPr>
              <w:t>安全阀 球墨铸铁 DN50 PN25法兰连接6.5-10.4barg 开式阀盖/微升杆/set:10.2barg</w:t>
            </w:r>
          </w:p>
        </w:tc>
        <w:tc>
          <w:tcPr>
            <w:tcW w:w="933" w:type="dxa"/>
            <w:tcBorders>
              <w:top w:val="single" w:color="auto" w:sz="6" w:space="0"/>
              <w:left w:val="sing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lang w:val="en-US" w:eastAsia="zh-CN"/>
              </w:rPr>
            </w:pPr>
            <w:r>
              <w:rPr>
                <w:rFonts w:hint="eastAsia" w:ascii="华文细黑" w:hAnsi="华文细黑" w:eastAsia="华文细黑" w:cs="华文细黑"/>
                <w:sz w:val="21"/>
                <w:szCs w:val="21"/>
                <w:lang w:val="en-US" w:eastAsia="zh-CN"/>
              </w:rPr>
              <w:t>1</w:t>
            </w:r>
          </w:p>
        </w:tc>
        <w:tc>
          <w:tcPr>
            <w:tcW w:w="1000" w:type="dxa"/>
            <w:tcBorders>
              <w:top w:val="single" w:color="auto" w:sz="6" w:space="0"/>
              <w:left w:val="sing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r>
              <w:rPr>
                <w:rFonts w:hint="eastAsia" w:ascii="华文细黑" w:hAnsi="华文细黑" w:eastAsia="华文细黑" w:cs="华文细黑"/>
                <w:sz w:val="21"/>
                <w:szCs w:val="21"/>
                <w:lang w:val="en-US" w:eastAsia="zh-CN"/>
              </w:rPr>
              <w:t>西门子、斯派莎克、艾瑞或同档次品牌</w:t>
            </w:r>
          </w:p>
        </w:tc>
        <w:tc>
          <w:tcPr>
            <w:tcW w:w="1017" w:type="dxa"/>
            <w:tcBorders>
              <w:top w:val="single" w:color="auto" w:sz="6" w:space="0"/>
              <w:left w:val="sing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p>
        </w:tc>
        <w:tc>
          <w:tcPr>
            <w:tcW w:w="941" w:type="dxa"/>
            <w:tcBorders>
              <w:top w:val="single" w:color="auto" w:sz="6" w:space="0"/>
              <w:left w:val="single" w:color="auto" w:sz="4" w:space="0"/>
              <w:right w:val="doub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p>
        </w:tc>
      </w:tr>
      <w:tr>
        <w:tblPrEx>
          <w:tblLayout w:type="fixed"/>
          <w:tblCellMar>
            <w:top w:w="0" w:type="dxa"/>
            <w:left w:w="30" w:type="dxa"/>
            <w:bottom w:w="0" w:type="dxa"/>
            <w:right w:w="30" w:type="dxa"/>
          </w:tblCellMar>
        </w:tblPrEx>
        <w:trPr>
          <w:trHeight w:val="681" w:hRule="atLeast"/>
        </w:trPr>
        <w:tc>
          <w:tcPr>
            <w:tcW w:w="597" w:type="dxa"/>
            <w:tcBorders>
              <w:top w:val="single" w:color="auto" w:sz="6" w:space="0"/>
              <w:left w:val="doub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lang w:val="en-US" w:eastAsia="zh-CN"/>
              </w:rPr>
            </w:pPr>
            <w:r>
              <w:rPr>
                <w:rFonts w:hint="eastAsia" w:ascii="华文细黑" w:hAnsi="华文细黑" w:eastAsia="华文细黑" w:cs="华文细黑"/>
                <w:sz w:val="21"/>
                <w:szCs w:val="21"/>
                <w:lang w:val="en-US" w:eastAsia="zh-CN"/>
              </w:rPr>
              <w:t>3</w:t>
            </w:r>
          </w:p>
        </w:tc>
        <w:tc>
          <w:tcPr>
            <w:tcW w:w="4122" w:type="dxa"/>
            <w:tcBorders>
              <w:top w:val="single" w:color="auto" w:sz="6" w:space="0"/>
              <w:left w:val="sing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r>
              <w:rPr>
                <w:rFonts w:hint="eastAsia" w:ascii="华文细黑" w:hAnsi="华文细黑" w:eastAsia="华文细黑" w:cs="华文细黑"/>
                <w:sz w:val="21"/>
                <w:szCs w:val="21"/>
                <w:lang w:val="en-US" w:eastAsia="zh-CN"/>
              </w:rPr>
              <w:t>安全阀 球墨铸铁 DN80 PN25法兰连接8.7-10.4barg 开式阀盖/微升杆/set:10barg</w:t>
            </w:r>
          </w:p>
        </w:tc>
        <w:tc>
          <w:tcPr>
            <w:tcW w:w="933" w:type="dxa"/>
            <w:tcBorders>
              <w:top w:val="single" w:color="auto" w:sz="6" w:space="0"/>
              <w:left w:val="sing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lang w:val="en-US" w:eastAsia="zh-CN"/>
              </w:rPr>
            </w:pPr>
            <w:r>
              <w:rPr>
                <w:rFonts w:hint="eastAsia" w:ascii="华文细黑" w:hAnsi="华文细黑" w:eastAsia="华文细黑" w:cs="华文细黑"/>
                <w:sz w:val="21"/>
                <w:szCs w:val="21"/>
                <w:lang w:val="en-US" w:eastAsia="zh-CN"/>
              </w:rPr>
              <w:t>2</w:t>
            </w:r>
          </w:p>
        </w:tc>
        <w:tc>
          <w:tcPr>
            <w:tcW w:w="1000" w:type="dxa"/>
            <w:tcBorders>
              <w:top w:val="single" w:color="auto" w:sz="6" w:space="0"/>
              <w:left w:val="sing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r>
              <w:rPr>
                <w:rFonts w:hint="eastAsia" w:ascii="华文细黑" w:hAnsi="华文细黑" w:eastAsia="华文细黑" w:cs="华文细黑"/>
                <w:sz w:val="21"/>
                <w:szCs w:val="21"/>
                <w:lang w:val="en-US" w:eastAsia="zh-CN"/>
              </w:rPr>
              <w:t>西门子、斯派莎克、艾瑞或同档次品牌</w:t>
            </w:r>
          </w:p>
        </w:tc>
        <w:tc>
          <w:tcPr>
            <w:tcW w:w="1017" w:type="dxa"/>
            <w:tcBorders>
              <w:top w:val="single" w:color="auto" w:sz="6" w:space="0"/>
              <w:left w:val="sing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p>
        </w:tc>
        <w:tc>
          <w:tcPr>
            <w:tcW w:w="941" w:type="dxa"/>
            <w:tcBorders>
              <w:top w:val="single" w:color="auto" w:sz="6" w:space="0"/>
              <w:left w:val="single" w:color="auto" w:sz="4" w:space="0"/>
              <w:right w:val="doub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p>
        </w:tc>
      </w:tr>
      <w:tr>
        <w:tblPrEx>
          <w:tblLayout w:type="fixed"/>
          <w:tblCellMar>
            <w:top w:w="0" w:type="dxa"/>
            <w:left w:w="30" w:type="dxa"/>
            <w:bottom w:w="0" w:type="dxa"/>
            <w:right w:w="30" w:type="dxa"/>
          </w:tblCellMar>
        </w:tblPrEx>
        <w:trPr>
          <w:trHeight w:val="681" w:hRule="atLeast"/>
        </w:trPr>
        <w:tc>
          <w:tcPr>
            <w:tcW w:w="597" w:type="dxa"/>
            <w:tcBorders>
              <w:top w:val="single" w:color="auto" w:sz="6" w:space="0"/>
              <w:left w:val="doub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lang w:val="en-US" w:eastAsia="zh-CN"/>
              </w:rPr>
            </w:pPr>
            <w:r>
              <w:rPr>
                <w:rFonts w:hint="eastAsia" w:ascii="华文细黑" w:hAnsi="华文细黑" w:eastAsia="华文细黑" w:cs="华文细黑"/>
                <w:sz w:val="21"/>
                <w:szCs w:val="21"/>
                <w:lang w:val="en-US" w:eastAsia="zh-CN"/>
              </w:rPr>
              <w:t>4</w:t>
            </w:r>
          </w:p>
        </w:tc>
        <w:tc>
          <w:tcPr>
            <w:tcW w:w="4122" w:type="dxa"/>
            <w:tcBorders>
              <w:top w:val="single" w:color="auto" w:sz="6" w:space="0"/>
              <w:left w:val="sing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r>
              <w:rPr>
                <w:rFonts w:hint="eastAsia" w:ascii="华文细黑" w:hAnsi="华文细黑" w:eastAsia="华文细黑" w:cs="华文细黑"/>
                <w:sz w:val="21"/>
                <w:szCs w:val="21"/>
                <w:lang w:val="en-US" w:eastAsia="zh-CN"/>
              </w:rPr>
              <w:t>安全阀 球墨铸铁 DN80 PN25法兰连接8.7-10.4barg 开式阀盖/微升杆/set:10.2barg</w:t>
            </w:r>
          </w:p>
        </w:tc>
        <w:tc>
          <w:tcPr>
            <w:tcW w:w="933" w:type="dxa"/>
            <w:tcBorders>
              <w:top w:val="single" w:color="auto" w:sz="6" w:space="0"/>
              <w:left w:val="sing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lang w:val="en-US" w:eastAsia="zh-CN"/>
              </w:rPr>
            </w:pPr>
            <w:r>
              <w:rPr>
                <w:rFonts w:hint="eastAsia" w:ascii="华文细黑" w:hAnsi="华文细黑" w:eastAsia="华文细黑" w:cs="华文细黑"/>
                <w:sz w:val="21"/>
                <w:szCs w:val="21"/>
                <w:lang w:val="en-US" w:eastAsia="zh-CN"/>
              </w:rPr>
              <w:t>2</w:t>
            </w:r>
          </w:p>
        </w:tc>
        <w:tc>
          <w:tcPr>
            <w:tcW w:w="1000" w:type="dxa"/>
            <w:tcBorders>
              <w:top w:val="single" w:color="auto" w:sz="6" w:space="0"/>
              <w:left w:val="sing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r>
              <w:rPr>
                <w:rFonts w:hint="eastAsia" w:ascii="华文细黑" w:hAnsi="华文细黑" w:eastAsia="华文细黑" w:cs="华文细黑"/>
                <w:sz w:val="21"/>
                <w:szCs w:val="21"/>
                <w:lang w:val="en-US" w:eastAsia="zh-CN"/>
              </w:rPr>
              <w:t>西门子、斯派莎克、艾瑞或同档次品牌</w:t>
            </w:r>
          </w:p>
        </w:tc>
        <w:tc>
          <w:tcPr>
            <w:tcW w:w="1017" w:type="dxa"/>
            <w:tcBorders>
              <w:top w:val="single" w:color="auto" w:sz="6" w:space="0"/>
              <w:left w:val="sing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p>
        </w:tc>
        <w:tc>
          <w:tcPr>
            <w:tcW w:w="941" w:type="dxa"/>
            <w:tcBorders>
              <w:top w:val="single" w:color="auto" w:sz="6" w:space="0"/>
              <w:left w:val="single" w:color="auto" w:sz="4" w:space="0"/>
              <w:right w:val="doub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p>
        </w:tc>
      </w:tr>
      <w:tr>
        <w:tblPrEx>
          <w:tblLayout w:type="fixed"/>
          <w:tblCellMar>
            <w:top w:w="0" w:type="dxa"/>
            <w:left w:w="30" w:type="dxa"/>
            <w:bottom w:w="0" w:type="dxa"/>
            <w:right w:w="30" w:type="dxa"/>
          </w:tblCellMar>
        </w:tblPrEx>
        <w:trPr>
          <w:trHeight w:val="681" w:hRule="atLeast"/>
        </w:trPr>
        <w:tc>
          <w:tcPr>
            <w:tcW w:w="597" w:type="dxa"/>
            <w:tcBorders>
              <w:top w:val="single" w:color="auto" w:sz="6" w:space="0"/>
              <w:left w:val="doub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lang w:val="en-US" w:eastAsia="zh-CN"/>
              </w:rPr>
            </w:pPr>
            <w:r>
              <w:rPr>
                <w:rFonts w:hint="eastAsia" w:ascii="华文细黑" w:hAnsi="华文细黑" w:eastAsia="华文细黑" w:cs="华文细黑"/>
                <w:sz w:val="21"/>
                <w:szCs w:val="21"/>
                <w:lang w:val="en-US" w:eastAsia="zh-CN"/>
              </w:rPr>
              <w:t>5</w:t>
            </w:r>
          </w:p>
        </w:tc>
        <w:tc>
          <w:tcPr>
            <w:tcW w:w="4122" w:type="dxa"/>
            <w:tcBorders>
              <w:top w:val="single" w:color="auto" w:sz="6" w:space="0"/>
              <w:left w:val="sing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lang w:val="en-US" w:eastAsia="zh-CN"/>
              </w:rPr>
            </w:pPr>
            <w:r>
              <w:rPr>
                <w:rFonts w:hint="eastAsia" w:ascii="华文细黑" w:hAnsi="华文细黑" w:eastAsia="华文细黑" w:cs="华文细黑"/>
                <w:sz w:val="21"/>
                <w:szCs w:val="21"/>
                <w:lang w:val="en-US" w:eastAsia="zh-CN"/>
              </w:rPr>
              <w:t>安全阀 球墨铸铁 DN32 PN25法兰连接3.8-5.5barg 开式阀盖/微升杆/set:5.5barg</w:t>
            </w:r>
          </w:p>
        </w:tc>
        <w:tc>
          <w:tcPr>
            <w:tcW w:w="933" w:type="dxa"/>
            <w:tcBorders>
              <w:top w:val="single" w:color="auto" w:sz="6" w:space="0"/>
              <w:left w:val="sing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lang w:val="en-US" w:eastAsia="zh-CN"/>
              </w:rPr>
            </w:pPr>
            <w:r>
              <w:rPr>
                <w:rFonts w:hint="eastAsia" w:ascii="华文细黑" w:hAnsi="华文细黑" w:eastAsia="华文细黑" w:cs="华文细黑"/>
                <w:sz w:val="21"/>
                <w:szCs w:val="21"/>
                <w:lang w:val="en-US" w:eastAsia="zh-CN"/>
              </w:rPr>
              <w:t>1</w:t>
            </w:r>
          </w:p>
        </w:tc>
        <w:tc>
          <w:tcPr>
            <w:tcW w:w="1000" w:type="dxa"/>
            <w:tcBorders>
              <w:top w:val="single" w:color="auto" w:sz="6" w:space="0"/>
              <w:left w:val="sing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r>
              <w:rPr>
                <w:rFonts w:hint="eastAsia" w:ascii="华文细黑" w:hAnsi="华文细黑" w:eastAsia="华文细黑" w:cs="华文细黑"/>
                <w:sz w:val="21"/>
                <w:szCs w:val="21"/>
                <w:lang w:val="en-US" w:eastAsia="zh-CN"/>
              </w:rPr>
              <w:t>西门子、斯派莎克、艾瑞或同档次品牌</w:t>
            </w:r>
          </w:p>
        </w:tc>
        <w:tc>
          <w:tcPr>
            <w:tcW w:w="1017" w:type="dxa"/>
            <w:tcBorders>
              <w:top w:val="single" w:color="auto" w:sz="6" w:space="0"/>
              <w:left w:val="sing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p>
        </w:tc>
        <w:tc>
          <w:tcPr>
            <w:tcW w:w="941" w:type="dxa"/>
            <w:tcBorders>
              <w:top w:val="single" w:color="auto" w:sz="6" w:space="0"/>
              <w:left w:val="single" w:color="auto" w:sz="4" w:space="0"/>
              <w:right w:val="doub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p>
        </w:tc>
      </w:tr>
      <w:tr>
        <w:tblPrEx>
          <w:tblLayout w:type="fixed"/>
          <w:tblCellMar>
            <w:top w:w="0" w:type="dxa"/>
            <w:left w:w="30" w:type="dxa"/>
            <w:bottom w:w="0" w:type="dxa"/>
            <w:right w:w="30" w:type="dxa"/>
          </w:tblCellMar>
        </w:tblPrEx>
        <w:trPr>
          <w:cantSplit/>
          <w:trHeight w:val="445" w:hRule="atLeast"/>
        </w:trPr>
        <w:tc>
          <w:tcPr>
            <w:tcW w:w="8610" w:type="dxa"/>
            <w:gridSpan w:val="6"/>
            <w:tcBorders>
              <w:top w:val="single" w:color="auto" w:sz="6" w:space="0"/>
              <w:left w:val="double" w:color="auto" w:sz="4" w:space="0"/>
              <w:bottom w:val="double" w:color="auto" w:sz="4" w:space="0"/>
              <w:right w:val="doub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r>
              <w:rPr>
                <w:rFonts w:hint="eastAsia" w:ascii="华文细黑" w:hAnsi="华文细黑" w:eastAsia="华文细黑" w:cs="华文细黑"/>
                <w:b/>
                <w:bCs/>
                <w:sz w:val="21"/>
                <w:szCs w:val="21"/>
                <w:lang w:val="en-US" w:eastAsia="zh-CN"/>
              </w:rPr>
              <w:t>报</w:t>
            </w:r>
            <w:r>
              <w:rPr>
                <w:rFonts w:hint="eastAsia" w:ascii="华文细黑" w:hAnsi="华文细黑" w:eastAsia="华文细黑" w:cs="华文细黑"/>
                <w:b/>
                <w:bCs/>
                <w:sz w:val="21"/>
                <w:szCs w:val="21"/>
              </w:rPr>
              <w:t>价</w:t>
            </w:r>
            <w:r>
              <w:rPr>
                <w:rFonts w:hint="eastAsia" w:ascii="华文细黑" w:hAnsi="华文细黑" w:eastAsia="华文细黑" w:cs="华文细黑"/>
                <w:sz w:val="21"/>
                <w:szCs w:val="21"/>
              </w:rPr>
              <w:t>（人民币大写）</w:t>
            </w:r>
            <w:r>
              <w:rPr>
                <w:rFonts w:hint="eastAsia" w:ascii="华文细黑" w:hAnsi="华文细黑" w:eastAsia="华文细黑" w:cs="华文细黑"/>
                <w:sz w:val="21"/>
                <w:szCs w:val="21"/>
                <w:u w:val="single"/>
              </w:rPr>
              <w:t>人民币</w:t>
            </w:r>
            <w:r>
              <w:rPr>
                <w:rFonts w:hint="eastAsia" w:ascii="华文细黑" w:hAnsi="华文细黑" w:eastAsia="华文细黑" w:cs="华文细黑"/>
                <w:sz w:val="21"/>
                <w:szCs w:val="21"/>
                <w:u w:val="single"/>
                <w:lang w:val="en-US" w:eastAsia="zh-CN"/>
              </w:rPr>
              <w:t xml:space="preserve">          </w:t>
            </w:r>
            <w:r>
              <w:rPr>
                <w:rFonts w:hint="eastAsia" w:ascii="华文细黑" w:hAnsi="华文细黑" w:eastAsia="华文细黑" w:cs="华文细黑"/>
                <w:sz w:val="21"/>
                <w:szCs w:val="21"/>
                <w:u w:val="single"/>
              </w:rPr>
              <w:t>元整</w:t>
            </w:r>
            <w:r>
              <w:rPr>
                <w:rFonts w:hint="eastAsia" w:ascii="华文细黑" w:hAnsi="华文细黑" w:eastAsia="华文细黑" w:cs="华文细黑"/>
                <w:sz w:val="21"/>
                <w:szCs w:val="21"/>
              </w:rPr>
              <w:t xml:space="preserve">  </w:t>
            </w:r>
          </w:p>
          <w:p>
            <w:pPr>
              <w:autoSpaceDE w:val="0"/>
              <w:autoSpaceDN w:val="0"/>
              <w:adjustRightInd w:val="0"/>
              <w:spacing w:line="400" w:lineRule="exact"/>
              <w:jc w:val="center"/>
              <w:rPr>
                <w:rFonts w:hint="eastAsia" w:ascii="华文细黑" w:hAnsi="华文细黑" w:eastAsia="华文细黑" w:cs="华文细黑"/>
                <w:sz w:val="21"/>
                <w:szCs w:val="21"/>
              </w:rPr>
            </w:pPr>
            <w:r>
              <w:rPr>
                <w:rFonts w:hint="eastAsia" w:ascii="华文细黑" w:hAnsi="华文细黑" w:eastAsia="华文细黑" w:cs="华文细黑"/>
                <w:sz w:val="21"/>
                <w:szCs w:val="21"/>
                <w:lang w:val="en-US" w:eastAsia="zh-CN"/>
              </w:rPr>
              <w:t xml:space="preserve">  </w:t>
            </w:r>
            <w:r>
              <w:rPr>
                <w:rFonts w:hint="eastAsia" w:ascii="华文细黑" w:hAnsi="华文细黑" w:eastAsia="华文细黑" w:cs="华文细黑"/>
                <w:sz w:val="21"/>
                <w:szCs w:val="21"/>
              </w:rPr>
              <w:t>（人民币小写）¥</w:t>
            </w:r>
            <w:r>
              <w:rPr>
                <w:rFonts w:hint="eastAsia" w:ascii="华文细黑" w:hAnsi="华文细黑" w:eastAsia="华文细黑" w:cs="华文细黑"/>
                <w:sz w:val="21"/>
                <w:szCs w:val="21"/>
                <w:lang w:val="en-US" w:eastAsia="zh-CN"/>
              </w:rPr>
              <w:t xml:space="preserve"> </w:t>
            </w:r>
            <w:r>
              <w:rPr>
                <w:rFonts w:hint="eastAsia" w:ascii="华文细黑" w:hAnsi="华文细黑" w:eastAsia="华文细黑" w:cs="华文细黑"/>
                <w:sz w:val="21"/>
                <w:szCs w:val="21"/>
                <w:u w:val="single"/>
                <w:lang w:val="en-US" w:eastAsia="zh-CN"/>
              </w:rPr>
              <w:t xml:space="preserve">      </w:t>
            </w:r>
            <w:r>
              <w:rPr>
                <w:rFonts w:hint="eastAsia" w:ascii="华文细黑" w:hAnsi="华文细黑" w:eastAsia="华文细黑" w:cs="华文细黑"/>
                <w:sz w:val="21"/>
                <w:szCs w:val="21"/>
              </w:rPr>
              <w:t>元</w:t>
            </w:r>
          </w:p>
        </w:tc>
      </w:tr>
    </w:tbl>
    <w:p>
      <w:pPr>
        <w:numPr>
          <w:ilvl w:val="0"/>
          <w:numId w:val="0"/>
        </w:numPr>
        <w:spacing w:line="400" w:lineRule="exact"/>
        <w:ind w:right="-340" w:rightChars="-162"/>
        <w:rPr>
          <w:rFonts w:hint="eastAsia" w:ascii="华文细黑" w:hAnsi="华文细黑" w:eastAsia="华文细黑" w:cs="华文细黑"/>
          <w:kern w:val="0"/>
          <w:sz w:val="24"/>
          <w:szCs w:val="24"/>
          <w:highlight w:val="yellow"/>
        </w:rPr>
      </w:pP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lang w:val="en-US" w:eastAsia="zh-CN"/>
        </w:rPr>
        <w:t>2.投标</w:t>
      </w:r>
      <w:r>
        <w:rPr>
          <w:rFonts w:hint="eastAsia" w:ascii="华文细黑" w:hAnsi="华文细黑" w:eastAsia="华文细黑" w:cs="华文细黑"/>
          <w:color w:val="auto"/>
          <w:sz w:val="24"/>
          <w:szCs w:val="24"/>
        </w:rPr>
        <w:t>价格为货物到达</w:t>
      </w:r>
      <w:r>
        <w:rPr>
          <w:rFonts w:hint="eastAsia" w:ascii="华文细黑" w:hAnsi="华文细黑" w:eastAsia="华文细黑" w:cs="华文细黑"/>
          <w:color w:val="auto"/>
          <w:sz w:val="24"/>
          <w:szCs w:val="24"/>
          <w:lang w:val="en-US" w:eastAsia="zh-CN"/>
        </w:rPr>
        <w:t>医院</w:t>
      </w:r>
      <w:r>
        <w:rPr>
          <w:rFonts w:hint="eastAsia" w:ascii="华文细黑" w:hAnsi="华文细黑" w:eastAsia="华文细黑" w:cs="华文细黑"/>
          <w:color w:val="auto"/>
          <w:sz w:val="24"/>
          <w:szCs w:val="24"/>
        </w:rPr>
        <w:t>指定地点价格，包含一切税费、货物费、运杂费、保险费、装卸落地费、保管费、货物仓储费、二次搬运费（搬运至各区域所发生的全部费用）、检测验收费（有关法律法规规定的货物进场、材料和成品抽检、最终检测及验收费）及质保期内维护保养等</w:t>
      </w:r>
      <w:r>
        <w:rPr>
          <w:rFonts w:hint="eastAsia" w:ascii="华文细黑" w:hAnsi="华文细黑" w:eastAsia="华文细黑" w:cs="华文细黑"/>
          <w:color w:val="auto"/>
          <w:sz w:val="24"/>
          <w:szCs w:val="24"/>
          <w:lang w:val="en-US" w:eastAsia="zh-CN"/>
        </w:rPr>
        <w:t>完成本项目所需的</w:t>
      </w:r>
      <w:r>
        <w:rPr>
          <w:rFonts w:hint="eastAsia" w:ascii="华文细黑" w:hAnsi="华文细黑" w:eastAsia="华文细黑" w:cs="华文细黑"/>
          <w:color w:val="auto"/>
          <w:sz w:val="24"/>
          <w:szCs w:val="24"/>
        </w:rPr>
        <w:t>所有费用等</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rPr>
        <w:t>实行固定单价</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lang w:val="en-US" w:eastAsia="zh-CN"/>
        </w:rPr>
        <w:t>单价按投标报价</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rPr>
        <w:t>包干。</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lang w:val="en-US" w:eastAsia="zh-CN"/>
        </w:rPr>
        <w:t>3.</w:t>
      </w:r>
      <w:r>
        <w:rPr>
          <w:rFonts w:hint="eastAsia" w:ascii="华文细黑" w:hAnsi="华文细黑" w:eastAsia="华文细黑" w:cs="华文细黑"/>
          <w:color w:val="auto"/>
          <w:sz w:val="24"/>
          <w:szCs w:val="24"/>
        </w:rPr>
        <w:t>因实际需要调整供货数量时，合同总价按结算时实际货物验收单数量为准。涉及采购变更，必须由</w:t>
      </w:r>
      <w:r>
        <w:rPr>
          <w:rFonts w:hint="eastAsia" w:ascii="华文细黑" w:hAnsi="华文细黑" w:eastAsia="华文细黑" w:cs="华文细黑"/>
          <w:color w:val="auto"/>
          <w:sz w:val="24"/>
          <w:szCs w:val="24"/>
          <w:lang w:val="en-US" w:eastAsia="zh-CN"/>
        </w:rPr>
        <w:t>医院</w:t>
      </w:r>
      <w:r>
        <w:rPr>
          <w:rFonts w:hint="eastAsia" w:ascii="华文细黑" w:hAnsi="华文细黑" w:eastAsia="华文细黑" w:cs="华文细黑"/>
          <w:color w:val="auto"/>
          <w:sz w:val="24"/>
          <w:szCs w:val="24"/>
        </w:rPr>
        <w:t>书面确认后方可作为结算的依据。</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三、供应商资格条件</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1.符合《中华人民共和国政府采购法》第二十二条规定条件；必须具备本次招标货物或服务的经营资质；</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2.近三年内有从事上述项目经营的业绩；</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3.须具有《特种设备制造许可证》；</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4.本项目不接受联合体投标</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四、响应文件编制要求</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响应文件分商务文件和技术文件。</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2. 商务文件包含完成本项目所需的全部报价及其他相关服务承诺、优惠条件。</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3. 技术文件包含公司简介、企业法人营业执照、法人代表及委托代理人身份证复印件、法人授权委托书、资质证书复印件（复印件需加盖单位公章）等相关证明材料；</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五、报价文件</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w:t>
      </w:r>
      <w:r>
        <w:rPr>
          <w:rFonts w:hint="eastAsia" w:ascii="华文细黑" w:hAnsi="华文细黑" w:eastAsia="华文细黑" w:cs="华文细黑"/>
          <w:color w:val="auto"/>
          <w:sz w:val="24"/>
          <w:szCs w:val="24"/>
          <w:lang w:val="en-US" w:eastAsia="zh-CN"/>
        </w:rPr>
        <w:t>按本文件第二条第1款表格内所列内容报价。</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lang w:val="en-US" w:eastAsia="zh-CN"/>
        </w:rPr>
        <w:t>2</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lang w:val="en-US" w:eastAsia="zh-CN"/>
        </w:rPr>
        <w:t>采购到货</w:t>
      </w:r>
      <w:r>
        <w:rPr>
          <w:rFonts w:hint="eastAsia" w:ascii="华文细黑" w:hAnsi="华文细黑" w:eastAsia="华文细黑" w:cs="华文细黑"/>
          <w:color w:val="auto"/>
          <w:sz w:val="24"/>
          <w:szCs w:val="24"/>
        </w:rPr>
        <w:t>响应周期及相应优惠条件等。</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六、评标办法</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本次招标采用</w:t>
      </w:r>
      <w:r>
        <w:rPr>
          <w:rFonts w:hint="eastAsia" w:ascii="华文细黑" w:hAnsi="华文细黑" w:eastAsia="华文细黑" w:cs="华文细黑"/>
          <w:color w:val="auto"/>
          <w:sz w:val="24"/>
          <w:szCs w:val="24"/>
          <w:lang w:val="en-US" w:eastAsia="zh-CN"/>
        </w:rPr>
        <w:t>最低价中标法</w:t>
      </w:r>
      <w:r>
        <w:rPr>
          <w:rFonts w:hint="eastAsia" w:ascii="华文细黑" w:hAnsi="华文细黑" w:eastAsia="华文细黑" w:cs="华文细黑"/>
          <w:color w:val="auto"/>
          <w:sz w:val="24"/>
          <w:szCs w:val="24"/>
        </w:rPr>
        <w:t>。</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七、报价要求</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lang w:val="en-US" w:eastAsia="zh-CN"/>
        </w:rPr>
        <w:t>本次报价总价不得超过10万元</w:t>
      </w:r>
      <w:r>
        <w:rPr>
          <w:rFonts w:hint="eastAsia" w:ascii="华文细黑" w:hAnsi="华文细黑" w:eastAsia="华文细黑" w:cs="华文细黑"/>
          <w:color w:val="auto"/>
          <w:sz w:val="24"/>
          <w:szCs w:val="24"/>
        </w:rPr>
        <w:t>。</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八、合同签订</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1.中标人须在7个工作日内，与我院签订采购合同，否则，将视为自动放弃本项目的所有权利，取消中标资格。</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2. 合同签订前，我院将对合同内容进行审查，如发现与采购结果和投标承诺内容不一致的，取消中标资格。</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3. 中标人若拖延、拒签合同的,将取消中标资格。</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九、付款方式</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按合同约定付款，付款以转账支票形式支付。</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十、投标截止时间、开标时间及地点</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递交投标文件截止时间：2018年</w:t>
      </w:r>
      <w:r>
        <w:rPr>
          <w:rFonts w:hint="eastAsia" w:ascii="华文细黑" w:hAnsi="华文细黑" w:eastAsia="华文细黑" w:cs="华文细黑"/>
          <w:color w:val="auto"/>
          <w:sz w:val="24"/>
          <w:szCs w:val="24"/>
          <w:lang w:val="en-US" w:eastAsia="zh-CN"/>
        </w:rPr>
        <w:t>2</w:t>
      </w:r>
      <w:r>
        <w:rPr>
          <w:rFonts w:hint="eastAsia" w:ascii="华文细黑" w:hAnsi="华文细黑" w:eastAsia="华文细黑" w:cs="华文细黑"/>
          <w:color w:val="auto"/>
          <w:sz w:val="24"/>
          <w:szCs w:val="24"/>
        </w:rPr>
        <w:t>月</w:t>
      </w:r>
      <w:r>
        <w:rPr>
          <w:rFonts w:hint="eastAsia" w:ascii="华文细黑" w:hAnsi="华文细黑" w:eastAsia="华文细黑" w:cs="华文细黑"/>
          <w:color w:val="auto"/>
          <w:sz w:val="24"/>
          <w:szCs w:val="24"/>
          <w:lang w:val="en-US" w:eastAsia="zh-CN"/>
        </w:rPr>
        <w:t>2</w:t>
      </w:r>
      <w:r>
        <w:rPr>
          <w:rFonts w:hint="eastAsia" w:ascii="华文细黑" w:hAnsi="华文细黑" w:eastAsia="华文细黑" w:cs="华文细黑"/>
          <w:color w:val="auto"/>
          <w:sz w:val="24"/>
          <w:szCs w:val="24"/>
        </w:rPr>
        <w:t>日（周</w:t>
      </w:r>
      <w:r>
        <w:rPr>
          <w:rFonts w:hint="eastAsia" w:ascii="华文细黑" w:hAnsi="华文细黑" w:eastAsia="华文细黑" w:cs="华文细黑"/>
          <w:color w:val="auto"/>
          <w:sz w:val="24"/>
          <w:szCs w:val="24"/>
          <w:lang w:val="en-US" w:eastAsia="zh-CN"/>
        </w:rPr>
        <w:t>五</w:t>
      </w:r>
      <w:r>
        <w:rPr>
          <w:rFonts w:hint="eastAsia" w:ascii="华文细黑" w:hAnsi="华文细黑" w:eastAsia="华文细黑" w:cs="华文细黑"/>
          <w:color w:val="auto"/>
          <w:sz w:val="24"/>
          <w:szCs w:val="24"/>
        </w:rPr>
        <w:t>）14：00</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2．开标时间：2018年</w:t>
      </w:r>
      <w:r>
        <w:rPr>
          <w:rFonts w:hint="eastAsia" w:ascii="华文细黑" w:hAnsi="华文细黑" w:eastAsia="华文细黑" w:cs="华文细黑"/>
          <w:color w:val="auto"/>
          <w:sz w:val="24"/>
          <w:szCs w:val="24"/>
          <w:lang w:val="en-US" w:eastAsia="zh-CN"/>
        </w:rPr>
        <w:t>2</w:t>
      </w:r>
      <w:r>
        <w:rPr>
          <w:rFonts w:hint="eastAsia" w:ascii="华文细黑" w:hAnsi="华文细黑" w:eastAsia="华文细黑" w:cs="华文细黑"/>
          <w:color w:val="auto"/>
          <w:sz w:val="24"/>
          <w:szCs w:val="24"/>
        </w:rPr>
        <w:t>月</w:t>
      </w:r>
      <w:r>
        <w:rPr>
          <w:rFonts w:hint="eastAsia" w:ascii="华文细黑" w:hAnsi="华文细黑" w:eastAsia="华文细黑" w:cs="华文细黑"/>
          <w:color w:val="auto"/>
          <w:sz w:val="24"/>
          <w:szCs w:val="24"/>
          <w:lang w:val="en-US" w:eastAsia="zh-CN"/>
        </w:rPr>
        <w:t>2</w:t>
      </w:r>
      <w:r>
        <w:rPr>
          <w:rFonts w:hint="eastAsia" w:ascii="华文细黑" w:hAnsi="华文细黑" w:eastAsia="华文细黑" w:cs="华文细黑"/>
          <w:color w:val="auto"/>
          <w:sz w:val="24"/>
          <w:szCs w:val="24"/>
        </w:rPr>
        <w:t>日（周</w:t>
      </w:r>
      <w:r>
        <w:rPr>
          <w:rFonts w:hint="eastAsia" w:ascii="华文细黑" w:hAnsi="华文细黑" w:eastAsia="华文细黑" w:cs="华文细黑"/>
          <w:color w:val="auto"/>
          <w:sz w:val="24"/>
          <w:szCs w:val="24"/>
          <w:lang w:val="en-US" w:eastAsia="zh-CN"/>
        </w:rPr>
        <w:t>五</w:t>
      </w:r>
      <w:r>
        <w:rPr>
          <w:rFonts w:hint="eastAsia" w:ascii="华文细黑" w:hAnsi="华文细黑" w:eastAsia="华文细黑" w:cs="华文细黑"/>
          <w:color w:val="auto"/>
          <w:sz w:val="24"/>
          <w:szCs w:val="24"/>
        </w:rPr>
        <w:t>）14：00</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3．投标地点：浙江省肿瘤医院行政楼411室</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4. 开标地点：浙江省肿瘤医院行政楼411室</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十一、联系方式：</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地址：杭州市拱墅区半山东路1号</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2. 联系方式：</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 xml:space="preserve">  联系人：</w:t>
      </w:r>
      <w:r>
        <w:rPr>
          <w:rFonts w:hint="eastAsia" w:ascii="华文细黑" w:hAnsi="华文细黑" w:eastAsia="华文细黑" w:cs="华文细黑"/>
          <w:color w:val="auto"/>
          <w:sz w:val="24"/>
          <w:szCs w:val="24"/>
          <w:lang w:val="en-US" w:eastAsia="zh-CN"/>
        </w:rPr>
        <w:t>叶</w:t>
      </w:r>
      <w:r>
        <w:rPr>
          <w:rFonts w:hint="eastAsia" w:ascii="华文细黑" w:hAnsi="华文细黑" w:eastAsia="华文细黑" w:cs="华文细黑"/>
          <w:color w:val="auto"/>
          <w:sz w:val="24"/>
          <w:szCs w:val="24"/>
        </w:rPr>
        <w:t>先生    联系电话：0571-88122528</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 xml:space="preserve">     </w:t>
      </w:r>
      <w:r>
        <w:rPr>
          <w:rFonts w:hint="eastAsia" w:ascii="华文细黑" w:hAnsi="华文细黑" w:eastAsia="华文细黑" w:cs="华文细黑"/>
          <w:color w:val="auto"/>
          <w:sz w:val="24"/>
          <w:szCs w:val="24"/>
          <w:lang w:val="en-US" w:eastAsia="zh-CN"/>
        </w:rPr>
        <w:t xml:space="preserve">                                                </w:t>
      </w:r>
      <w:r>
        <w:rPr>
          <w:rFonts w:hint="eastAsia" w:ascii="华文细黑" w:hAnsi="华文细黑" w:eastAsia="华文细黑" w:cs="华文细黑"/>
          <w:color w:val="auto"/>
          <w:sz w:val="24"/>
          <w:szCs w:val="24"/>
        </w:rPr>
        <w:t>浙江省肿瘤医院</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 xml:space="preserve">                                                   2018年1月25</w:t>
      </w:r>
      <w:bookmarkStart w:id="0" w:name="_GoBack"/>
      <w:bookmarkEnd w:id="0"/>
      <w:r>
        <w:rPr>
          <w:rFonts w:hint="eastAsia" w:ascii="华文细黑" w:hAnsi="华文细黑" w:eastAsia="华文细黑" w:cs="华文细黑"/>
          <w:color w:val="auto"/>
          <w:sz w:val="24"/>
          <w:szCs w:val="24"/>
          <w:lang w:val="en-US" w:eastAsia="zh-CN"/>
        </w:rPr>
        <w:t>日</w:t>
      </w:r>
    </w:p>
    <w:sectPr>
      <w:headerReference r:id="rId8" w:type="first"/>
      <w:footerReference r:id="rId10" w:type="first"/>
      <w:headerReference r:id="rId7" w:type="default"/>
      <w:footerReference r:id="rId9" w:type="default"/>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宋体-PUA">
    <w:altName w:val="宋体"/>
    <w:panose1 w:val="02010600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Arial Narrow">
    <w:panose1 w:val="020B0606020202030204"/>
    <w:charset w:val="00"/>
    <w:family w:val="swiss"/>
    <w:pitch w:val="default"/>
    <w:sig w:usb0="00000287" w:usb1="00000800" w:usb2="00000000" w:usb3="00000000" w:csb0="2000009F" w:csb1="DFD70000"/>
  </w:font>
  <w:font w:name="微软繁隶书">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CS?o｡ﾀ?">
    <w:altName w:val="MS PGothic"/>
    <w:panose1 w:val="00000000000000000000"/>
    <w:charset w:val="80"/>
    <w:family w:val="modern"/>
    <w:pitch w:val="default"/>
    <w:sig w:usb0="00000000" w:usb1="00000000" w:usb2="00000010" w:usb3="00000000" w:csb0="00020000" w:csb1="00000000"/>
  </w:font>
  <w:font w:name="??">
    <w:altName w:val="Times New Roman"/>
    <w:panose1 w:val="00000000000000000000"/>
    <w:charset w:val="00"/>
    <w:family w:val="roman"/>
    <w:pitch w:val="default"/>
    <w:sig w:usb0="00000000" w:usb1="00000000" w:usb2="00000000" w:usb3="00000000" w:csb0="00000001" w:csb1="00000000"/>
  </w:font>
  <w:font w:name="华文细黑">
    <w:panose1 w:val="02010600040101010101"/>
    <w:charset w:val="86"/>
    <w:family w:val="auto"/>
    <w:pitch w:val="default"/>
    <w:sig w:usb0="00000287" w:usb1="080F0000" w:usb2="00000000" w:usb3="00000000" w:csb0="0004009F" w:csb1="DFD70000"/>
  </w:font>
  <w:font w:name="_x000B__x000C_">
    <w:altName w:val="Times New Roman"/>
    <w:panose1 w:val="00000000000000000000"/>
    <w:charset w:val="00"/>
    <w:family w:val="roman"/>
    <w:pitch w:val="default"/>
    <w:sig w:usb0="00000000" w:usb1="00000000" w:usb2="00000000" w:usb3="00000000" w:csb0="00040001" w:csb1="00000000"/>
  </w:font>
  <w:font w:name="方正仿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 w:name="方正仿宋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80F3C52" w:usb2="00000016" w:usb3="00000000" w:csb0="0004001F" w:csb1="00000000"/>
  </w:font>
  <w:font w:name="锐字云字库隶书体1.0">
    <w:panose1 w:val="02010604000000000000"/>
    <w:charset w:val="86"/>
    <w:family w:val="auto"/>
    <w:pitch w:val="default"/>
    <w:sig w:usb0="00000003" w:usb1="080E0000" w:usb2="00000000" w:usb3="00000000" w:csb0="00040001" w:csb1="00000000"/>
  </w:font>
  <w:font w:name="Calibri Light">
    <w:panose1 w:val="020F0302020204030204"/>
    <w:charset w:val="00"/>
    <w:family w:val="auto"/>
    <w:pitch w:val="default"/>
    <w:sig w:usb0="A00002EF" w:usb1="4000207B" w:usb2="00000000" w:usb3="00000000" w:csb0="2000019F" w:csb1="00000000"/>
  </w:font>
  <w:font w:name="宋体-PUA">
    <w:altName w:val="宋体"/>
    <w:panose1 w:val="00000000000000000000"/>
    <w:charset w:val="00"/>
    <w:family w:val="auto"/>
    <w:pitch w:val="default"/>
    <w:sig w:usb0="00000000" w:usb1="00000000" w:usb2="00000000" w:usb3="00000000" w:csb0="00000000" w:csb1="00000000"/>
  </w:font>
  <w:font w:name="义启粗楷体">
    <w:panose1 w:val="02010601030101010101"/>
    <w:charset w:val="80"/>
    <w:family w:val="auto"/>
    <w:pitch w:val="default"/>
    <w:sig w:usb0="800002BF" w:usb1="184F6CF8" w:usb2="00000012" w:usb3="00000000" w:csb0="00020001" w:csb1="00000000"/>
  </w:font>
  <w:font w:name="叶根友特隶简体08">
    <w:panose1 w:val="02010601030101010101"/>
    <w:charset w:val="86"/>
    <w:family w:val="auto"/>
    <w:pitch w:val="default"/>
    <w:sig w:usb0="00000001" w:usb1="080E0000" w:usb2="00000000" w:usb3="00000000" w:csb0="00040000" w:csb1="00000000"/>
  </w:font>
  <w:font w:name="叶根友行书(繁)08">
    <w:panose1 w:val="02010601030101010101"/>
    <w:charset w:val="86"/>
    <w:family w:val="auto"/>
    <w:pitch w:val="default"/>
    <w:sig w:usb0="00000001" w:usb1="080E0000" w:usb2="00000000" w:usb3="00000000" w:csb0="00040000" w:csb1="00000000"/>
  </w:font>
  <w:font w:name="字体管家元旦">
    <w:panose1 w:val="02000500000000000000"/>
    <w:charset w:val="86"/>
    <w:family w:val="auto"/>
    <w:pitch w:val="default"/>
    <w:sig w:usb0="F7FFAEFF" w:usb1="F9DFFFFF" w:usb2="001FFDFF" w:usb3="00000000" w:csb0="00040003" w:csb1="C4900000"/>
  </w:font>
  <w:font w:name="字体管家初恋体">
    <w:panose1 w:val="02000500000000000000"/>
    <w:charset w:val="80"/>
    <w:family w:val="auto"/>
    <w:pitch w:val="default"/>
    <w:sig w:usb0="F7FFAEFF" w:usb1="F9DFFFFF" w:usb2="001FFDFF" w:usb3="00000000" w:csb0="600301FF" w:csb1="FFFF0000"/>
  </w:font>
  <w:font w:name="字体管家娜娜体">
    <w:panose1 w:val="00020600040101010101"/>
    <w:charset w:val="86"/>
    <w:family w:val="auto"/>
    <w:pitch w:val="default"/>
    <w:sig w:usb0="A00002BF" w:usb1="18EF7CFA" w:usb2="00000016" w:usb3="00000000" w:csb0="0004009F" w:csb1="DFD70000"/>
  </w:font>
  <w:font w:name="字体管家彩虹羊">
    <w:panose1 w:val="02000500000000000000"/>
    <w:charset w:val="80"/>
    <w:family w:val="auto"/>
    <w:pitch w:val="default"/>
    <w:sig w:usb0="F7FFAEFF" w:usb1="F9DFFFFF" w:usb2="001FFDFF" w:usb3="00000000" w:csb0="600301FF" w:csb1="FFFF0000"/>
  </w:font>
  <w:font w:name="字体管家糖果">
    <w:panose1 w:val="00020600040101010101"/>
    <w:charset w:val="86"/>
    <w:family w:val="auto"/>
    <w:pitch w:val="default"/>
    <w:sig w:usb0="A00002BF" w:usb1="18EF7CFA" w:usb2="00000016" w:usb3="00000000" w:csb0="0004009F" w:csb1="DFD70000"/>
  </w:font>
  <w:font w:name="字体管家萌兔奔月">
    <w:panose1 w:val="00020600040101010101"/>
    <w:charset w:val="86"/>
    <w:family w:val="auto"/>
    <w:pitch w:val="default"/>
    <w:sig w:usb0="A00002BF" w:usb1="18EF7CFA" w:usb2="00000016" w:usb3="00000000" w:csb0="0004009F" w:csb1="DFD70000"/>
  </w:font>
  <w:font w:name="文鼎中楷体">
    <w:panose1 w:val="03000600000000000000"/>
    <w:charset w:val="86"/>
    <w:family w:val="auto"/>
    <w:pitch w:val="default"/>
    <w:sig w:usb0="800002BF" w:usb1="184F6CF8" w:usb2="00000012" w:usb3="00000000" w:csb0="00040001" w:csb1="00000000"/>
  </w:font>
  <w:font w:name="文鼎特勘亭流体">
    <w:panose1 w:val="03000900000000000000"/>
    <w:charset w:val="86"/>
    <w:family w:val="auto"/>
    <w:pitch w:val="default"/>
    <w:sig w:usb0="A00002BF" w:usb1="184F6CF8" w:usb2="00000012" w:usb3="00000000" w:csb0="00040001" w:csb1="00000000"/>
  </w:font>
  <w:font w:name="文鼎行楷碑体_B">
    <w:panose1 w:val="04020800000000000000"/>
    <w:charset w:val="86"/>
    <w:family w:val="auto"/>
    <w:pitch w:val="default"/>
    <w:sig w:usb0="A00002BF" w:usb1="184F6CF8" w:usb2="00000012"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Batang">
    <w:panose1 w:val="02030600000101010101"/>
    <w:charset w:val="81"/>
    <w:family w:val="auto"/>
    <w:pitch w:val="default"/>
    <w:sig w:usb0="B00002AF" w:usb1="69D77CFB" w:usb2="00000030" w:usb3="00000000" w:csb0="4008009F" w:csb1="DFD70000"/>
  </w:font>
  <w:font w:name="ˎ̥">
    <w:altName w:val="Times New Roman"/>
    <w:panose1 w:val="00000000000000000000"/>
    <w:charset w:val="00"/>
    <w:family w:val="roman"/>
    <w:pitch w:val="default"/>
    <w:sig w:usb0="00000000" w:usb1="00000000" w:usb2="00000000" w:usb3="00000000" w:csb0="00040001" w:csb1="00000000"/>
  </w:font>
  <w:font w:name="Malgun Gothic">
    <w:panose1 w:val="020B0503020000020004"/>
    <w:charset w:val="81"/>
    <w:family w:val="auto"/>
    <w:pitch w:val="default"/>
    <w:sig w:usb0="900002AF" w:usb1="01D77CFB" w:usb2="00000012" w:usb3="00000000" w:csb0="00080001" w:csb1="00000000"/>
  </w:font>
  <w:font w:name="新宋体">
    <w:panose1 w:val="02010609030101010101"/>
    <w:charset w:val="86"/>
    <w:family w:val="auto"/>
    <w:pitch w:val="default"/>
    <w:sig w:usb0="00000003" w:usb1="288F0000" w:usb2="00000006" w:usb3="00000000" w:csb0="00040001" w:csb1="00000000"/>
  </w:font>
  <w:font w:name="方正汉简简体">
    <w:panose1 w:val="02000000000000000000"/>
    <w:charset w:val="86"/>
    <w:family w:val="auto"/>
    <w:pitch w:val="default"/>
    <w:sig w:usb0="800002BF" w:usb1="184F6CFA" w:usb2="00000012" w:usb3="00000000" w:csb0="00040000" w:csb1="00000000"/>
  </w:font>
  <w:font w:name="方正隶变_GBK">
    <w:panose1 w:val="02000000000000000000"/>
    <w:charset w:val="86"/>
    <w:family w:val="auto"/>
    <w:pitch w:val="default"/>
    <w:sig w:usb0="800002BF" w:usb1="38CF7CFA" w:usb2="00000016" w:usb3="00000000" w:csb0="00040000" w:csb1="00000000"/>
  </w:font>
  <w:font w:name="汉仪仿宋简">
    <w:panose1 w:val="02010600000101010101"/>
    <w:charset w:val="86"/>
    <w:family w:val="auto"/>
    <w:pitch w:val="default"/>
    <w:sig w:usb0="00000001" w:usb1="080E0800" w:usb2="00000002" w:usb3="00000000" w:csb0="00040000" w:csb1="00000000"/>
  </w:font>
  <w:font w:name="腾祥倩影简">
    <w:panose1 w:val="01010104010101010101"/>
    <w:charset w:val="86"/>
    <w:family w:val="auto"/>
    <w:pitch w:val="default"/>
    <w:sig w:usb0="800002BF" w:usb1="18CF6CFA" w:usb2="00000012" w:usb3="00000000" w:csb0="00040001" w:csb1="00000000"/>
  </w:font>
  <w:font w:name="锐字云字库准圆体1.0">
    <w:panose1 w:val="02010604000000000000"/>
    <w:charset w:val="86"/>
    <w:family w:val="auto"/>
    <w:pitch w:val="default"/>
    <w:sig w:usb0="00000003" w:usb1="080E0000" w:usb2="00000000" w:usb3="00000000" w:csb0="00040001" w:csb1="00000000"/>
  </w:font>
  <w:font w:name="锐字云字库水柱体1.0">
    <w:panose1 w:val="02010604000000000000"/>
    <w:charset w:val="86"/>
    <w:family w:val="auto"/>
    <w:pitch w:val="default"/>
    <w:sig w:usb0="00000003" w:usb1="080E0000" w:usb2="00000000" w:usb3="00000000" w:csb0="00040001" w:csb1="00000000"/>
  </w:font>
  <w:font w:name="锐字云字库琥珀体1.0">
    <w:panose1 w:val="02010604000000000000"/>
    <w:charset w:val="86"/>
    <w:family w:val="auto"/>
    <w:pitch w:val="default"/>
    <w:sig w:usb0="00000003" w:usb1="080E0000" w:usb2="00000000" w:usb3="00000000" w:csb0="00040001" w:csb1="00000000"/>
  </w:font>
  <w:font w:name="锐字云字库美黑体1.0">
    <w:panose1 w:val="02010604000000000000"/>
    <w:charset w:val="86"/>
    <w:family w:val="auto"/>
    <w:pitch w:val="default"/>
    <w:sig w:usb0="00000003" w:usb1="080E0000" w:usb2="00000000" w:usb3="00000000" w:csb0="00040001" w:csb1="00000000"/>
  </w:font>
  <w:font w:name="锐字云字库舒体1.0">
    <w:panose1 w:val="02010604000000000000"/>
    <w:charset w:val="86"/>
    <w:family w:val="auto"/>
    <w:pitch w:val="default"/>
    <w:sig w:usb0="00000003" w:usb1="080E0000" w:usb2="00000000" w:usb3="00000000" w:csb0="00040001" w:csb1="00000000"/>
  </w:font>
  <w:font w:name="锐字云字库行楷体1.0">
    <w:panose1 w:val="02010604000000000000"/>
    <w:charset w:val="86"/>
    <w:family w:val="auto"/>
    <w:pitch w:val="default"/>
    <w:sig w:usb0="00000003" w:usb1="080E0000" w:usb2="00000000" w:usb3="00000000" w:csb0="00040001" w:csb1="00000000"/>
  </w:font>
  <w:font w:name="Senty Cream Puff 新蒂泡芙体">
    <w:panose1 w:val="03000600000000000000"/>
    <w:charset w:val="86"/>
    <w:family w:val="auto"/>
    <w:pitch w:val="default"/>
    <w:sig w:usb0="80000027" w:usb1="0807086A" w:usb2="00000010" w:usb3="00000000" w:csb0="00140001" w:csb1="00000000"/>
  </w:font>
  <w:font w:name="锐字云字库魏体1.0">
    <w:panose1 w:val="02010604000000000000"/>
    <w:charset w:val="86"/>
    <w:family w:val="auto"/>
    <w:pitch w:val="default"/>
    <w:sig w:usb0="00000003" w:usb1="080E0000" w:usb2="00000000" w:usb3="00000000" w:csb0="00040001" w:csb1="00000000"/>
  </w:font>
  <w:font w:name="GalaxyText Std">
    <w:panose1 w:val="00020600040101010101"/>
    <w:charset w:val="86"/>
    <w:family w:val="auto"/>
    <w:pitch w:val="default"/>
    <w:sig w:usb0="A00002BF" w:usb1="18EF7CFA" w:usb2="00000016" w:usb3="00000000" w:csb0="0004009F" w:csb1="DFD70000"/>
  </w:font>
  <w:font w:name="Migraffiti">
    <w:panose1 w:val="00020600040101010101"/>
    <w:charset w:val="86"/>
    <w:family w:val="auto"/>
    <w:pitch w:val="default"/>
    <w:sig w:usb0="A00002BF" w:usb1="18EF7CFA" w:usb2="00000016" w:usb3="00000000" w:csb0="0004009F" w:csb1="DFD70000"/>
  </w:font>
  <w:font w:name="monster">
    <w:panose1 w:val="00020600040101010101"/>
    <w:charset w:val="86"/>
    <w:family w:val="auto"/>
    <w:pitch w:val="default"/>
    <w:sig w:usb0="A00002BF" w:usb1="18CF7CFA" w:usb2="00000016" w:usb3="00000000" w:csb0="0004009F" w:csb1="DFD70000"/>
  </w:font>
  <w:font w:name="water-melon">
    <w:panose1 w:val="00020600040101010101"/>
    <w:charset w:val="86"/>
    <w:family w:val="auto"/>
    <w:pitch w:val="default"/>
    <w:sig w:usb0="A00002BF" w:usb1="18EF7CFA" w:usb2="00000016" w:usb3="00000000" w:csb0="0004009F" w:csb1="DFD70000"/>
  </w:font>
  <w:font w:name="AR BLANCA">
    <w:panose1 w:val="02000000000000000000"/>
    <w:charset w:val="00"/>
    <w:family w:val="auto"/>
    <w:pitch w:val="default"/>
    <w:sig w:usb0="8000002F" w:usb1="0000000A" w:usb2="00000000" w:usb3="00000000" w:csb0="00000001" w:csb1="00000000"/>
  </w:font>
  <w:font w:name="AR BERKLEY">
    <w:panose1 w:val="02000000000000000000"/>
    <w:charset w:val="00"/>
    <w:family w:val="auto"/>
    <w:pitch w:val="default"/>
    <w:sig w:usb0="8000002F" w:usb1="0000000A" w:usb2="00000000" w:usb3="00000000" w:csb0="00000001" w:csb1="00000000"/>
  </w:font>
  <w:font w:name="Sherlocode">
    <w:panose1 w:val="00000000000000000000"/>
    <w:charset w:val="00"/>
    <w:family w:val="auto"/>
    <w:pitch w:val="default"/>
    <w:sig w:usb0="800000AF" w:usb1="1000204A" w:usb2="00000000" w:usb3="00000000" w:csb0="20000111" w:csb1="4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2"/>
      <w:rPr>
        <w:rStyle w:val="10"/>
      </w:rPr>
    </w:pPr>
    <w:r>
      <w:fldChar w:fldCharType="begin"/>
    </w:r>
    <w:r>
      <w:rPr>
        <w:rStyle w:val="10"/>
      </w:rPr>
      <w:instrText xml:space="preserve">PAGE  </w:instrText>
    </w:r>
    <w:r>
      <w:fldChar w:fldCharType="separate"/>
    </w:r>
    <w: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rPr>
        <w:rStyle w:val="10"/>
      </w:rPr>
      <w:instrText xml:space="preserve"> PAGE </w:instrText>
    </w:r>
    <w:r>
      <w:fldChar w:fldCharType="separate"/>
    </w:r>
    <w:r>
      <w:rPr>
        <w:rStyle w:val="10"/>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6" w:space="0"/>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FC7F3D"/>
    <w:rsid w:val="07C904D2"/>
    <w:rsid w:val="07CD72E2"/>
    <w:rsid w:val="09AC7B34"/>
    <w:rsid w:val="13AA5AD0"/>
    <w:rsid w:val="1E755027"/>
    <w:rsid w:val="25F76C1E"/>
    <w:rsid w:val="26212EF7"/>
    <w:rsid w:val="27622B4F"/>
    <w:rsid w:val="2BF96F6F"/>
    <w:rsid w:val="2D6B50D0"/>
    <w:rsid w:val="347D0A86"/>
    <w:rsid w:val="38EF7149"/>
    <w:rsid w:val="38FC7F3D"/>
    <w:rsid w:val="3A140A17"/>
    <w:rsid w:val="49D32A72"/>
    <w:rsid w:val="4AAC6732"/>
    <w:rsid w:val="57E906EE"/>
    <w:rsid w:val="65864BA4"/>
    <w:rsid w:val="67564F5E"/>
    <w:rsid w:val="67832C8C"/>
    <w:rsid w:val="7D16198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3">
    <w:name w:val="Body Text"/>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rPr>
  </w:style>
  <w:style w:type="paragraph" w:styleId="4">
    <w:name w:val="Body Text Indent"/>
    <w:basedOn w:val="1"/>
    <w:qFormat/>
    <w:uiPriority w:val="0"/>
    <w:pPr>
      <w:spacing w:after="120"/>
      <w:ind w:left="420" w:leftChars="200"/>
    </w:pPr>
  </w:style>
  <w:style w:type="paragraph" w:styleId="5">
    <w:name w:val="Plain Text"/>
    <w:basedOn w:val="1"/>
    <w:qFormat/>
    <w:uiPriority w:val="0"/>
    <w:rPr>
      <w:rFonts w:ascii="宋体" w:hAnsi="Courier New"/>
      <w:szCs w:val="20"/>
    </w:rPr>
  </w:style>
  <w:style w:type="paragraph" w:styleId="6">
    <w:name w:val="footer"/>
    <w:basedOn w:val="1"/>
    <w:qFormat/>
    <w:uiPriority w:val="0"/>
    <w:pPr>
      <w:tabs>
        <w:tab w:val="center" w:pos="4153"/>
        <w:tab w:val="right" w:pos="8306"/>
      </w:tabs>
      <w:adjustRightInd w:val="0"/>
      <w:spacing w:line="240" w:lineRule="atLeast"/>
      <w:jc w:val="left"/>
      <w:textAlignment w:val="baseline"/>
    </w:pPr>
    <w:rPr>
      <w:kern w:val="0"/>
      <w:sz w:val="18"/>
    </w:rPr>
  </w:style>
  <w:style w:type="paragraph" w:styleId="7">
    <w:name w:val="header"/>
    <w:basedOn w:val="1"/>
    <w:qFormat/>
    <w:uiPriority w:val="0"/>
    <w:pPr>
      <w:pBdr>
        <w:bottom w:val="single" w:color="auto" w:sz="6" w:space="1"/>
      </w:pBdr>
      <w:tabs>
        <w:tab w:val="center" w:pos="4153"/>
        <w:tab w:val="right" w:pos="8306"/>
      </w:tabs>
      <w:adjustRightInd w:val="0"/>
      <w:spacing w:line="240" w:lineRule="atLeast"/>
      <w:jc w:val="center"/>
      <w:textAlignment w:val="baseline"/>
    </w:pPr>
    <w:rPr>
      <w:kern w:val="0"/>
      <w:sz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2017-12-13T02:32:00Z</dcterms:created>
  <dc:creator>Hami猫不迷糊</dc:creator>
  <cp:lastModifiedBy>Hami猫不迷糊</cp:lastModifiedBy>
  <cp:lastPrinted>2018-01-18T06:36:00Z</cp:lastPrinted>
  <dcterms:modified xsi:type="dcterms:W3CDTF">2018-01-25T07:29:46Z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