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sz w:val="84"/>
          <w14:shadow w14:blurRad="50800" w14:dist="38100" w14:dir="2700000" w14:sx="100000" w14:sy="100000" w14:kx="0" w14:ky="0" w14:algn="tl">
            <w14:srgbClr w14:val="000000">
              <w14:alpha w14:val="60000"/>
            </w14:srgbClr>
          </w14:shadow>
        </w:rPr>
      </w:pPr>
    </w:p>
    <w:p>
      <w:pPr>
        <w:jc w:val="center"/>
        <w:rPr>
          <w:rFonts w:ascii="宋体" w:hAnsi="宋体" w:cs="宋体"/>
          <w:sz w:val="84"/>
          <w14:shadow w14:blurRad="50800" w14:dist="38100" w14:dir="2700000" w14:sx="100000" w14:sy="100000" w14:kx="0" w14:ky="0" w14:algn="tl">
            <w14:srgbClr w14:val="000000">
              <w14:alpha w14:val="60000"/>
            </w14:srgbClr>
          </w14:shadow>
        </w:rPr>
      </w:pPr>
    </w:p>
    <w:p>
      <w:pPr>
        <w:jc w:val="center"/>
        <w:rPr>
          <w:rFonts w:ascii="宋体" w:hAnsi="宋体" w:cs="宋体"/>
          <w:sz w:val="84"/>
          <w14:shadow w14:blurRad="50800" w14:dist="38100" w14:dir="2700000" w14:sx="100000" w14:sy="100000" w14:kx="0" w14:ky="0" w14:algn="tl">
            <w14:srgbClr w14:val="000000">
              <w14:alpha w14:val="60000"/>
            </w14:srgbClr>
          </w14:shadow>
        </w:rPr>
      </w:pPr>
      <w:r>
        <w:rPr>
          <w:rFonts w:hint="eastAsia" w:ascii="宋体" w:hAnsi="宋体" w:cs="宋体"/>
          <w:sz w:val="84"/>
          <w14:shadow w14:blurRad="50800" w14:dist="38100" w14:dir="2700000" w14:sx="100000" w14:sy="100000" w14:kx="0" w14:ky="0" w14:algn="tl">
            <w14:srgbClr w14:val="000000">
              <w14:alpha w14:val="60000"/>
            </w14:srgbClr>
          </w14:shadow>
        </w:rPr>
        <w:t>招 标 文 件</w:t>
      </w:r>
    </w:p>
    <w:p>
      <w:pPr>
        <w:ind w:firstLine="600"/>
        <w:rPr>
          <w:rFonts w:ascii="宋体" w:hAnsi="宋体" w:cs="宋体"/>
          <w:sz w:val="32"/>
        </w:rPr>
      </w:pPr>
    </w:p>
    <w:p>
      <w:pPr>
        <w:ind w:firstLine="600"/>
        <w:rPr>
          <w:rFonts w:ascii="宋体" w:hAnsi="宋体" w:cs="宋体"/>
          <w:sz w:val="32"/>
        </w:rPr>
      </w:pPr>
    </w:p>
    <w:p>
      <w:pPr>
        <w:rPr>
          <w:rFonts w:ascii="宋体" w:hAnsi="宋体" w:cs="宋体"/>
          <w:sz w:val="48"/>
          <w:u w:val="single"/>
          <w14:shadow w14:blurRad="50800" w14:dist="38100" w14:dir="2700000" w14:sx="100000" w14:sy="100000" w14:kx="0" w14:ky="0" w14:algn="tl">
            <w14:srgbClr w14:val="000000">
              <w14:alpha w14:val="60000"/>
            </w14:srgbClr>
          </w14:shadow>
        </w:rPr>
      </w:pPr>
    </w:p>
    <w:p>
      <w:pPr>
        <w:rPr>
          <w:rFonts w:ascii="宋体" w:hAnsi="宋体" w:cs="宋体"/>
          <w:sz w:val="48"/>
          <w:u w:val="single"/>
          <w14:shadow w14:blurRad="50800" w14:dist="38100" w14:dir="2700000" w14:sx="100000" w14:sy="100000" w14:kx="0" w14:ky="0" w14:algn="tl">
            <w14:srgbClr w14:val="000000">
              <w14:alpha w14:val="60000"/>
            </w14:srgbClr>
          </w14:shadow>
        </w:rPr>
      </w:pPr>
    </w:p>
    <w:p>
      <w:pPr>
        <w:jc w:val="center"/>
        <w:rPr>
          <w:rFonts w:ascii="宋体" w:hAnsi="宋体" w:cs="宋体"/>
          <w:sz w:val="32"/>
          <w14:shadow w14:blurRad="50800" w14:dist="38100" w14:dir="2700000" w14:sx="100000" w14:sy="100000" w14:kx="0" w14:ky="0" w14:algn="tl">
            <w14:srgbClr w14:val="000000">
              <w14:alpha w14:val="60000"/>
            </w14:srgbClr>
          </w14:shadow>
        </w:rPr>
      </w:pPr>
      <w:r>
        <w:rPr>
          <w:rFonts w:hint="eastAsia" w:ascii="宋体" w:hAnsi="宋体" w:cs="宋体"/>
          <w:sz w:val="48"/>
          <w:u w:val="single"/>
          <w14:shadow w14:blurRad="50800" w14:dist="38100" w14:dir="2700000" w14:sx="100000" w14:sy="100000" w14:kx="0" w14:ky="0" w14:algn="tl">
            <w14:srgbClr w14:val="000000">
              <w14:alpha w14:val="60000"/>
            </w14:srgbClr>
          </w14:shadow>
        </w:rPr>
        <w:t>浙江省肿瘤医院流量计与减压阀采购项目</w:t>
      </w:r>
    </w:p>
    <w:p>
      <w:pPr>
        <w:ind w:right="5525"/>
        <w:rPr>
          <w:rFonts w:ascii="宋体" w:hAnsi="宋体" w:cs="宋体"/>
          <w:sz w:val="32"/>
          <w14:shadow w14:blurRad="50800" w14:dist="38100" w14:dir="2700000" w14:sx="100000" w14:sy="100000" w14:kx="0" w14:ky="0" w14:algn="tl">
            <w14:srgbClr w14:val="000000">
              <w14:alpha w14:val="60000"/>
            </w14:srgbClr>
          </w14:shadow>
        </w:rPr>
      </w:pPr>
    </w:p>
    <w:p>
      <w:pPr>
        <w:spacing w:before="240"/>
        <w:ind w:firstLine="600"/>
        <w:rPr>
          <w:rFonts w:ascii="宋体" w:hAnsi="宋体" w:cs="宋体"/>
          <w14:shadow w14:blurRad="50800" w14:dist="38100" w14:dir="2700000" w14:sx="100000" w14:sy="100000" w14:kx="0" w14:ky="0" w14:algn="tl">
            <w14:srgbClr w14:val="000000">
              <w14:alpha w14:val="60000"/>
            </w14:srgbClr>
          </w14:shadow>
        </w:rPr>
      </w:pPr>
    </w:p>
    <w:p>
      <w:pPr>
        <w:spacing w:before="240"/>
        <w:ind w:firstLine="600"/>
        <w:rPr>
          <w:rFonts w:ascii="宋体" w:hAnsi="宋体" w:cs="宋体"/>
          <w14:shadow w14:blurRad="50800" w14:dist="38100" w14:dir="2700000" w14:sx="100000" w14:sy="100000" w14:kx="0" w14:ky="0" w14:algn="tl">
            <w14:srgbClr w14:val="000000">
              <w14:alpha w14:val="60000"/>
            </w14:srgbClr>
          </w14:shadow>
        </w:rPr>
      </w:pPr>
    </w:p>
    <w:p>
      <w:pPr>
        <w:spacing w:before="240"/>
        <w:rPr>
          <w:rFonts w:ascii="宋体" w:hAnsi="宋体" w:cs="宋体"/>
          <w14:shadow w14:blurRad="50800" w14:dist="38100" w14:dir="2700000" w14:sx="100000" w14:sy="100000" w14:kx="0" w14:ky="0" w14:algn="tl">
            <w14:srgbClr w14:val="000000">
              <w14:alpha w14:val="60000"/>
            </w14:srgbClr>
          </w14:shadow>
        </w:rPr>
      </w:pPr>
    </w:p>
    <w:p>
      <w:pPr>
        <w:spacing w:before="240"/>
        <w:ind w:firstLine="600"/>
        <w:rPr>
          <w:rFonts w:ascii="宋体" w:hAnsi="宋体" w:cs="宋体"/>
          <w14:shadow w14:blurRad="50800" w14:dist="38100" w14:dir="2700000" w14:sx="100000" w14:sy="100000" w14:kx="0" w14:ky="0" w14:algn="tl">
            <w14:srgbClr w14:val="000000">
              <w14:alpha w14:val="60000"/>
            </w14:srgbClr>
          </w14:shadow>
        </w:rPr>
      </w:pPr>
    </w:p>
    <w:p>
      <w:pPr>
        <w:jc w:val="center"/>
        <w:rPr>
          <w:rFonts w:ascii="宋体" w:hAnsi="宋体" w:cs="宋体"/>
          <w:sz w:val="32"/>
          <w14:shadow w14:blurRad="50800" w14:dist="38100" w14:dir="2700000" w14:sx="100000" w14:sy="100000" w14:kx="0" w14:ky="0" w14:algn="tl">
            <w14:srgbClr w14:val="000000">
              <w14:alpha w14:val="60000"/>
            </w14:srgbClr>
          </w14:shadow>
        </w:rPr>
      </w:pPr>
      <w:r>
        <w:rPr>
          <w:rFonts w:hint="eastAsia" w:ascii="宋体" w:hAnsi="宋体" w:cs="宋体"/>
          <w:sz w:val="32"/>
          <w14:shadow w14:blurRad="50800" w14:dist="38100" w14:dir="2700000" w14:sx="100000" w14:sy="100000" w14:kx="0" w14:ky="0" w14:algn="tl">
            <w14:srgbClr w14:val="000000">
              <w14:alpha w14:val="60000"/>
            </w14:srgbClr>
          </w14:shadow>
        </w:rPr>
        <w:t>浙江省肿瘤医院</w:t>
      </w:r>
    </w:p>
    <w:p>
      <w:pPr>
        <w:jc w:val="center"/>
        <w:rPr>
          <w:rFonts w:ascii="宋体" w:hAnsi="宋体" w:cs="宋体"/>
          <w:sz w:val="32"/>
          <w14:shadow w14:blurRad="50800" w14:dist="38100" w14:dir="2700000" w14:sx="100000" w14:sy="100000" w14:kx="0" w14:ky="0" w14:algn="tl">
            <w14:srgbClr w14:val="000000">
              <w14:alpha w14:val="60000"/>
            </w14:srgbClr>
          </w14:shadow>
        </w:rPr>
        <w:sectPr>
          <w:footerReference r:id="rId6" w:type="first"/>
          <w:headerReference r:id="rId3" w:type="default"/>
          <w:footerReference r:id="rId4" w:type="default"/>
          <w:footerReference r:id="rId5" w:type="even"/>
          <w:pgSz w:w="11907" w:h="16840"/>
          <w:pgMar w:top="1418" w:right="1418" w:bottom="1418" w:left="1701" w:header="851" w:footer="851" w:gutter="0"/>
          <w:cols w:space="720" w:num="1"/>
          <w:titlePg/>
          <w:docGrid w:type="lines" w:linePitch="286" w:charSpace="0"/>
        </w:sectPr>
      </w:pPr>
      <w:r>
        <w:rPr>
          <w:rFonts w:hint="eastAsia" w:ascii="宋体" w:hAnsi="宋体" w:cs="宋体"/>
          <w:sz w:val="32"/>
          <w14:shadow w14:blurRad="50800" w14:dist="38100" w14:dir="2700000" w14:sx="100000" w14:sy="100000" w14:kx="0" w14:ky="0" w14:algn="tl">
            <w14:srgbClr w14:val="000000">
              <w14:alpha w14:val="60000"/>
            </w14:srgbClr>
          </w14:shadow>
        </w:rPr>
        <w:t>二○一八年十二月</w:t>
      </w:r>
    </w:p>
    <w:p>
      <w:pPr>
        <w:pStyle w:val="3"/>
        <w:spacing w:before="0" w:beforeAutospacing="0" w:after="0" w:afterAutospacing="0" w:line="440" w:lineRule="exact"/>
        <w:ind w:left="360" w:hanging="360" w:hangingChars="100"/>
        <w:jc w:val="center"/>
        <w:rPr>
          <w:rFonts w:ascii="华文细黑" w:hAnsi="华文细黑" w:eastAsia="华文细黑" w:cs="华文细黑"/>
          <w:color w:val="auto"/>
          <w:szCs w:val="24"/>
        </w:rPr>
      </w:pPr>
      <w:r>
        <w:rPr>
          <w:rFonts w:hint="eastAsia" w:ascii="华文细黑" w:hAnsi="华文细黑" w:eastAsia="华文细黑" w:cs="华文细黑"/>
          <w:b/>
          <w:bCs/>
          <w:sz w:val="36"/>
          <w:szCs w:val="36"/>
          <w:lang w:val="zh-CN"/>
        </w:rPr>
        <w:t>浙江省肿瘤医院</w:t>
      </w:r>
      <w:r>
        <w:rPr>
          <w:rFonts w:hint="eastAsia" w:ascii="华文细黑" w:hAnsi="华文细黑" w:eastAsia="华文细黑" w:cs="华文细黑"/>
          <w:b/>
          <w:bCs/>
          <w:sz w:val="36"/>
          <w:szCs w:val="36"/>
        </w:rPr>
        <w:t>流量计与减压阀采购项目</w:t>
      </w:r>
    </w:p>
    <w:p>
      <w:pPr>
        <w:pStyle w:val="4"/>
        <w:tabs>
          <w:tab w:val="left" w:pos="0"/>
        </w:tabs>
        <w:wordWrap w:val="0"/>
        <w:spacing w:after="0" w:line="440" w:lineRule="exact"/>
        <w:ind w:left="0" w:leftChars="0" w:firstLine="480" w:firstLineChars="200"/>
        <w:rPr>
          <w:rFonts w:hint="eastAsia" w:ascii="华文细黑" w:hAnsi="华文细黑" w:eastAsia="华文细黑" w:cs="华文细黑"/>
          <w:sz w:val="24"/>
          <w:szCs w:val="24"/>
        </w:rPr>
      </w:pPr>
      <w:r>
        <w:rPr>
          <w:rFonts w:hint="eastAsia" w:ascii="华文细黑" w:hAnsi="华文细黑" w:eastAsia="华文细黑" w:cs="华文细黑"/>
          <w:sz w:val="24"/>
          <w:szCs w:val="24"/>
        </w:rPr>
        <w:t>我院拟采取公开招标议价谈判方式，完成浙江省肿瘤医院流量计与减压阀采购项目招标，现将有关事项公告如下：</w:t>
      </w:r>
    </w:p>
    <w:p>
      <w:pPr>
        <w:pStyle w:val="4"/>
        <w:tabs>
          <w:tab w:val="left" w:pos="0"/>
        </w:tabs>
        <w:wordWrap w:val="0"/>
        <w:spacing w:after="0" w:line="440" w:lineRule="exact"/>
        <w:ind w:left="0" w:leftChars="0"/>
        <w:rPr>
          <w:rFonts w:ascii="华文细黑" w:hAnsi="华文细黑" w:eastAsia="华文细黑" w:cs="华文细黑"/>
          <w:b/>
          <w:bCs/>
          <w:sz w:val="24"/>
          <w:szCs w:val="24"/>
        </w:rPr>
      </w:pPr>
      <w:r>
        <w:rPr>
          <w:rFonts w:hint="eastAsia" w:ascii="华文细黑" w:hAnsi="华文细黑" w:eastAsia="华文细黑" w:cs="华文细黑"/>
          <w:b/>
          <w:bCs/>
          <w:sz w:val="24"/>
          <w:szCs w:val="24"/>
        </w:rPr>
        <w:t>一、项目名称和质量保证</w:t>
      </w:r>
    </w:p>
    <w:p>
      <w:pPr>
        <w:pStyle w:val="4"/>
        <w:tabs>
          <w:tab w:val="left" w:pos="0"/>
        </w:tabs>
        <w:wordWrap w:val="0"/>
        <w:spacing w:after="0" w:line="44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1. 项目名称：浙江省肿瘤医院流量计与减压阀采购项目。</w:t>
      </w:r>
    </w:p>
    <w:p>
      <w:pPr>
        <w:pStyle w:val="4"/>
        <w:tabs>
          <w:tab w:val="left" w:pos="0"/>
        </w:tabs>
        <w:wordWrap w:val="0"/>
        <w:spacing w:after="0" w:line="44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2. 质量保证：</w:t>
      </w:r>
    </w:p>
    <w:p>
      <w:pPr>
        <w:pStyle w:val="4"/>
        <w:tabs>
          <w:tab w:val="left" w:pos="0"/>
        </w:tabs>
        <w:wordWrap w:val="0"/>
        <w:spacing w:after="0" w:line="44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（1）所供货物是全新的、未使用过的货物，同时应保证货物的各项功能和技术指标达到投标文件和国家相关标准。</w:t>
      </w:r>
    </w:p>
    <w:p>
      <w:pPr>
        <w:pStyle w:val="4"/>
        <w:tabs>
          <w:tab w:val="left" w:pos="0"/>
        </w:tabs>
        <w:wordWrap w:val="0"/>
        <w:spacing w:after="0" w:line="44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（2）货物在正确安装、正常使用和保养条件下，在建筑物使用寿命内的正常使用和运行。</w:t>
      </w:r>
    </w:p>
    <w:p>
      <w:pPr>
        <w:pStyle w:val="4"/>
        <w:tabs>
          <w:tab w:val="left" w:pos="0"/>
        </w:tabs>
        <w:wordWrap w:val="0"/>
        <w:spacing w:after="0" w:line="440" w:lineRule="exact"/>
        <w:ind w:left="0" w:leftChars="0"/>
        <w:rPr>
          <w:rFonts w:hint="eastAsia" w:ascii="华文细黑" w:hAnsi="华文细黑" w:eastAsia="华文细黑" w:cs="华文细黑"/>
          <w:sz w:val="24"/>
          <w:szCs w:val="24"/>
        </w:rPr>
      </w:pPr>
      <w:r>
        <w:rPr>
          <w:rFonts w:hint="eastAsia" w:ascii="华文细黑" w:hAnsi="华文细黑" w:eastAsia="华文细黑" w:cs="华文细黑"/>
          <w:sz w:val="24"/>
          <w:szCs w:val="24"/>
        </w:rPr>
        <w:t>（3）货物质保期不得少于24个月（含人工及配件维修）。</w:t>
      </w:r>
    </w:p>
    <w:p>
      <w:pPr>
        <w:pStyle w:val="4"/>
        <w:tabs>
          <w:tab w:val="left" w:pos="0"/>
        </w:tabs>
        <w:wordWrap w:val="0"/>
        <w:spacing w:after="0" w:line="440" w:lineRule="exact"/>
        <w:ind w:left="0" w:leftChars="0"/>
        <w:rPr>
          <w:rFonts w:hint="eastAsia" w:ascii="华文细黑" w:hAnsi="华文细黑" w:eastAsia="华文细黑" w:cs="华文细黑"/>
          <w:sz w:val="24"/>
          <w:szCs w:val="24"/>
        </w:rPr>
      </w:pPr>
    </w:p>
    <w:p>
      <w:pPr>
        <w:pStyle w:val="4"/>
        <w:tabs>
          <w:tab w:val="left" w:pos="0"/>
        </w:tabs>
        <w:wordWrap w:val="0"/>
        <w:spacing w:after="0" w:line="440" w:lineRule="exact"/>
        <w:ind w:left="0" w:leftChars="0"/>
        <w:rPr>
          <w:rFonts w:ascii="华文细黑" w:hAnsi="华文细黑" w:eastAsia="华文细黑" w:cs="华文细黑"/>
          <w:b/>
          <w:bCs/>
          <w:sz w:val="24"/>
          <w:szCs w:val="24"/>
        </w:rPr>
      </w:pPr>
      <w:r>
        <w:rPr>
          <w:rFonts w:hint="eastAsia" w:ascii="华文细黑" w:hAnsi="华文细黑" w:eastAsia="华文细黑" w:cs="华文细黑"/>
          <w:b/>
          <w:bCs/>
          <w:sz w:val="24"/>
          <w:szCs w:val="24"/>
        </w:rPr>
        <w:t>二、服务内容</w:t>
      </w:r>
    </w:p>
    <w:p>
      <w:pPr>
        <w:spacing w:line="400" w:lineRule="exact"/>
        <w:ind w:left="-426" w:right="-340" w:rightChars="-162" w:firstLine="480" w:firstLineChars="200"/>
        <w:rPr>
          <w:rFonts w:ascii="华文细黑" w:hAnsi="华文细黑" w:eastAsia="华文细黑" w:cs="华文细黑"/>
          <w:bCs/>
          <w:kern w:val="0"/>
          <w:sz w:val="24"/>
          <w:szCs w:val="24"/>
        </w:rPr>
      </w:pPr>
      <w:r>
        <w:rPr>
          <w:rFonts w:hint="eastAsia" w:ascii="华文细黑" w:hAnsi="华文细黑" w:eastAsia="华文细黑" w:cs="华文细黑"/>
          <w:bCs/>
          <w:kern w:val="0"/>
          <w:sz w:val="24"/>
          <w:szCs w:val="24"/>
        </w:rPr>
        <w:t>1.货物（品牌、规格、厂家、产地）、服务名称、数量、单价及合同分项价格、总价：</w:t>
      </w:r>
    </w:p>
    <w:tbl>
      <w:tblPr>
        <w:tblStyle w:val="11"/>
        <w:tblpPr w:leftFromText="180" w:rightFromText="180" w:vertAnchor="text" w:horzAnchor="page" w:tblpX="1740" w:tblpY="17"/>
        <w:tblOverlap w:val="never"/>
        <w:tblW w:w="8610" w:type="dxa"/>
        <w:tblInd w:w="0" w:type="dxa"/>
        <w:tblLayout w:type="fixed"/>
        <w:tblCellMar>
          <w:top w:w="0" w:type="dxa"/>
          <w:left w:w="30" w:type="dxa"/>
          <w:bottom w:w="0" w:type="dxa"/>
          <w:right w:w="30" w:type="dxa"/>
        </w:tblCellMar>
      </w:tblPr>
      <w:tblGrid>
        <w:gridCol w:w="597"/>
        <w:gridCol w:w="4122"/>
        <w:gridCol w:w="933"/>
        <w:gridCol w:w="1000"/>
        <w:gridCol w:w="1017"/>
        <w:gridCol w:w="941"/>
      </w:tblGrid>
      <w:tr>
        <w:tblPrEx>
          <w:tblLayout w:type="fixed"/>
          <w:tblCellMar>
            <w:top w:w="0" w:type="dxa"/>
            <w:left w:w="30" w:type="dxa"/>
            <w:bottom w:w="0" w:type="dxa"/>
            <w:right w:w="30" w:type="dxa"/>
          </w:tblCellMar>
        </w:tblPrEx>
        <w:trPr>
          <w:trHeight w:val="406" w:hRule="atLeast"/>
        </w:trPr>
        <w:tc>
          <w:tcPr>
            <w:tcW w:w="597" w:type="dxa"/>
            <w:tcBorders>
              <w:top w:val="double" w:color="auto" w:sz="4" w:space="0"/>
              <w:left w:val="double" w:color="auto" w:sz="4" w:space="0"/>
              <w:bottom w:val="single" w:color="auto" w:sz="6" w:space="0"/>
              <w:right w:val="single" w:color="auto" w:sz="4" w:space="0"/>
            </w:tcBorders>
            <w:vAlign w:val="center"/>
          </w:tcPr>
          <w:p>
            <w:pPr>
              <w:autoSpaceDE w:val="0"/>
              <w:autoSpaceDN w:val="0"/>
              <w:adjustRightInd w:val="0"/>
              <w:spacing w:line="400" w:lineRule="exact"/>
              <w:jc w:val="center"/>
              <w:rPr>
                <w:rFonts w:ascii="华文细黑" w:hAnsi="华文细黑" w:eastAsia="华文细黑" w:cs="华文细黑"/>
                <w:szCs w:val="21"/>
              </w:rPr>
            </w:pPr>
            <w:r>
              <w:rPr>
                <w:rFonts w:hint="eastAsia" w:ascii="华文细黑" w:hAnsi="华文细黑" w:eastAsia="华文细黑" w:cs="华文细黑"/>
                <w:szCs w:val="21"/>
              </w:rPr>
              <w:t>序号</w:t>
            </w:r>
          </w:p>
        </w:tc>
        <w:tc>
          <w:tcPr>
            <w:tcW w:w="4122" w:type="dxa"/>
            <w:tcBorders>
              <w:top w:val="double" w:color="auto" w:sz="4" w:space="0"/>
              <w:left w:val="single" w:color="auto" w:sz="4" w:space="0"/>
              <w:bottom w:val="single" w:color="auto" w:sz="6" w:space="0"/>
              <w:right w:val="single" w:color="auto" w:sz="4" w:space="0"/>
            </w:tcBorders>
            <w:vAlign w:val="center"/>
          </w:tcPr>
          <w:p>
            <w:pPr>
              <w:autoSpaceDE w:val="0"/>
              <w:autoSpaceDN w:val="0"/>
              <w:adjustRightInd w:val="0"/>
              <w:spacing w:line="400" w:lineRule="exact"/>
              <w:jc w:val="center"/>
              <w:rPr>
                <w:rFonts w:ascii="华文细黑" w:hAnsi="华文细黑" w:eastAsia="华文细黑" w:cs="华文细黑"/>
                <w:szCs w:val="21"/>
              </w:rPr>
            </w:pPr>
            <w:r>
              <w:rPr>
                <w:rFonts w:hint="eastAsia" w:ascii="华文细黑" w:hAnsi="华文细黑" w:eastAsia="华文细黑" w:cs="华文细黑"/>
                <w:szCs w:val="21"/>
              </w:rPr>
              <w:t>货物名称</w:t>
            </w:r>
          </w:p>
        </w:tc>
        <w:tc>
          <w:tcPr>
            <w:tcW w:w="933" w:type="dxa"/>
            <w:tcBorders>
              <w:top w:val="double" w:color="auto" w:sz="4" w:space="0"/>
              <w:left w:val="single" w:color="auto" w:sz="4" w:space="0"/>
              <w:bottom w:val="single" w:color="auto" w:sz="6" w:space="0"/>
              <w:right w:val="single" w:color="auto" w:sz="4" w:space="0"/>
            </w:tcBorders>
            <w:vAlign w:val="center"/>
          </w:tcPr>
          <w:p>
            <w:pPr>
              <w:autoSpaceDE w:val="0"/>
              <w:autoSpaceDN w:val="0"/>
              <w:adjustRightInd w:val="0"/>
              <w:spacing w:line="400" w:lineRule="exact"/>
              <w:jc w:val="center"/>
              <w:rPr>
                <w:rFonts w:ascii="华文细黑" w:hAnsi="华文细黑" w:eastAsia="华文细黑" w:cs="华文细黑"/>
                <w:szCs w:val="21"/>
              </w:rPr>
            </w:pPr>
            <w:r>
              <w:rPr>
                <w:rFonts w:hint="eastAsia" w:ascii="华文细黑" w:hAnsi="华文细黑" w:eastAsia="华文细黑" w:cs="华文细黑"/>
                <w:szCs w:val="21"/>
              </w:rPr>
              <w:t>数量（件）</w:t>
            </w:r>
          </w:p>
        </w:tc>
        <w:tc>
          <w:tcPr>
            <w:tcW w:w="1000" w:type="dxa"/>
            <w:tcBorders>
              <w:top w:val="double" w:color="auto" w:sz="4" w:space="0"/>
              <w:left w:val="single" w:color="auto" w:sz="4" w:space="0"/>
              <w:bottom w:val="single" w:color="auto" w:sz="6" w:space="0"/>
              <w:right w:val="single" w:color="auto" w:sz="4" w:space="0"/>
            </w:tcBorders>
            <w:vAlign w:val="center"/>
          </w:tcPr>
          <w:p>
            <w:pPr>
              <w:autoSpaceDE w:val="0"/>
              <w:autoSpaceDN w:val="0"/>
              <w:adjustRightInd w:val="0"/>
              <w:spacing w:line="400" w:lineRule="exact"/>
              <w:jc w:val="center"/>
              <w:rPr>
                <w:rFonts w:ascii="华文细黑" w:hAnsi="华文细黑" w:eastAsia="华文细黑" w:cs="华文细黑"/>
                <w:szCs w:val="21"/>
              </w:rPr>
            </w:pPr>
            <w:r>
              <w:rPr>
                <w:rFonts w:hint="eastAsia" w:ascii="华文细黑" w:hAnsi="华文细黑" w:eastAsia="华文细黑" w:cs="华文细黑"/>
                <w:szCs w:val="21"/>
              </w:rPr>
              <w:t>产地/品牌</w:t>
            </w:r>
          </w:p>
        </w:tc>
        <w:tc>
          <w:tcPr>
            <w:tcW w:w="1017" w:type="dxa"/>
            <w:tcBorders>
              <w:top w:val="double" w:color="auto" w:sz="4" w:space="0"/>
              <w:left w:val="single" w:color="auto" w:sz="4" w:space="0"/>
              <w:bottom w:val="single" w:color="auto" w:sz="6" w:space="0"/>
              <w:right w:val="single" w:color="auto" w:sz="4" w:space="0"/>
            </w:tcBorders>
            <w:vAlign w:val="center"/>
          </w:tcPr>
          <w:p>
            <w:pPr>
              <w:autoSpaceDE w:val="0"/>
              <w:autoSpaceDN w:val="0"/>
              <w:adjustRightInd w:val="0"/>
              <w:spacing w:line="400" w:lineRule="exact"/>
              <w:jc w:val="center"/>
              <w:rPr>
                <w:rFonts w:ascii="华文细黑" w:hAnsi="华文细黑" w:eastAsia="华文细黑" w:cs="华文细黑"/>
                <w:szCs w:val="21"/>
              </w:rPr>
            </w:pPr>
            <w:r>
              <w:rPr>
                <w:rFonts w:hint="eastAsia" w:ascii="华文细黑" w:hAnsi="华文细黑" w:eastAsia="华文细黑" w:cs="华文细黑"/>
                <w:szCs w:val="21"/>
              </w:rPr>
              <w:t>单价（元）</w:t>
            </w:r>
          </w:p>
        </w:tc>
        <w:tc>
          <w:tcPr>
            <w:tcW w:w="941" w:type="dxa"/>
            <w:tcBorders>
              <w:top w:val="double" w:color="auto" w:sz="4" w:space="0"/>
              <w:left w:val="single" w:color="auto" w:sz="4" w:space="0"/>
              <w:bottom w:val="single" w:color="auto" w:sz="6" w:space="0"/>
              <w:right w:val="double" w:color="auto" w:sz="4" w:space="0"/>
            </w:tcBorders>
            <w:vAlign w:val="center"/>
          </w:tcPr>
          <w:p>
            <w:pPr>
              <w:autoSpaceDE w:val="0"/>
              <w:autoSpaceDN w:val="0"/>
              <w:adjustRightInd w:val="0"/>
              <w:spacing w:line="400" w:lineRule="exact"/>
              <w:jc w:val="center"/>
              <w:rPr>
                <w:rFonts w:ascii="华文细黑" w:hAnsi="华文细黑" w:eastAsia="华文细黑" w:cs="华文细黑"/>
                <w:szCs w:val="21"/>
              </w:rPr>
            </w:pPr>
            <w:r>
              <w:rPr>
                <w:rFonts w:hint="eastAsia" w:ascii="华文细黑" w:hAnsi="华文细黑" w:eastAsia="华文细黑" w:cs="华文细黑"/>
                <w:szCs w:val="21"/>
              </w:rPr>
              <w:t>合价（元）</w:t>
            </w:r>
          </w:p>
        </w:tc>
      </w:tr>
      <w:tr>
        <w:tblPrEx>
          <w:tblLayout w:type="fixed"/>
          <w:tblCellMar>
            <w:top w:w="0" w:type="dxa"/>
            <w:left w:w="30" w:type="dxa"/>
            <w:bottom w:w="0" w:type="dxa"/>
            <w:right w:w="30" w:type="dxa"/>
          </w:tblCellMar>
        </w:tblPrEx>
        <w:trPr>
          <w:trHeight w:val="681" w:hRule="atLeast"/>
        </w:trPr>
        <w:tc>
          <w:tcPr>
            <w:tcW w:w="597" w:type="dxa"/>
            <w:tcBorders>
              <w:top w:val="single" w:color="auto" w:sz="6" w:space="0"/>
              <w:left w:val="double" w:color="auto" w:sz="4" w:space="0"/>
              <w:right w:val="single" w:color="auto" w:sz="4" w:space="0"/>
            </w:tcBorders>
            <w:vAlign w:val="center"/>
          </w:tcPr>
          <w:p>
            <w:pPr>
              <w:autoSpaceDE w:val="0"/>
              <w:autoSpaceDN w:val="0"/>
              <w:adjustRightInd w:val="0"/>
              <w:spacing w:line="400" w:lineRule="exact"/>
              <w:jc w:val="center"/>
              <w:rPr>
                <w:rFonts w:ascii="华文细黑" w:hAnsi="华文细黑" w:eastAsia="华文细黑" w:cs="华文细黑"/>
                <w:szCs w:val="21"/>
              </w:rPr>
            </w:pPr>
            <w:r>
              <w:rPr>
                <w:rFonts w:hint="eastAsia" w:ascii="华文细黑" w:hAnsi="华文细黑" w:eastAsia="华文细黑" w:cs="华文细黑"/>
                <w:szCs w:val="21"/>
              </w:rPr>
              <w:t>1</w:t>
            </w:r>
          </w:p>
        </w:tc>
        <w:tc>
          <w:tcPr>
            <w:tcW w:w="4122" w:type="dxa"/>
            <w:tcBorders>
              <w:top w:val="single" w:color="auto" w:sz="6" w:space="0"/>
              <w:left w:val="single" w:color="auto" w:sz="4" w:space="0"/>
              <w:right w:val="single" w:color="auto" w:sz="4" w:space="0"/>
            </w:tcBorders>
            <w:vAlign w:val="center"/>
          </w:tcPr>
          <w:p>
            <w:pPr>
              <w:autoSpaceDE w:val="0"/>
              <w:autoSpaceDN w:val="0"/>
              <w:adjustRightInd w:val="0"/>
              <w:spacing w:line="400" w:lineRule="exact"/>
              <w:jc w:val="center"/>
              <w:rPr>
                <w:rFonts w:ascii="华文细黑" w:hAnsi="华文细黑" w:eastAsia="华文细黑" w:cs="华文细黑"/>
                <w:szCs w:val="21"/>
              </w:rPr>
            </w:pPr>
            <w:r>
              <w:rPr>
                <w:rFonts w:hint="eastAsia" w:ascii="华文细黑" w:hAnsi="华文细黑" w:eastAsia="华文细黑" w:cs="华文细黑"/>
                <w:szCs w:val="21"/>
              </w:rPr>
              <w:t>ILVA流量计套件</w:t>
            </w:r>
          </w:p>
          <w:p>
            <w:pPr>
              <w:autoSpaceDE w:val="0"/>
              <w:autoSpaceDN w:val="0"/>
              <w:adjustRightInd w:val="0"/>
              <w:spacing w:line="400" w:lineRule="exact"/>
              <w:jc w:val="center"/>
              <w:rPr>
                <w:rFonts w:ascii="华文细黑" w:hAnsi="华文细黑" w:eastAsia="华文细黑" w:cs="华文细黑"/>
                <w:szCs w:val="21"/>
              </w:rPr>
            </w:pPr>
            <w:r>
              <w:rPr>
                <w:rFonts w:hint="eastAsia" w:ascii="华文细黑" w:hAnsi="华文细黑" w:eastAsia="华文细黑" w:cs="华文细黑"/>
                <w:szCs w:val="21"/>
              </w:rPr>
              <w:t>不锈钢DN100法兰对夹连接</w:t>
            </w:r>
          </w:p>
          <w:p>
            <w:pPr>
              <w:autoSpaceDE w:val="0"/>
              <w:autoSpaceDN w:val="0"/>
              <w:adjustRightInd w:val="0"/>
              <w:spacing w:line="400" w:lineRule="exact"/>
              <w:jc w:val="center"/>
              <w:rPr>
                <w:rFonts w:ascii="华文细黑" w:hAnsi="华文细黑" w:eastAsia="华文细黑" w:cs="华文细黑"/>
                <w:szCs w:val="21"/>
              </w:rPr>
            </w:pPr>
            <w:r>
              <w:rPr>
                <w:rFonts w:hint="eastAsia" w:ascii="华文细黑" w:hAnsi="华文细黑" w:eastAsia="华文细黑" w:cs="华文细黑"/>
                <w:szCs w:val="21"/>
              </w:rPr>
              <w:t>带温度传感器和流量计算机</w:t>
            </w:r>
          </w:p>
        </w:tc>
        <w:tc>
          <w:tcPr>
            <w:tcW w:w="933" w:type="dxa"/>
            <w:tcBorders>
              <w:top w:val="single" w:color="auto" w:sz="6" w:space="0"/>
              <w:left w:val="single" w:color="auto" w:sz="4" w:space="0"/>
              <w:right w:val="single" w:color="auto" w:sz="4" w:space="0"/>
            </w:tcBorders>
            <w:vAlign w:val="center"/>
          </w:tcPr>
          <w:p>
            <w:pPr>
              <w:autoSpaceDE w:val="0"/>
              <w:autoSpaceDN w:val="0"/>
              <w:adjustRightInd w:val="0"/>
              <w:spacing w:line="400" w:lineRule="exact"/>
              <w:jc w:val="center"/>
              <w:rPr>
                <w:rFonts w:ascii="华文细黑" w:hAnsi="华文细黑" w:eastAsia="华文细黑" w:cs="华文细黑"/>
                <w:szCs w:val="21"/>
              </w:rPr>
            </w:pPr>
            <w:r>
              <w:rPr>
                <w:rFonts w:hint="eastAsia" w:ascii="华文细黑" w:hAnsi="华文细黑" w:eastAsia="华文细黑" w:cs="华文细黑"/>
                <w:szCs w:val="21"/>
              </w:rPr>
              <w:t>1</w:t>
            </w:r>
          </w:p>
        </w:tc>
        <w:tc>
          <w:tcPr>
            <w:tcW w:w="1000" w:type="dxa"/>
            <w:tcBorders>
              <w:top w:val="single" w:color="auto" w:sz="6" w:space="0"/>
              <w:left w:val="single" w:color="auto" w:sz="4" w:space="0"/>
              <w:right w:val="single" w:color="auto" w:sz="4" w:space="0"/>
            </w:tcBorders>
            <w:vAlign w:val="center"/>
          </w:tcPr>
          <w:p>
            <w:pPr>
              <w:autoSpaceDE w:val="0"/>
              <w:autoSpaceDN w:val="0"/>
              <w:adjustRightInd w:val="0"/>
              <w:spacing w:line="400" w:lineRule="exact"/>
              <w:jc w:val="center"/>
              <w:rPr>
                <w:rFonts w:ascii="华文细黑" w:hAnsi="华文细黑" w:eastAsia="华文细黑" w:cs="华文细黑"/>
                <w:szCs w:val="21"/>
              </w:rPr>
            </w:pPr>
            <w:r>
              <w:rPr>
                <w:rFonts w:hint="eastAsia" w:ascii="华文细黑" w:hAnsi="华文细黑" w:eastAsia="华文细黑" w:cs="华文细黑"/>
                <w:szCs w:val="21"/>
              </w:rPr>
              <w:t>西门子、斯派莎克、E+H或同档次品牌</w:t>
            </w:r>
          </w:p>
        </w:tc>
        <w:tc>
          <w:tcPr>
            <w:tcW w:w="1017" w:type="dxa"/>
            <w:tcBorders>
              <w:top w:val="single" w:color="auto" w:sz="6" w:space="0"/>
              <w:left w:val="single" w:color="auto" w:sz="4" w:space="0"/>
              <w:right w:val="single" w:color="auto" w:sz="4" w:space="0"/>
            </w:tcBorders>
            <w:vAlign w:val="center"/>
          </w:tcPr>
          <w:p>
            <w:pPr>
              <w:autoSpaceDE w:val="0"/>
              <w:autoSpaceDN w:val="0"/>
              <w:adjustRightInd w:val="0"/>
              <w:spacing w:line="400" w:lineRule="exact"/>
              <w:jc w:val="center"/>
              <w:rPr>
                <w:rFonts w:ascii="华文细黑" w:hAnsi="华文细黑" w:eastAsia="华文细黑" w:cs="华文细黑"/>
                <w:szCs w:val="21"/>
              </w:rPr>
            </w:pPr>
          </w:p>
        </w:tc>
        <w:tc>
          <w:tcPr>
            <w:tcW w:w="941" w:type="dxa"/>
            <w:tcBorders>
              <w:top w:val="single" w:color="auto" w:sz="6" w:space="0"/>
              <w:left w:val="single" w:color="auto" w:sz="4" w:space="0"/>
              <w:right w:val="double" w:color="auto" w:sz="4" w:space="0"/>
            </w:tcBorders>
            <w:vAlign w:val="center"/>
          </w:tcPr>
          <w:p>
            <w:pPr>
              <w:autoSpaceDE w:val="0"/>
              <w:autoSpaceDN w:val="0"/>
              <w:adjustRightInd w:val="0"/>
              <w:spacing w:line="400" w:lineRule="exact"/>
              <w:jc w:val="center"/>
              <w:rPr>
                <w:rFonts w:ascii="华文细黑" w:hAnsi="华文细黑" w:eastAsia="华文细黑" w:cs="华文细黑"/>
                <w:szCs w:val="21"/>
              </w:rPr>
            </w:pPr>
          </w:p>
        </w:tc>
      </w:tr>
      <w:tr>
        <w:tblPrEx>
          <w:tblLayout w:type="fixed"/>
          <w:tblCellMar>
            <w:top w:w="0" w:type="dxa"/>
            <w:left w:w="30" w:type="dxa"/>
            <w:bottom w:w="0" w:type="dxa"/>
            <w:right w:w="30" w:type="dxa"/>
          </w:tblCellMar>
        </w:tblPrEx>
        <w:trPr>
          <w:trHeight w:val="681" w:hRule="atLeast"/>
        </w:trPr>
        <w:tc>
          <w:tcPr>
            <w:tcW w:w="597" w:type="dxa"/>
            <w:tcBorders>
              <w:top w:val="single" w:color="auto" w:sz="6" w:space="0"/>
              <w:left w:val="double" w:color="auto" w:sz="4" w:space="0"/>
              <w:right w:val="single" w:color="auto" w:sz="4" w:space="0"/>
            </w:tcBorders>
            <w:vAlign w:val="center"/>
          </w:tcPr>
          <w:p>
            <w:pPr>
              <w:autoSpaceDE w:val="0"/>
              <w:autoSpaceDN w:val="0"/>
              <w:adjustRightInd w:val="0"/>
              <w:spacing w:line="400" w:lineRule="exact"/>
              <w:jc w:val="center"/>
              <w:rPr>
                <w:rFonts w:ascii="华文细黑" w:hAnsi="华文细黑" w:eastAsia="华文细黑" w:cs="华文细黑"/>
                <w:szCs w:val="21"/>
              </w:rPr>
            </w:pPr>
            <w:r>
              <w:rPr>
                <w:rFonts w:hint="eastAsia" w:ascii="华文细黑" w:hAnsi="华文细黑" w:eastAsia="华文细黑" w:cs="华文细黑"/>
                <w:szCs w:val="21"/>
              </w:rPr>
              <w:t>2</w:t>
            </w:r>
          </w:p>
        </w:tc>
        <w:tc>
          <w:tcPr>
            <w:tcW w:w="4122" w:type="dxa"/>
            <w:tcBorders>
              <w:top w:val="single" w:color="auto" w:sz="6" w:space="0"/>
              <w:left w:val="single" w:color="auto" w:sz="4" w:space="0"/>
              <w:right w:val="single" w:color="auto" w:sz="4" w:space="0"/>
            </w:tcBorders>
            <w:vAlign w:val="center"/>
          </w:tcPr>
          <w:p>
            <w:pPr>
              <w:autoSpaceDE w:val="0"/>
              <w:autoSpaceDN w:val="0"/>
              <w:adjustRightInd w:val="0"/>
              <w:spacing w:line="400" w:lineRule="exact"/>
              <w:jc w:val="center"/>
              <w:rPr>
                <w:rFonts w:ascii="华文细黑" w:hAnsi="华文细黑" w:eastAsia="华文细黑" w:cs="华文细黑"/>
                <w:szCs w:val="21"/>
              </w:rPr>
            </w:pPr>
            <w:r>
              <w:rPr>
                <w:rFonts w:hint="eastAsia" w:ascii="华文细黑" w:hAnsi="华文细黑" w:eastAsia="华文细黑" w:cs="华文细黑"/>
                <w:szCs w:val="21"/>
              </w:rPr>
              <w:t>25P 导阀隔膜型减压阀</w:t>
            </w:r>
          </w:p>
          <w:p>
            <w:pPr>
              <w:autoSpaceDE w:val="0"/>
              <w:autoSpaceDN w:val="0"/>
              <w:adjustRightInd w:val="0"/>
              <w:spacing w:line="400" w:lineRule="exact"/>
              <w:jc w:val="center"/>
              <w:rPr>
                <w:rFonts w:ascii="华文细黑" w:hAnsi="华文细黑" w:eastAsia="华文细黑" w:cs="华文细黑"/>
                <w:szCs w:val="21"/>
              </w:rPr>
            </w:pPr>
            <w:r>
              <w:rPr>
                <w:rFonts w:hint="eastAsia" w:ascii="华文细黑" w:hAnsi="华文细黑" w:eastAsia="华文细黑" w:cs="华文细黑"/>
                <w:szCs w:val="21"/>
              </w:rPr>
              <w:t>球墨铸铁 DN25 PN16 法兰连接</w:t>
            </w:r>
          </w:p>
          <w:p>
            <w:pPr>
              <w:autoSpaceDE w:val="0"/>
              <w:autoSpaceDN w:val="0"/>
              <w:adjustRightInd w:val="0"/>
              <w:spacing w:line="400" w:lineRule="exact"/>
              <w:jc w:val="center"/>
              <w:rPr>
                <w:rFonts w:ascii="华文细黑" w:hAnsi="华文细黑" w:eastAsia="华文细黑" w:cs="华文细黑"/>
                <w:szCs w:val="21"/>
              </w:rPr>
            </w:pPr>
            <w:r>
              <w:rPr>
                <w:rFonts w:hint="eastAsia" w:ascii="华文细黑" w:hAnsi="华文细黑" w:eastAsia="华文细黑" w:cs="华文细黑"/>
                <w:szCs w:val="21"/>
              </w:rPr>
              <w:t>蓝色弹簧 1.4-7.0 barg</w:t>
            </w:r>
          </w:p>
        </w:tc>
        <w:tc>
          <w:tcPr>
            <w:tcW w:w="933" w:type="dxa"/>
            <w:tcBorders>
              <w:top w:val="single" w:color="auto" w:sz="6" w:space="0"/>
              <w:left w:val="single" w:color="auto" w:sz="4" w:space="0"/>
              <w:right w:val="single" w:color="auto" w:sz="4" w:space="0"/>
            </w:tcBorders>
            <w:vAlign w:val="center"/>
          </w:tcPr>
          <w:p>
            <w:pPr>
              <w:autoSpaceDE w:val="0"/>
              <w:autoSpaceDN w:val="0"/>
              <w:adjustRightInd w:val="0"/>
              <w:spacing w:line="400" w:lineRule="exact"/>
              <w:jc w:val="center"/>
              <w:rPr>
                <w:rFonts w:ascii="华文细黑" w:hAnsi="华文细黑" w:eastAsia="华文细黑" w:cs="华文细黑"/>
                <w:szCs w:val="21"/>
              </w:rPr>
            </w:pPr>
            <w:r>
              <w:rPr>
                <w:rFonts w:hint="eastAsia" w:ascii="华文细黑" w:hAnsi="华文细黑" w:eastAsia="华文细黑" w:cs="华文细黑"/>
                <w:szCs w:val="21"/>
              </w:rPr>
              <w:t>1</w:t>
            </w:r>
          </w:p>
        </w:tc>
        <w:tc>
          <w:tcPr>
            <w:tcW w:w="1000" w:type="dxa"/>
            <w:tcBorders>
              <w:top w:val="single" w:color="auto" w:sz="6" w:space="0"/>
              <w:left w:val="single" w:color="auto" w:sz="4" w:space="0"/>
              <w:right w:val="single" w:color="auto" w:sz="4" w:space="0"/>
            </w:tcBorders>
            <w:vAlign w:val="center"/>
          </w:tcPr>
          <w:p>
            <w:pPr>
              <w:autoSpaceDE w:val="0"/>
              <w:autoSpaceDN w:val="0"/>
              <w:adjustRightInd w:val="0"/>
              <w:spacing w:line="400" w:lineRule="exact"/>
              <w:jc w:val="center"/>
              <w:rPr>
                <w:rFonts w:ascii="华文细黑" w:hAnsi="华文细黑" w:eastAsia="华文细黑" w:cs="华文细黑"/>
                <w:szCs w:val="21"/>
              </w:rPr>
            </w:pPr>
            <w:r>
              <w:rPr>
                <w:rFonts w:hint="eastAsia" w:ascii="华文细黑" w:hAnsi="华文细黑" w:eastAsia="华文细黑" w:cs="华文细黑"/>
                <w:szCs w:val="21"/>
              </w:rPr>
              <w:t>萨姆森、斯派莎克、杰斯特拉或同档次品牌</w:t>
            </w:r>
          </w:p>
        </w:tc>
        <w:tc>
          <w:tcPr>
            <w:tcW w:w="1017" w:type="dxa"/>
            <w:tcBorders>
              <w:top w:val="single" w:color="auto" w:sz="6" w:space="0"/>
              <w:left w:val="single" w:color="auto" w:sz="4" w:space="0"/>
              <w:right w:val="single" w:color="auto" w:sz="4" w:space="0"/>
            </w:tcBorders>
            <w:vAlign w:val="center"/>
          </w:tcPr>
          <w:p>
            <w:pPr>
              <w:autoSpaceDE w:val="0"/>
              <w:autoSpaceDN w:val="0"/>
              <w:adjustRightInd w:val="0"/>
              <w:spacing w:line="400" w:lineRule="exact"/>
              <w:jc w:val="center"/>
              <w:rPr>
                <w:rFonts w:ascii="华文细黑" w:hAnsi="华文细黑" w:eastAsia="华文细黑" w:cs="华文细黑"/>
                <w:szCs w:val="21"/>
              </w:rPr>
            </w:pPr>
          </w:p>
        </w:tc>
        <w:tc>
          <w:tcPr>
            <w:tcW w:w="941" w:type="dxa"/>
            <w:tcBorders>
              <w:top w:val="single" w:color="auto" w:sz="6" w:space="0"/>
              <w:left w:val="single" w:color="auto" w:sz="4" w:space="0"/>
              <w:right w:val="double" w:color="auto" w:sz="4" w:space="0"/>
            </w:tcBorders>
            <w:vAlign w:val="center"/>
          </w:tcPr>
          <w:p>
            <w:pPr>
              <w:autoSpaceDE w:val="0"/>
              <w:autoSpaceDN w:val="0"/>
              <w:adjustRightInd w:val="0"/>
              <w:spacing w:line="400" w:lineRule="exact"/>
              <w:jc w:val="center"/>
              <w:rPr>
                <w:rFonts w:ascii="华文细黑" w:hAnsi="华文细黑" w:eastAsia="华文细黑" w:cs="华文细黑"/>
                <w:szCs w:val="21"/>
              </w:rPr>
            </w:pPr>
          </w:p>
        </w:tc>
      </w:tr>
      <w:tr>
        <w:tblPrEx>
          <w:tblLayout w:type="fixed"/>
          <w:tblCellMar>
            <w:top w:w="0" w:type="dxa"/>
            <w:left w:w="30" w:type="dxa"/>
            <w:bottom w:w="0" w:type="dxa"/>
            <w:right w:w="30" w:type="dxa"/>
          </w:tblCellMar>
        </w:tblPrEx>
        <w:trPr>
          <w:cantSplit/>
          <w:trHeight w:val="445" w:hRule="atLeast"/>
        </w:trPr>
        <w:tc>
          <w:tcPr>
            <w:tcW w:w="8610" w:type="dxa"/>
            <w:gridSpan w:val="6"/>
            <w:tcBorders>
              <w:top w:val="single" w:color="auto" w:sz="6" w:space="0"/>
              <w:left w:val="double" w:color="auto" w:sz="4" w:space="0"/>
              <w:bottom w:val="double" w:color="auto" w:sz="4" w:space="0"/>
              <w:right w:val="double" w:color="auto" w:sz="4" w:space="0"/>
            </w:tcBorders>
            <w:vAlign w:val="center"/>
          </w:tcPr>
          <w:p>
            <w:pPr>
              <w:autoSpaceDE w:val="0"/>
              <w:autoSpaceDN w:val="0"/>
              <w:adjustRightInd w:val="0"/>
              <w:spacing w:line="400" w:lineRule="exact"/>
              <w:jc w:val="center"/>
              <w:rPr>
                <w:rFonts w:ascii="华文细黑" w:hAnsi="华文细黑" w:eastAsia="华文细黑" w:cs="华文细黑"/>
                <w:szCs w:val="21"/>
              </w:rPr>
            </w:pPr>
            <w:r>
              <w:rPr>
                <w:rFonts w:hint="eastAsia" w:ascii="华文细黑" w:hAnsi="华文细黑" w:eastAsia="华文细黑" w:cs="华文细黑"/>
                <w:b/>
                <w:bCs/>
                <w:szCs w:val="21"/>
              </w:rPr>
              <w:t>报价</w:t>
            </w:r>
            <w:r>
              <w:rPr>
                <w:rFonts w:hint="eastAsia" w:ascii="华文细黑" w:hAnsi="华文细黑" w:eastAsia="华文细黑" w:cs="华文细黑"/>
                <w:szCs w:val="21"/>
              </w:rPr>
              <w:t>（人民币大写）</w:t>
            </w:r>
            <w:r>
              <w:rPr>
                <w:rFonts w:hint="eastAsia" w:ascii="华文细黑" w:hAnsi="华文细黑" w:eastAsia="华文细黑" w:cs="华文细黑"/>
                <w:szCs w:val="21"/>
                <w:u w:val="single"/>
              </w:rPr>
              <w:t>人民币          元整</w:t>
            </w:r>
            <w:r>
              <w:rPr>
                <w:rFonts w:hint="eastAsia" w:ascii="华文细黑" w:hAnsi="华文细黑" w:eastAsia="华文细黑" w:cs="华文细黑"/>
                <w:szCs w:val="21"/>
              </w:rPr>
              <w:t xml:space="preserve">  </w:t>
            </w:r>
          </w:p>
          <w:p>
            <w:pPr>
              <w:autoSpaceDE w:val="0"/>
              <w:autoSpaceDN w:val="0"/>
              <w:adjustRightInd w:val="0"/>
              <w:spacing w:line="400" w:lineRule="exact"/>
              <w:jc w:val="center"/>
              <w:rPr>
                <w:rFonts w:ascii="华文细黑" w:hAnsi="华文细黑" w:eastAsia="华文细黑" w:cs="华文细黑"/>
                <w:szCs w:val="21"/>
              </w:rPr>
            </w:pPr>
            <w:r>
              <w:rPr>
                <w:rFonts w:hint="eastAsia" w:ascii="华文细黑" w:hAnsi="华文细黑" w:eastAsia="华文细黑" w:cs="华文细黑"/>
                <w:szCs w:val="21"/>
              </w:rPr>
              <w:t xml:space="preserve">  （人民币小写）¥ </w:t>
            </w:r>
            <w:r>
              <w:rPr>
                <w:rFonts w:hint="eastAsia" w:ascii="华文细黑" w:hAnsi="华文细黑" w:eastAsia="华文细黑" w:cs="华文细黑"/>
                <w:szCs w:val="21"/>
                <w:u w:val="single"/>
              </w:rPr>
              <w:t xml:space="preserve">      </w:t>
            </w:r>
            <w:r>
              <w:rPr>
                <w:rFonts w:hint="eastAsia" w:ascii="华文细黑" w:hAnsi="华文细黑" w:eastAsia="华文细黑" w:cs="华文细黑"/>
                <w:szCs w:val="21"/>
              </w:rPr>
              <w:t>元</w:t>
            </w:r>
          </w:p>
        </w:tc>
      </w:tr>
    </w:tbl>
    <w:p>
      <w:pPr>
        <w:spacing w:line="400" w:lineRule="exact"/>
        <w:ind w:right="-340" w:rightChars="-162"/>
        <w:rPr>
          <w:rFonts w:ascii="华文细黑" w:hAnsi="华文细黑" w:eastAsia="华文细黑" w:cs="华文细黑"/>
          <w:kern w:val="0"/>
          <w:sz w:val="24"/>
          <w:szCs w:val="24"/>
          <w:highlight w:val="yellow"/>
        </w:rPr>
      </w:pPr>
    </w:p>
    <w:p>
      <w:pPr>
        <w:pStyle w:val="4"/>
        <w:tabs>
          <w:tab w:val="left" w:pos="0"/>
        </w:tabs>
        <w:wordWrap w:val="0"/>
        <w:spacing w:after="0" w:line="44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2.合同价格为货物到达医院指定地点价格，包含一切税费、货物费、运杂费、保险费、装卸落地费、保管费、货物仓储费、二次搬运费（搬运至各区域所发生的全部费用）、及质保期内维护保养等完成本项目所需的所有费用等，实行固定单价（单价按投标报价）包干。</w:t>
      </w:r>
    </w:p>
    <w:p>
      <w:pPr>
        <w:pStyle w:val="4"/>
        <w:tabs>
          <w:tab w:val="left" w:pos="0"/>
        </w:tabs>
        <w:wordWrap w:val="0"/>
        <w:spacing w:after="0" w:line="440" w:lineRule="exact"/>
        <w:ind w:left="0" w:leftChars="0"/>
        <w:rPr>
          <w:rFonts w:hint="eastAsia" w:ascii="华文细黑" w:hAnsi="华文细黑" w:eastAsia="华文细黑" w:cs="华文细黑"/>
          <w:sz w:val="24"/>
          <w:szCs w:val="24"/>
        </w:rPr>
      </w:pPr>
      <w:r>
        <w:rPr>
          <w:rFonts w:hint="eastAsia" w:ascii="华文细黑" w:hAnsi="华文细黑" w:eastAsia="华文细黑" w:cs="华文细黑"/>
          <w:sz w:val="24"/>
          <w:szCs w:val="24"/>
        </w:rPr>
        <w:t>3.因实际需要调整供货数量时，合同总价按结算时实际货物验收单数量为准。涉及采购变更，必须由医院书面确认后方可作为结算的依据。</w:t>
      </w:r>
    </w:p>
    <w:p>
      <w:pPr>
        <w:pStyle w:val="4"/>
        <w:tabs>
          <w:tab w:val="left" w:pos="0"/>
        </w:tabs>
        <w:wordWrap w:val="0"/>
        <w:spacing w:after="0" w:line="440" w:lineRule="exact"/>
        <w:ind w:left="0" w:leftChars="0"/>
        <w:rPr>
          <w:rFonts w:hint="eastAsia" w:ascii="华文细黑" w:hAnsi="华文细黑" w:eastAsia="华文细黑" w:cs="华文细黑"/>
          <w:sz w:val="24"/>
          <w:szCs w:val="24"/>
        </w:rPr>
      </w:pPr>
    </w:p>
    <w:p>
      <w:pPr>
        <w:pStyle w:val="4"/>
        <w:tabs>
          <w:tab w:val="left" w:pos="0"/>
        </w:tabs>
        <w:wordWrap w:val="0"/>
        <w:spacing w:after="0" w:line="440" w:lineRule="exact"/>
        <w:ind w:left="0" w:leftChars="0"/>
        <w:rPr>
          <w:rFonts w:ascii="华文细黑" w:hAnsi="华文细黑" w:eastAsia="华文细黑" w:cs="华文细黑"/>
          <w:b/>
          <w:bCs/>
          <w:sz w:val="24"/>
          <w:szCs w:val="24"/>
        </w:rPr>
      </w:pPr>
      <w:r>
        <w:rPr>
          <w:rFonts w:hint="eastAsia" w:ascii="华文细黑" w:hAnsi="华文细黑" w:eastAsia="华文细黑" w:cs="华文细黑"/>
          <w:b/>
          <w:bCs/>
          <w:sz w:val="24"/>
          <w:szCs w:val="24"/>
        </w:rPr>
        <w:t>三、供应商资格条件</w:t>
      </w:r>
    </w:p>
    <w:p>
      <w:pPr>
        <w:pStyle w:val="4"/>
        <w:tabs>
          <w:tab w:val="left" w:pos="0"/>
        </w:tabs>
        <w:wordWrap w:val="0"/>
        <w:spacing w:after="0" w:line="44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1.符合《中华人民共和国政府采购法》第二十二条规定条件；必须具备本次招标货物或服务的经营资质；</w:t>
      </w:r>
    </w:p>
    <w:p>
      <w:pPr>
        <w:pStyle w:val="4"/>
        <w:tabs>
          <w:tab w:val="left" w:pos="0"/>
        </w:tabs>
        <w:wordWrap w:val="0"/>
        <w:spacing w:after="0" w:line="44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2.近三年内有从事上述项目经营的业绩；</w:t>
      </w:r>
    </w:p>
    <w:p>
      <w:pPr>
        <w:pStyle w:val="4"/>
        <w:tabs>
          <w:tab w:val="left" w:pos="0"/>
        </w:tabs>
        <w:wordWrap w:val="0"/>
        <w:spacing w:after="0" w:line="44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3.须具有《特种设备制造许可证》；</w:t>
      </w:r>
    </w:p>
    <w:p>
      <w:pPr>
        <w:pStyle w:val="4"/>
        <w:tabs>
          <w:tab w:val="left" w:pos="0"/>
        </w:tabs>
        <w:wordWrap w:val="0"/>
        <w:spacing w:after="0" w:line="440" w:lineRule="exact"/>
        <w:ind w:left="0" w:leftChars="0"/>
        <w:rPr>
          <w:rFonts w:hint="eastAsia" w:ascii="华文细黑" w:hAnsi="华文细黑" w:eastAsia="华文细黑" w:cs="华文细黑"/>
          <w:sz w:val="24"/>
          <w:szCs w:val="24"/>
        </w:rPr>
      </w:pPr>
      <w:r>
        <w:rPr>
          <w:rFonts w:hint="eastAsia" w:ascii="华文细黑" w:hAnsi="华文细黑" w:eastAsia="华文细黑" w:cs="华文细黑"/>
          <w:sz w:val="24"/>
          <w:szCs w:val="24"/>
        </w:rPr>
        <w:t>4.本项目不接受联合体投标</w:t>
      </w:r>
    </w:p>
    <w:p>
      <w:pPr>
        <w:pStyle w:val="4"/>
        <w:tabs>
          <w:tab w:val="left" w:pos="0"/>
        </w:tabs>
        <w:wordWrap w:val="0"/>
        <w:spacing w:after="0" w:line="440" w:lineRule="exact"/>
        <w:ind w:left="0" w:leftChars="0"/>
        <w:rPr>
          <w:rFonts w:hint="eastAsia" w:ascii="华文细黑" w:hAnsi="华文细黑" w:eastAsia="华文细黑" w:cs="华文细黑"/>
          <w:sz w:val="24"/>
          <w:szCs w:val="24"/>
        </w:rPr>
      </w:pPr>
    </w:p>
    <w:p>
      <w:pPr>
        <w:pStyle w:val="4"/>
        <w:tabs>
          <w:tab w:val="left" w:pos="0"/>
        </w:tabs>
        <w:wordWrap w:val="0"/>
        <w:spacing w:after="0" w:line="440" w:lineRule="exact"/>
        <w:ind w:left="0" w:leftChars="0"/>
        <w:rPr>
          <w:rFonts w:ascii="华文细黑" w:hAnsi="华文细黑" w:eastAsia="华文细黑" w:cs="华文细黑"/>
          <w:b/>
          <w:bCs/>
          <w:sz w:val="24"/>
          <w:szCs w:val="24"/>
        </w:rPr>
      </w:pPr>
      <w:r>
        <w:rPr>
          <w:rFonts w:hint="eastAsia" w:ascii="华文细黑" w:hAnsi="华文细黑" w:eastAsia="华文细黑" w:cs="华文细黑"/>
          <w:b/>
          <w:bCs/>
          <w:sz w:val="24"/>
          <w:szCs w:val="24"/>
        </w:rPr>
        <w:t>四、供应产品技术要求</w:t>
      </w:r>
    </w:p>
    <w:p>
      <w:pPr>
        <w:pStyle w:val="4"/>
        <w:tabs>
          <w:tab w:val="left" w:pos="0"/>
        </w:tabs>
        <w:wordWrap w:val="0"/>
        <w:spacing w:after="0" w:line="440" w:lineRule="exact"/>
        <w:ind w:left="0" w:leftChars="0"/>
        <w:rPr>
          <w:rFonts w:ascii="华文细黑" w:hAnsi="华文细黑" w:eastAsia="华文细黑" w:cs="华文细黑"/>
          <w:sz w:val="24"/>
          <w:szCs w:val="24"/>
        </w:rPr>
      </w:pPr>
      <w:r>
        <w:rPr>
          <w:rFonts w:ascii="华文细黑" w:hAnsi="华文细黑" w:eastAsia="华文细黑" w:cs="华文细黑"/>
          <w:sz w:val="24"/>
          <w:szCs w:val="24"/>
        </w:rPr>
        <w:t>1</w:t>
      </w:r>
      <w:r>
        <w:rPr>
          <w:rFonts w:hint="eastAsia" w:ascii="华文细黑" w:hAnsi="华文细黑" w:eastAsia="华文细黑" w:cs="华文细黑"/>
          <w:sz w:val="24"/>
          <w:szCs w:val="24"/>
        </w:rPr>
        <w:t>．</w:t>
      </w:r>
      <w:r>
        <w:rPr>
          <w:rFonts w:ascii="华文细黑" w:hAnsi="华文细黑" w:eastAsia="华文细黑" w:cs="华文细黑"/>
          <w:sz w:val="24"/>
          <w:szCs w:val="24"/>
        </w:rPr>
        <w:t>任何阀门在出厂前都要依据国际行业标准进行性能实验、漏水实验、静水压力实验，承包商应提供产品出厂前的一切检验证书，以证明是合格产品。</w:t>
      </w:r>
    </w:p>
    <w:p>
      <w:pPr>
        <w:pStyle w:val="4"/>
        <w:tabs>
          <w:tab w:val="left" w:pos="0"/>
        </w:tabs>
        <w:wordWrap w:val="0"/>
        <w:spacing w:after="0" w:line="44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2.</w:t>
      </w:r>
      <w:r>
        <w:rPr>
          <w:rFonts w:ascii="华文细黑" w:hAnsi="华文细黑" w:eastAsia="华文细黑" w:cs="华文细黑"/>
          <w:sz w:val="24"/>
          <w:szCs w:val="24"/>
        </w:rPr>
        <w:t xml:space="preserve"> </w:t>
      </w:r>
      <w:r>
        <w:rPr>
          <w:rFonts w:hint="eastAsia" w:ascii="华文细黑" w:hAnsi="华文细黑" w:eastAsia="华文细黑" w:cs="华文细黑"/>
          <w:sz w:val="24"/>
          <w:szCs w:val="24"/>
        </w:rPr>
        <w:t>清单中所有蒸汽系统之设备须由同一生产厂家提供。</w:t>
      </w:r>
    </w:p>
    <w:p>
      <w:pPr>
        <w:pStyle w:val="4"/>
        <w:tabs>
          <w:tab w:val="left" w:pos="0"/>
        </w:tabs>
        <w:wordWrap w:val="0"/>
        <w:spacing w:after="0" w:line="44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3.</w:t>
      </w:r>
      <w:r>
        <w:rPr>
          <w:rFonts w:ascii="华文细黑" w:hAnsi="华文细黑" w:eastAsia="华文细黑" w:cs="华文细黑"/>
          <w:sz w:val="24"/>
          <w:szCs w:val="24"/>
        </w:rPr>
        <w:t xml:space="preserve"> </w:t>
      </w:r>
      <w:r>
        <w:rPr>
          <w:rFonts w:hint="eastAsia" w:ascii="华文细黑" w:hAnsi="华文细黑" w:eastAsia="华文细黑" w:cs="华文细黑"/>
          <w:sz w:val="24"/>
          <w:szCs w:val="24"/>
        </w:rPr>
        <w:t>蒸汽系统设备须由认可生产厂家制造，生产厂家须具有10年以上的蒸汽阀门生产经验。</w:t>
      </w:r>
    </w:p>
    <w:p>
      <w:pPr>
        <w:pStyle w:val="4"/>
        <w:tabs>
          <w:tab w:val="left" w:pos="0"/>
        </w:tabs>
        <w:wordWrap w:val="0"/>
        <w:spacing w:after="0" w:line="44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4.</w:t>
      </w:r>
      <w:r>
        <w:rPr>
          <w:rFonts w:ascii="华文细黑" w:hAnsi="华文细黑" w:eastAsia="华文细黑" w:cs="华文细黑"/>
          <w:sz w:val="24"/>
          <w:szCs w:val="24"/>
        </w:rPr>
        <w:t xml:space="preserve"> </w:t>
      </w:r>
      <w:r>
        <w:rPr>
          <w:rFonts w:hint="eastAsia" w:ascii="华文细黑" w:hAnsi="华文细黑" w:eastAsia="华文细黑" w:cs="华文细黑"/>
          <w:sz w:val="24"/>
          <w:szCs w:val="24"/>
        </w:rPr>
        <w:t>蒸汽属于高温型热媒，蒸汽热能充分利用后将全部变成冷凝水，考虑的两种介质共存现象，为避免</w:t>
      </w:r>
      <w:r>
        <w:rPr>
          <w:rFonts w:ascii="华文细黑" w:hAnsi="华文细黑" w:eastAsia="华文细黑" w:cs="华文细黑"/>
          <w:sz w:val="24"/>
          <w:szCs w:val="24"/>
        </w:rPr>
        <w:t>安全隐患，</w:t>
      </w:r>
      <w:r>
        <w:rPr>
          <w:rFonts w:hint="eastAsia" w:ascii="华文细黑" w:hAnsi="华文细黑" w:eastAsia="华文细黑" w:cs="华文细黑"/>
          <w:sz w:val="24"/>
          <w:szCs w:val="24"/>
        </w:rPr>
        <w:t>所有</w:t>
      </w:r>
      <w:r>
        <w:rPr>
          <w:rFonts w:ascii="华文细黑" w:hAnsi="华文细黑" w:eastAsia="华文细黑" w:cs="华文细黑"/>
          <w:sz w:val="24"/>
          <w:szCs w:val="24"/>
        </w:rPr>
        <w:t>蒸汽阀门应当采用球墨铸铁及以上</w:t>
      </w:r>
      <w:r>
        <w:rPr>
          <w:rFonts w:hint="eastAsia" w:ascii="华文细黑" w:hAnsi="华文细黑" w:eastAsia="华文细黑" w:cs="华文细黑"/>
          <w:sz w:val="24"/>
          <w:szCs w:val="24"/>
        </w:rPr>
        <w:t>材质</w:t>
      </w:r>
      <w:r>
        <w:rPr>
          <w:rFonts w:ascii="华文细黑" w:hAnsi="华文细黑" w:eastAsia="华文细黑" w:cs="华文细黑"/>
          <w:sz w:val="24"/>
          <w:szCs w:val="24"/>
        </w:rPr>
        <w:t>，严禁使用灰口铸铁</w:t>
      </w:r>
      <w:r>
        <w:rPr>
          <w:rFonts w:hint="eastAsia" w:ascii="华文细黑" w:hAnsi="华文细黑" w:eastAsia="华文细黑" w:cs="华文细黑"/>
          <w:sz w:val="24"/>
          <w:szCs w:val="24"/>
        </w:rPr>
        <w:t>、</w:t>
      </w:r>
      <w:r>
        <w:rPr>
          <w:rFonts w:ascii="华文细黑" w:hAnsi="华文细黑" w:eastAsia="华文细黑" w:cs="华文细黑"/>
          <w:sz w:val="24"/>
          <w:szCs w:val="24"/>
        </w:rPr>
        <w:t>可</w:t>
      </w:r>
      <w:r>
        <w:rPr>
          <w:rFonts w:hint="eastAsia" w:ascii="华文细黑" w:hAnsi="华文细黑" w:eastAsia="华文细黑" w:cs="华文细黑"/>
          <w:sz w:val="24"/>
          <w:szCs w:val="24"/>
        </w:rPr>
        <w:t>锻</w:t>
      </w:r>
      <w:r>
        <w:rPr>
          <w:rFonts w:ascii="华文细黑" w:hAnsi="华文细黑" w:eastAsia="华文细黑" w:cs="华文细黑"/>
          <w:sz w:val="24"/>
          <w:szCs w:val="24"/>
        </w:rPr>
        <w:t>铸铁材质</w:t>
      </w:r>
      <w:r>
        <w:rPr>
          <w:rFonts w:hint="eastAsia" w:ascii="华文细黑" w:hAnsi="华文细黑" w:eastAsia="华文细黑" w:cs="华文细黑"/>
          <w:sz w:val="24"/>
          <w:szCs w:val="24"/>
        </w:rPr>
        <w:t>。</w:t>
      </w:r>
    </w:p>
    <w:p>
      <w:pPr>
        <w:pStyle w:val="4"/>
        <w:tabs>
          <w:tab w:val="left" w:pos="0"/>
        </w:tabs>
        <w:wordWrap w:val="0"/>
        <w:spacing w:after="0" w:line="44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5.</w:t>
      </w:r>
      <w:r>
        <w:rPr>
          <w:rFonts w:ascii="华文细黑" w:hAnsi="华文细黑" w:eastAsia="华文细黑" w:cs="华文细黑"/>
          <w:sz w:val="24"/>
          <w:szCs w:val="24"/>
        </w:rPr>
        <w:t xml:space="preserve"> </w:t>
      </w:r>
      <w:r>
        <w:rPr>
          <w:rFonts w:hint="eastAsia" w:ascii="华文细黑" w:hAnsi="华文细黑" w:eastAsia="华文细黑" w:cs="华文细黑"/>
          <w:sz w:val="24"/>
          <w:szCs w:val="24"/>
        </w:rPr>
        <w:t>减压阀须为外部先导阀型膜片式蒸汽减压阀，带下游压力反馈，调节主阀开度并维持压力稳定，在下游无负荷时，阀可以完全关闭，保证阀后压力不因流量为零而升高，造成压力无法控制现象。</w:t>
      </w:r>
      <w:r>
        <w:rPr>
          <w:rFonts w:ascii="华文细黑" w:hAnsi="华文细黑" w:eastAsia="华文细黑" w:cs="华文细黑"/>
          <w:sz w:val="24"/>
          <w:szCs w:val="24"/>
        </w:rPr>
        <w:t>阀体材质为</w:t>
      </w:r>
      <w:r>
        <w:rPr>
          <w:rFonts w:hint="eastAsia" w:ascii="华文细黑" w:hAnsi="华文细黑" w:eastAsia="华文细黑" w:cs="华文细黑"/>
          <w:sz w:val="24"/>
          <w:szCs w:val="24"/>
        </w:rPr>
        <w:t>球墨铸铁</w:t>
      </w:r>
      <w:r>
        <w:rPr>
          <w:rFonts w:ascii="华文细黑" w:hAnsi="华文细黑" w:eastAsia="华文细黑" w:cs="华文细黑"/>
          <w:sz w:val="24"/>
          <w:szCs w:val="24"/>
        </w:rPr>
        <w:t>，阀芯和阀座为316或304经硬处理的不锈钢，压力用弹簧控制，并有外部的调校螺母。</w:t>
      </w:r>
    </w:p>
    <w:p>
      <w:pPr>
        <w:pStyle w:val="4"/>
        <w:tabs>
          <w:tab w:val="left" w:pos="0"/>
        </w:tabs>
        <w:wordWrap w:val="0"/>
        <w:spacing w:after="0" w:line="440" w:lineRule="exact"/>
        <w:ind w:left="0" w:leftChars="0"/>
        <w:rPr>
          <w:rFonts w:hint="eastAsia" w:ascii="华文细黑" w:hAnsi="华文细黑" w:eastAsia="华文细黑" w:cs="华文细黑"/>
          <w:sz w:val="24"/>
          <w:szCs w:val="24"/>
        </w:rPr>
      </w:pPr>
      <w:r>
        <w:rPr>
          <w:rFonts w:ascii="华文细黑" w:hAnsi="华文细黑" w:eastAsia="华文细黑" w:cs="华文细黑"/>
          <w:sz w:val="24"/>
          <w:szCs w:val="24"/>
        </w:rPr>
        <w:t xml:space="preserve">6. </w:t>
      </w:r>
      <w:r>
        <w:rPr>
          <w:rFonts w:hint="eastAsia" w:ascii="华文细黑" w:hAnsi="华文细黑" w:eastAsia="华文细黑" w:cs="华文细黑"/>
          <w:sz w:val="24"/>
          <w:szCs w:val="24"/>
        </w:rPr>
        <w:t>流量计主体材质是或高于316不锈钢，为弹簧变截面积式，计量量程比最大：1:100，测量精度要求：测量值的+/-0.1%：在最大流量的5%-100%时；+/-0.1%FSD：在最大流量的1%至5%时，对整套流量计的结构形式、配套部件的材质、生产地、厂家，测量精度和范围，安装方式，检定周期及检定方式等要进行详细说明；</w:t>
      </w:r>
    </w:p>
    <w:p>
      <w:pPr>
        <w:pStyle w:val="4"/>
        <w:tabs>
          <w:tab w:val="left" w:pos="0"/>
        </w:tabs>
        <w:wordWrap w:val="0"/>
        <w:spacing w:after="0" w:line="440" w:lineRule="exact"/>
        <w:ind w:left="0" w:leftChars="0"/>
        <w:rPr>
          <w:rFonts w:hint="eastAsia" w:ascii="华文细黑" w:hAnsi="华文细黑" w:eastAsia="华文细黑" w:cs="华文细黑"/>
          <w:sz w:val="24"/>
          <w:szCs w:val="24"/>
        </w:rPr>
      </w:pPr>
    </w:p>
    <w:p>
      <w:pPr>
        <w:pStyle w:val="4"/>
        <w:tabs>
          <w:tab w:val="left" w:pos="0"/>
        </w:tabs>
        <w:wordWrap w:val="0"/>
        <w:spacing w:after="0" w:line="440" w:lineRule="exact"/>
        <w:ind w:left="0" w:leftChars="0"/>
        <w:rPr>
          <w:rFonts w:hint="eastAsia" w:ascii="华文细黑" w:hAnsi="华文细黑" w:eastAsia="华文细黑" w:cs="华文细黑"/>
          <w:sz w:val="24"/>
          <w:szCs w:val="24"/>
        </w:rPr>
      </w:pPr>
    </w:p>
    <w:p>
      <w:pPr>
        <w:pStyle w:val="4"/>
        <w:tabs>
          <w:tab w:val="left" w:pos="0"/>
        </w:tabs>
        <w:wordWrap w:val="0"/>
        <w:spacing w:after="0" w:line="440" w:lineRule="exact"/>
        <w:ind w:left="0" w:leftChars="0"/>
        <w:rPr>
          <w:rFonts w:ascii="华文细黑" w:hAnsi="华文细黑" w:eastAsia="华文细黑" w:cs="华文细黑"/>
          <w:b/>
          <w:bCs/>
          <w:sz w:val="24"/>
          <w:szCs w:val="24"/>
        </w:rPr>
      </w:pPr>
      <w:r>
        <w:rPr>
          <w:rFonts w:hint="eastAsia" w:ascii="华文细黑" w:hAnsi="华文细黑" w:eastAsia="华文细黑" w:cs="华文细黑"/>
          <w:b/>
          <w:bCs/>
          <w:sz w:val="24"/>
          <w:szCs w:val="24"/>
        </w:rPr>
        <w:t>五、响应文件编制要求</w:t>
      </w:r>
    </w:p>
    <w:p>
      <w:pPr>
        <w:pStyle w:val="4"/>
        <w:tabs>
          <w:tab w:val="left" w:pos="0"/>
        </w:tabs>
        <w:wordWrap w:val="0"/>
        <w:spacing w:after="0" w:line="44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1. 响应文件分报价文件、技术文件、商务文件，不得少于叁份。</w:t>
      </w:r>
    </w:p>
    <w:p>
      <w:pPr>
        <w:pStyle w:val="4"/>
        <w:tabs>
          <w:tab w:val="left" w:pos="0"/>
        </w:tabs>
        <w:wordWrap w:val="0"/>
        <w:spacing w:after="0" w:line="44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2. 报价文件至少应包括以下内容（均需加盖公章）：（1）按本文件第二条第1款表格内所列内容报价；（2）采购到货响应周期及相应优惠条件等；（3）中标方需要说明的其他报价说明。</w:t>
      </w:r>
    </w:p>
    <w:p>
      <w:pPr>
        <w:pStyle w:val="4"/>
        <w:tabs>
          <w:tab w:val="left" w:pos="0"/>
        </w:tabs>
        <w:wordWrap w:val="0"/>
        <w:spacing w:after="0" w:line="44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3. 商务文件至少应包括以下内容：证明其为合格中标方和所提供的为合格产品的有关资格证明文件，招标文件要求提供的其他资料等（均需加盖公章）：（1）投标企业法人授权委托书；（2）受委托人的身份证复印件；（3）企业法人营业执照；（4）所有资质及认证文件；（5）主要业绩证明；（6）中标方认为需要的其他商务文件或说明。</w:t>
      </w:r>
    </w:p>
    <w:p>
      <w:pPr>
        <w:pStyle w:val="4"/>
        <w:tabs>
          <w:tab w:val="left" w:pos="0"/>
        </w:tabs>
        <w:wordWrap w:val="0"/>
        <w:spacing w:after="0" w:line="440" w:lineRule="exact"/>
        <w:ind w:left="0" w:leftChars="0"/>
        <w:rPr>
          <w:rFonts w:hint="eastAsia" w:ascii="华文细黑" w:hAnsi="华文细黑" w:eastAsia="华文细黑" w:cs="华文细黑"/>
          <w:sz w:val="24"/>
          <w:szCs w:val="24"/>
        </w:rPr>
      </w:pPr>
      <w:r>
        <w:rPr>
          <w:rFonts w:hint="eastAsia" w:ascii="华文细黑" w:hAnsi="华文细黑" w:eastAsia="华文细黑" w:cs="华文细黑"/>
          <w:sz w:val="24"/>
          <w:szCs w:val="24"/>
        </w:rPr>
        <w:t>4. 技术文件至少应包括以下内容：针对本项目的技术和服务投标方案，招标文件要求提供的其他资料等（均需加盖公章）：（1）项目负责人简历表；（2）拟派本项目人员技术力量配备情况；（3）中标方应提供的技术资料；（4）中标方需要说明的其他文件和说明。</w:t>
      </w:r>
    </w:p>
    <w:p>
      <w:pPr>
        <w:pStyle w:val="4"/>
        <w:tabs>
          <w:tab w:val="left" w:pos="0"/>
        </w:tabs>
        <w:wordWrap w:val="0"/>
        <w:spacing w:after="0" w:line="440" w:lineRule="exact"/>
        <w:ind w:left="0" w:leftChars="0"/>
        <w:rPr>
          <w:rFonts w:hint="eastAsia" w:ascii="华文细黑" w:hAnsi="华文细黑" w:eastAsia="华文细黑" w:cs="华文细黑"/>
          <w:sz w:val="24"/>
          <w:szCs w:val="24"/>
        </w:rPr>
      </w:pPr>
    </w:p>
    <w:p>
      <w:pPr>
        <w:pStyle w:val="4"/>
        <w:tabs>
          <w:tab w:val="left" w:pos="0"/>
        </w:tabs>
        <w:wordWrap w:val="0"/>
        <w:spacing w:after="0" w:line="440" w:lineRule="exact"/>
        <w:ind w:left="0" w:leftChars="0"/>
        <w:rPr>
          <w:rFonts w:ascii="华文细黑" w:hAnsi="华文细黑" w:eastAsia="华文细黑" w:cs="华文细黑"/>
          <w:b/>
          <w:bCs/>
          <w:sz w:val="24"/>
          <w:szCs w:val="24"/>
        </w:rPr>
      </w:pPr>
      <w:r>
        <w:rPr>
          <w:rFonts w:hint="eastAsia" w:ascii="华文细黑" w:hAnsi="华文细黑" w:eastAsia="华文细黑" w:cs="华文细黑"/>
          <w:b/>
          <w:bCs/>
          <w:sz w:val="24"/>
          <w:szCs w:val="24"/>
        </w:rPr>
        <w:t>六、报价文件</w:t>
      </w:r>
    </w:p>
    <w:p>
      <w:pPr>
        <w:pStyle w:val="4"/>
        <w:tabs>
          <w:tab w:val="left" w:pos="0"/>
        </w:tabs>
        <w:wordWrap w:val="0"/>
        <w:spacing w:after="0" w:line="44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1.按本文件第二条第1款表格内所列内容报价。</w:t>
      </w:r>
    </w:p>
    <w:p>
      <w:pPr>
        <w:pStyle w:val="4"/>
        <w:tabs>
          <w:tab w:val="left" w:pos="0"/>
        </w:tabs>
        <w:wordWrap w:val="0"/>
        <w:spacing w:after="0" w:line="440" w:lineRule="exact"/>
        <w:ind w:left="0" w:leftChars="0"/>
        <w:rPr>
          <w:rFonts w:hint="eastAsia" w:ascii="华文细黑" w:hAnsi="华文细黑" w:eastAsia="华文细黑" w:cs="华文细黑"/>
          <w:sz w:val="24"/>
          <w:szCs w:val="24"/>
        </w:rPr>
      </w:pPr>
      <w:r>
        <w:rPr>
          <w:rFonts w:hint="eastAsia" w:ascii="华文细黑" w:hAnsi="华文细黑" w:eastAsia="华文细黑" w:cs="华文细黑"/>
          <w:sz w:val="24"/>
          <w:szCs w:val="24"/>
        </w:rPr>
        <w:t>2.采购到货响应周期及相应优惠条件等。</w:t>
      </w:r>
    </w:p>
    <w:p>
      <w:pPr>
        <w:pStyle w:val="4"/>
        <w:tabs>
          <w:tab w:val="left" w:pos="0"/>
        </w:tabs>
        <w:wordWrap w:val="0"/>
        <w:spacing w:after="0" w:line="440" w:lineRule="exact"/>
        <w:ind w:left="0" w:leftChars="0"/>
        <w:rPr>
          <w:rFonts w:hint="eastAsia" w:ascii="华文细黑" w:hAnsi="华文细黑" w:eastAsia="华文细黑" w:cs="华文细黑"/>
          <w:sz w:val="24"/>
          <w:szCs w:val="24"/>
        </w:rPr>
      </w:pPr>
    </w:p>
    <w:p>
      <w:pPr>
        <w:pStyle w:val="4"/>
        <w:tabs>
          <w:tab w:val="left" w:pos="0"/>
        </w:tabs>
        <w:wordWrap w:val="0"/>
        <w:spacing w:after="0" w:line="440" w:lineRule="exact"/>
        <w:ind w:left="0" w:leftChars="0"/>
        <w:rPr>
          <w:rFonts w:ascii="华文细黑" w:hAnsi="华文细黑" w:eastAsia="华文细黑" w:cs="华文细黑"/>
          <w:b/>
          <w:bCs/>
          <w:sz w:val="24"/>
          <w:szCs w:val="24"/>
        </w:rPr>
      </w:pPr>
      <w:r>
        <w:rPr>
          <w:rFonts w:hint="eastAsia" w:ascii="华文细黑" w:hAnsi="华文细黑" w:eastAsia="华文细黑" w:cs="华文细黑"/>
          <w:b/>
          <w:bCs/>
          <w:sz w:val="24"/>
          <w:szCs w:val="24"/>
        </w:rPr>
        <w:t>七、评标办法</w:t>
      </w:r>
    </w:p>
    <w:p>
      <w:pPr>
        <w:pStyle w:val="4"/>
        <w:tabs>
          <w:tab w:val="left" w:pos="0"/>
        </w:tabs>
        <w:wordWrap w:val="0"/>
        <w:spacing w:after="0" w:line="440" w:lineRule="exact"/>
        <w:ind w:left="0" w:leftChars="0"/>
        <w:rPr>
          <w:rFonts w:hint="eastAsia" w:ascii="华文细黑" w:hAnsi="华文细黑" w:eastAsia="华文细黑" w:cs="华文细黑"/>
          <w:sz w:val="24"/>
          <w:szCs w:val="24"/>
        </w:rPr>
      </w:pPr>
      <w:r>
        <w:rPr>
          <w:rFonts w:hint="eastAsia" w:ascii="华文细黑" w:hAnsi="华文细黑" w:eastAsia="华文细黑" w:cs="华文细黑"/>
          <w:sz w:val="24"/>
          <w:szCs w:val="24"/>
        </w:rPr>
        <w:t>本次招标采用综合评标法，详见附件1。</w:t>
      </w:r>
    </w:p>
    <w:p>
      <w:pPr>
        <w:pStyle w:val="4"/>
        <w:tabs>
          <w:tab w:val="left" w:pos="0"/>
        </w:tabs>
        <w:wordWrap w:val="0"/>
        <w:spacing w:after="0" w:line="440" w:lineRule="exact"/>
        <w:ind w:left="0" w:leftChars="0"/>
        <w:rPr>
          <w:rFonts w:hint="eastAsia" w:ascii="华文细黑" w:hAnsi="华文细黑" w:eastAsia="华文细黑" w:cs="华文细黑"/>
          <w:sz w:val="24"/>
          <w:szCs w:val="24"/>
        </w:rPr>
      </w:pPr>
    </w:p>
    <w:p>
      <w:pPr>
        <w:pStyle w:val="4"/>
        <w:tabs>
          <w:tab w:val="left" w:pos="0"/>
        </w:tabs>
        <w:wordWrap w:val="0"/>
        <w:spacing w:after="0" w:line="440" w:lineRule="exact"/>
        <w:ind w:left="0" w:leftChars="0"/>
        <w:rPr>
          <w:rFonts w:ascii="华文细黑" w:hAnsi="华文细黑" w:eastAsia="华文细黑" w:cs="华文细黑"/>
          <w:b/>
          <w:bCs/>
          <w:sz w:val="24"/>
          <w:szCs w:val="24"/>
        </w:rPr>
      </w:pPr>
      <w:r>
        <w:rPr>
          <w:rFonts w:hint="eastAsia" w:ascii="华文细黑" w:hAnsi="华文细黑" w:eastAsia="华文细黑" w:cs="华文细黑"/>
          <w:b/>
          <w:bCs/>
          <w:sz w:val="24"/>
          <w:szCs w:val="24"/>
        </w:rPr>
        <w:t>八、报价要求</w:t>
      </w:r>
    </w:p>
    <w:p>
      <w:pPr>
        <w:pStyle w:val="4"/>
        <w:tabs>
          <w:tab w:val="left" w:pos="0"/>
        </w:tabs>
        <w:wordWrap w:val="0"/>
        <w:spacing w:after="0" w:line="440" w:lineRule="exact"/>
        <w:ind w:left="0" w:leftChars="0"/>
        <w:rPr>
          <w:rFonts w:hint="eastAsia" w:ascii="华文细黑" w:hAnsi="华文细黑" w:eastAsia="华文细黑" w:cs="华文细黑"/>
          <w:sz w:val="24"/>
          <w:szCs w:val="24"/>
        </w:rPr>
      </w:pPr>
      <w:r>
        <w:rPr>
          <w:rFonts w:hint="eastAsia" w:ascii="华文细黑" w:hAnsi="华文细黑" w:eastAsia="华文细黑" w:cs="华文细黑"/>
          <w:sz w:val="24"/>
          <w:szCs w:val="24"/>
        </w:rPr>
        <w:t>本次报价总价不得超过10万元。</w:t>
      </w:r>
    </w:p>
    <w:p>
      <w:pPr>
        <w:pStyle w:val="4"/>
        <w:tabs>
          <w:tab w:val="left" w:pos="0"/>
        </w:tabs>
        <w:wordWrap w:val="0"/>
        <w:spacing w:after="0" w:line="440" w:lineRule="exact"/>
        <w:ind w:left="0" w:leftChars="0"/>
        <w:rPr>
          <w:rFonts w:hint="eastAsia" w:ascii="华文细黑" w:hAnsi="华文细黑" w:eastAsia="华文细黑" w:cs="华文细黑"/>
          <w:sz w:val="24"/>
          <w:szCs w:val="24"/>
        </w:rPr>
      </w:pPr>
    </w:p>
    <w:p>
      <w:pPr>
        <w:pStyle w:val="4"/>
        <w:tabs>
          <w:tab w:val="left" w:pos="0"/>
        </w:tabs>
        <w:wordWrap w:val="0"/>
        <w:spacing w:after="0" w:line="440" w:lineRule="exact"/>
        <w:ind w:left="0" w:leftChars="0"/>
        <w:rPr>
          <w:rFonts w:ascii="华文细黑" w:hAnsi="华文细黑" w:eastAsia="华文细黑" w:cs="华文细黑"/>
          <w:b/>
          <w:bCs/>
          <w:sz w:val="24"/>
          <w:szCs w:val="24"/>
        </w:rPr>
      </w:pPr>
      <w:r>
        <w:rPr>
          <w:rFonts w:hint="eastAsia" w:ascii="华文细黑" w:hAnsi="华文细黑" w:eastAsia="华文细黑" w:cs="华文细黑"/>
          <w:b/>
          <w:bCs/>
          <w:sz w:val="24"/>
          <w:szCs w:val="24"/>
        </w:rPr>
        <w:t>九、合同签订</w:t>
      </w:r>
    </w:p>
    <w:p>
      <w:pPr>
        <w:pStyle w:val="4"/>
        <w:tabs>
          <w:tab w:val="left" w:pos="0"/>
        </w:tabs>
        <w:wordWrap w:val="0"/>
        <w:spacing w:after="0" w:line="44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1.中标人须在7个工作日内，与我院签订采购合同，否则，将视为自动放弃本项目的所有权利，取消中标资格。</w:t>
      </w:r>
    </w:p>
    <w:p>
      <w:pPr>
        <w:pStyle w:val="4"/>
        <w:tabs>
          <w:tab w:val="left" w:pos="0"/>
        </w:tabs>
        <w:wordWrap w:val="0"/>
        <w:spacing w:after="0" w:line="44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2. 合同签订前，我院将对合同内容进行审查，如发现与采购结果和投标承诺内容不一致的，取消中标资格。</w:t>
      </w:r>
    </w:p>
    <w:p>
      <w:pPr>
        <w:pStyle w:val="4"/>
        <w:tabs>
          <w:tab w:val="left" w:pos="0"/>
        </w:tabs>
        <w:wordWrap w:val="0"/>
        <w:spacing w:after="0" w:line="440" w:lineRule="exact"/>
        <w:ind w:left="0" w:leftChars="0"/>
        <w:rPr>
          <w:rFonts w:hint="eastAsia" w:ascii="华文细黑" w:hAnsi="华文细黑" w:eastAsia="华文细黑" w:cs="华文细黑"/>
          <w:sz w:val="24"/>
          <w:szCs w:val="24"/>
        </w:rPr>
      </w:pPr>
      <w:r>
        <w:rPr>
          <w:rFonts w:hint="eastAsia" w:ascii="华文细黑" w:hAnsi="华文细黑" w:eastAsia="华文细黑" w:cs="华文细黑"/>
          <w:sz w:val="24"/>
          <w:szCs w:val="24"/>
        </w:rPr>
        <w:t>3. 中标人若拖延、拒签合同的,将取消中标资格。</w:t>
      </w:r>
    </w:p>
    <w:p>
      <w:pPr>
        <w:pStyle w:val="4"/>
        <w:tabs>
          <w:tab w:val="left" w:pos="0"/>
        </w:tabs>
        <w:wordWrap w:val="0"/>
        <w:spacing w:after="0" w:line="440" w:lineRule="exact"/>
        <w:ind w:left="0" w:leftChars="0"/>
        <w:rPr>
          <w:rFonts w:ascii="华文细黑" w:hAnsi="华文细黑" w:eastAsia="华文细黑" w:cs="华文细黑"/>
          <w:b/>
          <w:bCs/>
          <w:sz w:val="24"/>
          <w:szCs w:val="24"/>
        </w:rPr>
      </w:pPr>
      <w:r>
        <w:rPr>
          <w:rFonts w:hint="eastAsia" w:ascii="华文细黑" w:hAnsi="华文细黑" w:eastAsia="华文细黑" w:cs="华文细黑"/>
          <w:b/>
          <w:bCs/>
          <w:sz w:val="24"/>
          <w:szCs w:val="24"/>
        </w:rPr>
        <w:t>十、付款方式</w:t>
      </w:r>
    </w:p>
    <w:p>
      <w:pPr>
        <w:pStyle w:val="4"/>
        <w:tabs>
          <w:tab w:val="left" w:pos="0"/>
        </w:tabs>
        <w:wordWrap w:val="0"/>
        <w:spacing w:after="0" w:line="440" w:lineRule="exact"/>
        <w:ind w:left="0" w:leftChars="0"/>
        <w:rPr>
          <w:rFonts w:hint="eastAsia" w:ascii="华文细黑" w:hAnsi="华文细黑" w:eastAsia="华文细黑" w:cs="华文细黑"/>
          <w:sz w:val="24"/>
          <w:szCs w:val="24"/>
        </w:rPr>
      </w:pPr>
      <w:r>
        <w:rPr>
          <w:rFonts w:hint="eastAsia" w:ascii="华文细黑" w:hAnsi="华文细黑" w:eastAsia="华文细黑" w:cs="华文细黑"/>
          <w:sz w:val="24"/>
          <w:szCs w:val="24"/>
        </w:rPr>
        <w:t>1. 按合同约定付款，付款以转账支票形式支付。</w:t>
      </w:r>
    </w:p>
    <w:p>
      <w:pPr>
        <w:pStyle w:val="4"/>
        <w:tabs>
          <w:tab w:val="left" w:pos="0"/>
        </w:tabs>
        <w:wordWrap w:val="0"/>
        <w:spacing w:after="0" w:line="440" w:lineRule="exact"/>
        <w:ind w:left="0" w:leftChars="0"/>
        <w:rPr>
          <w:rFonts w:hint="eastAsia" w:ascii="华文细黑" w:hAnsi="华文细黑" w:eastAsia="华文细黑" w:cs="华文细黑"/>
          <w:sz w:val="24"/>
          <w:szCs w:val="24"/>
        </w:rPr>
      </w:pPr>
    </w:p>
    <w:p>
      <w:pPr>
        <w:pStyle w:val="4"/>
        <w:tabs>
          <w:tab w:val="left" w:pos="0"/>
        </w:tabs>
        <w:wordWrap w:val="0"/>
        <w:spacing w:after="0" w:line="440" w:lineRule="exact"/>
        <w:ind w:left="0" w:leftChars="0"/>
        <w:rPr>
          <w:rFonts w:ascii="华文细黑" w:hAnsi="华文细黑" w:eastAsia="华文细黑" w:cs="华文细黑"/>
          <w:b/>
          <w:bCs/>
          <w:sz w:val="24"/>
          <w:szCs w:val="24"/>
        </w:rPr>
      </w:pPr>
      <w:r>
        <w:rPr>
          <w:rFonts w:hint="eastAsia" w:ascii="华文细黑" w:hAnsi="华文细黑" w:eastAsia="华文细黑" w:cs="华文细黑"/>
          <w:b/>
          <w:bCs/>
          <w:sz w:val="24"/>
          <w:szCs w:val="24"/>
        </w:rPr>
        <w:t>十一、投标截止时间、开标时间及地点</w:t>
      </w:r>
    </w:p>
    <w:p>
      <w:pPr>
        <w:pStyle w:val="4"/>
        <w:tabs>
          <w:tab w:val="left" w:pos="0"/>
        </w:tabs>
        <w:wordWrap w:val="0"/>
        <w:spacing w:after="0" w:line="44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 xml:space="preserve">1. 递交投标文件截止时间：2018年 </w:t>
      </w:r>
      <w:r>
        <w:rPr>
          <w:rFonts w:hint="eastAsia" w:ascii="华文细黑" w:hAnsi="华文细黑" w:eastAsia="华文细黑" w:cs="华文细黑"/>
          <w:sz w:val="24"/>
          <w:szCs w:val="24"/>
          <w:lang w:val="en-US" w:eastAsia="zh-CN"/>
        </w:rPr>
        <w:t>12</w:t>
      </w:r>
      <w:r>
        <w:rPr>
          <w:rFonts w:hint="eastAsia" w:ascii="华文细黑" w:hAnsi="华文细黑" w:eastAsia="华文细黑" w:cs="华文细黑"/>
          <w:sz w:val="24"/>
          <w:szCs w:val="24"/>
        </w:rPr>
        <w:t xml:space="preserve"> 月 </w:t>
      </w:r>
      <w:r>
        <w:rPr>
          <w:rFonts w:hint="eastAsia" w:ascii="华文细黑" w:hAnsi="华文细黑" w:eastAsia="华文细黑" w:cs="华文细黑"/>
          <w:sz w:val="24"/>
          <w:szCs w:val="24"/>
          <w:lang w:val="en-US" w:eastAsia="zh-CN"/>
        </w:rPr>
        <w:t>25</w:t>
      </w:r>
      <w:r>
        <w:rPr>
          <w:rFonts w:hint="eastAsia" w:ascii="华文细黑" w:hAnsi="华文细黑" w:eastAsia="华文细黑" w:cs="华文细黑"/>
          <w:sz w:val="24"/>
          <w:szCs w:val="24"/>
        </w:rPr>
        <w:t xml:space="preserve"> 日（周</w:t>
      </w:r>
      <w:r>
        <w:rPr>
          <w:rFonts w:hint="eastAsia" w:ascii="华文细黑" w:hAnsi="华文细黑" w:eastAsia="华文细黑" w:cs="华文细黑"/>
          <w:sz w:val="24"/>
          <w:szCs w:val="24"/>
          <w:lang w:eastAsia="zh-CN"/>
        </w:rPr>
        <w:t>二</w:t>
      </w:r>
      <w:r>
        <w:rPr>
          <w:rFonts w:hint="eastAsia" w:ascii="华文细黑" w:hAnsi="华文细黑" w:eastAsia="华文细黑" w:cs="华文细黑"/>
          <w:sz w:val="24"/>
          <w:szCs w:val="24"/>
        </w:rPr>
        <w:t xml:space="preserve"> ）1</w:t>
      </w:r>
      <w:r>
        <w:rPr>
          <w:rFonts w:hint="eastAsia" w:ascii="华文细黑" w:hAnsi="华文细黑" w:eastAsia="华文细黑" w:cs="华文细黑"/>
          <w:sz w:val="24"/>
          <w:szCs w:val="24"/>
          <w:lang w:val="en-US" w:eastAsia="zh-CN"/>
        </w:rPr>
        <w:t>6</w:t>
      </w:r>
      <w:r>
        <w:rPr>
          <w:rFonts w:hint="eastAsia" w:ascii="华文细黑" w:hAnsi="华文细黑" w:eastAsia="华文细黑" w:cs="华文细黑"/>
          <w:sz w:val="24"/>
          <w:szCs w:val="24"/>
        </w:rPr>
        <w:t>：</w:t>
      </w:r>
      <w:r>
        <w:rPr>
          <w:rFonts w:hint="eastAsia" w:ascii="华文细黑" w:hAnsi="华文细黑" w:eastAsia="华文细黑" w:cs="华文细黑"/>
          <w:sz w:val="24"/>
          <w:szCs w:val="24"/>
          <w:lang w:val="en-US" w:eastAsia="zh-CN"/>
        </w:rPr>
        <w:t>3</w:t>
      </w:r>
      <w:r>
        <w:rPr>
          <w:rFonts w:hint="eastAsia" w:ascii="华文细黑" w:hAnsi="华文细黑" w:eastAsia="华文细黑" w:cs="华文细黑"/>
          <w:sz w:val="24"/>
          <w:szCs w:val="24"/>
        </w:rPr>
        <w:t>0，逾期不再接受任何形式的报名。</w:t>
      </w:r>
    </w:p>
    <w:p>
      <w:pPr>
        <w:pStyle w:val="4"/>
        <w:tabs>
          <w:tab w:val="left" w:pos="0"/>
        </w:tabs>
        <w:wordWrap w:val="0"/>
        <w:spacing w:after="0" w:line="44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2．开标时间：2018年</w:t>
      </w:r>
      <w:r>
        <w:rPr>
          <w:rFonts w:hint="eastAsia" w:ascii="华文细黑" w:hAnsi="华文细黑" w:eastAsia="华文细黑" w:cs="华文细黑"/>
          <w:sz w:val="24"/>
          <w:szCs w:val="24"/>
          <w:lang w:val="en-US" w:eastAsia="zh-CN"/>
        </w:rPr>
        <w:t xml:space="preserve"> 12</w:t>
      </w:r>
      <w:r>
        <w:rPr>
          <w:rFonts w:hint="eastAsia" w:ascii="华文细黑" w:hAnsi="华文细黑" w:eastAsia="华文细黑" w:cs="华文细黑"/>
          <w:sz w:val="24"/>
          <w:szCs w:val="24"/>
        </w:rPr>
        <w:t xml:space="preserve"> 月 </w:t>
      </w:r>
      <w:r>
        <w:rPr>
          <w:rFonts w:hint="eastAsia" w:ascii="华文细黑" w:hAnsi="华文细黑" w:eastAsia="华文细黑" w:cs="华文细黑"/>
          <w:sz w:val="24"/>
          <w:szCs w:val="24"/>
          <w:lang w:val="en-US" w:eastAsia="zh-CN"/>
        </w:rPr>
        <w:t>26</w:t>
      </w:r>
      <w:r>
        <w:rPr>
          <w:rFonts w:hint="eastAsia" w:ascii="华文细黑" w:hAnsi="华文细黑" w:eastAsia="华文细黑" w:cs="华文细黑"/>
          <w:sz w:val="24"/>
          <w:szCs w:val="24"/>
        </w:rPr>
        <w:t xml:space="preserve"> 日（周三）9：00</w:t>
      </w:r>
    </w:p>
    <w:p>
      <w:pPr>
        <w:pStyle w:val="4"/>
        <w:tabs>
          <w:tab w:val="left" w:pos="0"/>
        </w:tabs>
        <w:wordWrap w:val="0"/>
        <w:spacing w:after="0" w:line="44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 xml:space="preserve">3．投标地点：浙江省肿瘤医院行政楼 </w:t>
      </w:r>
      <w:r>
        <w:rPr>
          <w:rFonts w:hint="eastAsia" w:ascii="华文细黑" w:hAnsi="华文细黑" w:eastAsia="华文细黑" w:cs="华文细黑"/>
          <w:sz w:val="24"/>
          <w:szCs w:val="24"/>
          <w:lang w:val="en-US" w:eastAsia="zh-CN"/>
        </w:rPr>
        <w:t>403</w:t>
      </w:r>
      <w:r>
        <w:rPr>
          <w:rFonts w:hint="eastAsia" w:ascii="华文细黑" w:hAnsi="华文细黑" w:eastAsia="华文细黑" w:cs="华文细黑"/>
          <w:sz w:val="24"/>
          <w:szCs w:val="24"/>
        </w:rPr>
        <w:t xml:space="preserve"> 室</w:t>
      </w:r>
    </w:p>
    <w:p>
      <w:pPr>
        <w:pStyle w:val="4"/>
        <w:tabs>
          <w:tab w:val="left" w:pos="0"/>
        </w:tabs>
        <w:wordWrap w:val="0"/>
        <w:spacing w:after="0" w:line="44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 xml:space="preserve">4. 开标地点：浙江省肿瘤医院行政楼 </w:t>
      </w:r>
      <w:r>
        <w:rPr>
          <w:rFonts w:hint="eastAsia" w:ascii="华文细黑" w:hAnsi="华文细黑" w:eastAsia="华文细黑" w:cs="华文细黑"/>
          <w:sz w:val="24"/>
          <w:szCs w:val="24"/>
          <w:lang w:val="en-US" w:eastAsia="zh-CN"/>
        </w:rPr>
        <w:t>411</w:t>
      </w:r>
      <w:r>
        <w:rPr>
          <w:rFonts w:hint="eastAsia" w:ascii="华文细黑" w:hAnsi="华文细黑" w:eastAsia="华文细黑" w:cs="华文细黑"/>
          <w:sz w:val="24"/>
          <w:szCs w:val="24"/>
        </w:rPr>
        <w:t xml:space="preserve"> 室</w:t>
      </w:r>
    </w:p>
    <w:p>
      <w:pPr>
        <w:pStyle w:val="4"/>
        <w:tabs>
          <w:tab w:val="left" w:pos="0"/>
        </w:tabs>
        <w:wordWrap w:val="0"/>
        <w:spacing w:after="0" w:line="440" w:lineRule="exact"/>
        <w:ind w:left="0" w:leftChars="0"/>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5. 采用快递方式递交投标文件，必须对投标文件进行密封并在密封处加盖公章，快递费用由投标单位自理，不接受到付件。邮寄地址：杭州市拱墅区半山东路1号浙江省肿瘤医院行政楼  </w:t>
      </w:r>
      <w:r>
        <w:rPr>
          <w:rFonts w:hint="eastAsia" w:ascii="华文细黑" w:hAnsi="华文细黑" w:eastAsia="华文细黑" w:cs="华文细黑"/>
          <w:sz w:val="24"/>
          <w:szCs w:val="24"/>
          <w:lang w:val="en-US" w:eastAsia="zh-CN"/>
        </w:rPr>
        <w:t>403</w:t>
      </w:r>
      <w:r>
        <w:rPr>
          <w:rFonts w:hint="eastAsia" w:ascii="华文细黑" w:hAnsi="华文细黑" w:eastAsia="华文细黑" w:cs="华文细黑"/>
          <w:sz w:val="24"/>
          <w:szCs w:val="24"/>
        </w:rPr>
        <w:t xml:space="preserve">  室。</w:t>
      </w:r>
    </w:p>
    <w:p>
      <w:pPr>
        <w:pStyle w:val="4"/>
        <w:tabs>
          <w:tab w:val="left" w:pos="0"/>
        </w:tabs>
        <w:wordWrap w:val="0"/>
        <w:spacing w:after="0" w:line="440" w:lineRule="exact"/>
        <w:ind w:left="0" w:leftChars="0"/>
        <w:rPr>
          <w:rFonts w:hint="eastAsia" w:ascii="华文细黑" w:hAnsi="华文细黑" w:eastAsia="华文细黑" w:cs="华文细黑"/>
          <w:sz w:val="24"/>
          <w:szCs w:val="24"/>
        </w:rPr>
      </w:pPr>
    </w:p>
    <w:p>
      <w:pPr>
        <w:pStyle w:val="4"/>
        <w:tabs>
          <w:tab w:val="left" w:pos="0"/>
        </w:tabs>
        <w:wordWrap w:val="0"/>
        <w:spacing w:after="0" w:line="440" w:lineRule="exact"/>
        <w:ind w:left="0" w:leftChars="0"/>
        <w:rPr>
          <w:rFonts w:ascii="华文细黑" w:hAnsi="华文细黑" w:eastAsia="华文细黑" w:cs="华文细黑"/>
          <w:b/>
          <w:bCs/>
          <w:sz w:val="24"/>
          <w:szCs w:val="24"/>
        </w:rPr>
      </w:pPr>
      <w:r>
        <w:rPr>
          <w:rFonts w:hint="eastAsia" w:ascii="华文细黑" w:hAnsi="华文细黑" w:eastAsia="华文细黑" w:cs="华文细黑"/>
          <w:b/>
          <w:bCs/>
          <w:sz w:val="24"/>
          <w:szCs w:val="24"/>
        </w:rPr>
        <w:t>十二、联系方式：</w:t>
      </w:r>
    </w:p>
    <w:p>
      <w:pPr>
        <w:pStyle w:val="4"/>
        <w:tabs>
          <w:tab w:val="left" w:pos="0"/>
        </w:tabs>
        <w:wordWrap w:val="0"/>
        <w:spacing w:after="0" w:line="44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1. 地址：杭州市拱墅区半山东路1号</w:t>
      </w:r>
    </w:p>
    <w:p>
      <w:pPr>
        <w:pStyle w:val="4"/>
        <w:tabs>
          <w:tab w:val="left" w:pos="0"/>
        </w:tabs>
        <w:wordWrap w:val="0"/>
        <w:spacing w:after="0" w:line="44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2. 联系方式：</w:t>
      </w:r>
    </w:p>
    <w:p>
      <w:pPr>
        <w:pStyle w:val="4"/>
        <w:tabs>
          <w:tab w:val="left" w:pos="0"/>
        </w:tabs>
        <w:wordWrap w:val="0"/>
        <w:spacing w:after="0" w:line="44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 xml:space="preserve">  联系人：叶先生    联系电话：0571-88122528</w:t>
      </w:r>
    </w:p>
    <w:p>
      <w:pPr>
        <w:pStyle w:val="4"/>
        <w:tabs>
          <w:tab w:val="left" w:pos="0"/>
        </w:tabs>
        <w:wordWrap w:val="0"/>
        <w:spacing w:after="0" w:line="440" w:lineRule="exact"/>
        <w:ind w:left="0" w:leftChars="0"/>
        <w:rPr>
          <w:rFonts w:ascii="华文细黑" w:hAnsi="华文细黑" w:eastAsia="华文细黑" w:cs="华文细黑"/>
          <w:sz w:val="24"/>
          <w:szCs w:val="24"/>
        </w:rPr>
      </w:pPr>
    </w:p>
    <w:p>
      <w:pPr>
        <w:pStyle w:val="4"/>
        <w:tabs>
          <w:tab w:val="left" w:pos="0"/>
        </w:tabs>
        <w:wordWrap w:val="0"/>
        <w:spacing w:after="0" w:line="440" w:lineRule="exact"/>
        <w:ind w:left="0" w:leftChars="0"/>
        <w:rPr>
          <w:rFonts w:ascii="华文细黑" w:hAnsi="华文细黑" w:eastAsia="华文细黑" w:cs="华文细黑"/>
          <w:sz w:val="24"/>
          <w:szCs w:val="24"/>
        </w:rPr>
      </w:pPr>
    </w:p>
    <w:p>
      <w:pPr>
        <w:pStyle w:val="4"/>
        <w:tabs>
          <w:tab w:val="left" w:pos="0"/>
        </w:tabs>
        <w:wordWrap w:val="0"/>
        <w:spacing w:after="0" w:line="440" w:lineRule="exact"/>
        <w:ind w:left="0" w:leftChars="0"/>
        <w:rPr>
          <w:rFonts w:ascii="华文细黑" w:hAnsi="华文细黑" w:eastAsia="华文细黑" w:cs="华文细黑"/>
          <w:sz w:val="24"/>
          <w:szCs w:val="24"/>
        </w:rPr>
      </w:pPr>
    </w:p>
    <w:p>
      <w:pPr>
        <w:pStyle w:val="4"/>
        <w:tabs>
          <w:tab w:val="left" w:pos="0"/>
        </w:tabs>
        <w:wordWrap w:val="0"/>
        <w:spacing w:after="0" w:line="440" w:lineRule="exact"/>
        <w:ind w:left="0" w:leftChars="0"/>
        <w:rPr>
          <w:rFonts w:ascii="华文细黑" w:hAnsi="华文细黑" w:eastAsia="华文细黑" w:cs="华文细黑"/>
          <w:sz w:val="24"/>
          <w:szCs w:val="24"/>
        </w:rPr>
      </w:pPr>
    </w:p>
    <w:p>
      <w:pPr>
        <w:pStyle w:val="4"/>
        <w:tabs>
          <w:tab w:val="left" w:pos="0"/>
        </w:tabs>
        <w:wordWrap w:val="0"/>
        <w:spacing w:after="0" w:line="44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 xml:space="preserve">                                                     浙江省肿瘤医院</w:t>
      </w:r>
    </w:p>
    <w:p>
      <w:pPr>
        <w:pStyle w:val="4"/>
        <w:tabs>
          <w:tab w:val="left" w:pos="0"/>
        </w:tabs>
        <w:wordWrap w:val="0"/>
        <w:spacing w:after="0" w:line="44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 xml:space="preserve">                                                   2018年12月</w:t>
      </w:r>
      <w:r>
        <w:rPr>
          <w:rFonts w:hint="eastAsia" w:ascii="华文细黑" w:hAnsi="华文细黑" w:eastAsia="华文细黑" w:cs="华文细黑"/>
          <w:sz w:val="24"/>
          <w:szCs w:val="24"/>
          <w:lang w:val="en-US" w:eastAsia="zh-CN"/>
        </w:rPr>
        <w:t>19</w:t>
      </w:r>
      <w:bookmarkStart w:id="0" w:name="_GoBack"/>
      <w:bookmarkEnd w:id="0"/>
      <w:r>
        <w:rPr>
          <w:rFonts w:hint="eastAsia" w:ascii="华文细黑" w:hAnsi="华文细黑" w:eastAsia="华文细黑" w:cs="华文细黑"/>
          <w:sz w:val="24"/>
          <w:szCs w:val="24"/>
        </w:rPr>
        <w:t>日</w:t>
      </w:r>
    </w:p>
    <w:p>
      <w:pPr>
        <w:pStyle w:val="4"/>
        <w:tabs>
          <w:tab w:val="left" w:pos="0"/>
        </w:tabs>
        <w:wordWrap w:val="0"/>
        <w:spacing w:after="0" w:line="440" w:lineRule="exact"/>
        <w:ind w:left="0" w:leftChars="0"/>
        <w:rPr>
          <w:rFonts w:ascii="华文细黑" w:hAnsi="华文细黑" w:eastAsia="华文细黑" w:cs="华文细黑"/>
          <w:sz w:val="24"/>
          <w:szCs w:val="24"/>
        </w:rPr>
      </w:pPr>
    </w:p>
    <w:p>
      <w:pPr>
        <w:pStyle w:val="4"/>
        <w:tabs>
          <w:tab w:val="left" w:pos="0"/>
        </w:tabs>
        <w:wordWrap w:val="0"/>
        <w:spacing w:after="0" w:line="440" w:lineRule="exact"/>
        <w:ind w:left="0" w:leftChars="0"/>
        <w:rPr>
          <w:rFonts w:ascii="华文细黑" w:hAnsi="华文细黑" w:eastAsia="华文细黑" w:cs="华文细黑"/>
          <w:sz w:val="24"/>
          <w:szCs w:val="24"/>
        </w:rPr>
      </w:pPr>
    </w:p>
    <w:p>
      <w:pPr>
        <w:pStyle w:val="4"/>
        <w:tabs>
          <w:tab w:val="left" w:pos="0"/>
        </w:tabs>
        <w:wordWrap w:val="0"/>
        <w:spacing w:after="0" w:line="440" w:lineRule="exact"/>
        <w:ind w:left="0" w:leftChars="0"/>
        <w:rPr>
          <w:rFonts w:ascii="华文细黑" w:hAnsi="华文细黑" w:eastAsia="华文细黑" w:cs="华文细黑"/>
          <w:sz w:val="24"/>
          <w:szCs w:val="24"/>
        </w:rPr>
      </w:pPr>
    </w:p>
    <w:p>
      <w:pPr>
        <w:pStyle w:val="4"/>
        <w:tabs>
          <w:tab w:val="left" w:pos="0"/>
        </w:tabs>
        <w:wordWrap w:val="0"/>
        <w:spacing w:after="0" w:line="440" w:lineRule="exact"/>
        <w:ind w:left="0" w:leftChars="0"/>
        <w:rPr>
          <w:rFonts w:ascii="华文细黑" w:hAnsi="华文细黑" w:eastAsia="华文细黑" w:cs="华文细黑"/>
          <w:sz w:val="24"/>
          <w:szCs w:val="24"/>
        </w:rPr>
      </w:pPr>
    </w:p>
    <w:p>
      <w:pPr>
        <w:pStyle w:val="4"/>
        <w:tabs>
          <w:tab w:val="left" w:pos="0"/>
        </w:tabs>
        <w:wordWrap w:val="0"/>
        <w:spacing w:after="0" w:line="440" w:lineRule="exact"/>
        <w:ind w:left="0" w:leftChars="0"/>
        <w:rPr>
          <w:rFonts w:ascii="华文细黑" w:hAnsi="华文细黑" w:eastAsia="华文细黑" w:cs="华文细黑"/>
          <w:sz w:val="24"/>
          <w:szCs w:val="24"/>
        </w:rPr>
      </w:pPr>
    </w:p>
    <w:p>
      <w:pPr>
        <w:pStyle w:val="4"/>
        <w:tabs>
          <w:tab w:val="left" w:pos="0"/>
        </w:tabs>
        <w:wordWrap w:val="0"/>
        <w:spacing w:after="0" w:line="440" w:lineRule="exact"/>
        <w:ind w:left="0" w:leftChars="0"/>
        <w:rPr>
          <w:rFonts w:ascii="华文细黑" w:hAnsi="华文细黑" w:eastAsia="华文细黑" w:cs="华文细黑"/>
          <w:sz w:val="24"/>
          <w:szCs w:val="24"/>
        </w:rPr>
      </w:pPr>
    </w:p>
    <w:p>
      <w:pPr>
        <w:pStyle w:val="4"/>
        <w:tabs>
          <w:tab w:val="left" w:pos="0"/>
        </w:tabs>
        <w:wordWrap w:val="0"/>
        <w:spacing w:after="0" w:line="440" w:lineRule="exact"/>
        <w:ind w:left="0" w:leftChars="0"/>
        <w:rPr>
          <w:rFonts w:ascii="华文细黑" w:hAnsi="华文细黑" w:eastAsia="华文细黑" w:cs="华文细黑"/>
          <w:sz w:val="24"/>
          <w:szCs w:val="24"/>
        </w:rPr>
      </w:pPr>
    </w:p>
    <w:p>
      <w:pPr>
        <w:pStyle w:val="4"/>
        <w:tabs>
          <w:tab w:val="left" w:pos="0"/>
        </w:tabs>
        <w:wordWrap w:val="0"/>
        <w:spacing w:after="0" w:line="440" w:lineRule="exact"/>
        <w:ind w:left="0" w:leftChars="0"/>
        <w:rPr>
          <w:rFonts w:ascii="华文细黑" w:hAnsi="华文细黑" w:eastAsia="华文细黑" w:cs="华文细黑"/>
          <w:sz w:val="24"/>
          <w:szCs w:val="24"/>
        </w:rPr>
      </w:pPr>
    </w:p>
    <w:p>
      <w:pPr>
        <w:spacing w:line="520" w:lineRule="exact"/>
        <w:rPr>
          <w:rFonts w:ascii="华文中宋" w:hAnsi="华文中宋" w:eastAsia="华文中宋" w:cs="华文中宋"/>
          <w:sz w:val="24"/>
          <w:szCs w:val="24"/>
        </w:rPr>
      </w:pPr>
      <w:r>
        <w:rPr>
          <w:rFonts w:hint="eastAsia" w:ascii="华文中宋" w:hAnsi="华文中宋" w:eastAsia="华文中宋" w:cs="华文中宋"/>
          <w:b/>
          <w:sz w:val="24"/>
          <w:szCs w:val="24"/>
        </w:rPr>
        <w:t>附件1：</w:t>
      </w:r>
    </w:p>
    <w:p>
      <w:pPr>
        <w:spacing w:line="520" w:lineRule="exact"/>
        <w:jc w:val="center"/>
        <w:rPr>
          <w:rFonts w:ascii="华文中宋" w:hAnsi="华文中宋" w:eastAsia="华文中宋" w:cs="华文中宋"/>
          <w:b/>
          <w:bCs/>
          <w:sz w:val="28"/>
          <w:szCs w:val="28"/>
        </w:rPr>
      </w:pPr>
      <w:r>
        <w:rPr>
          <w:rFonts w:hint="eastAsia" w:ascii="华文中宋" w:hAnsi="华文中宋" w:eastAsia="华文中宋" w:cs="华文中宋"/>
          <w:b/>
          <w:bCs/>
          <w:sz w:val="28"/>
          <w:szCs w:val="28"/>
        </w:rPr>
        <w:t>本次议标评标办法</w:t>
      </w:r>
    </w:p>
    <w:p>
      <w:pPr>
        <w:spacing w:line="520" w:lineRule="exact"/>
        <w:rPr>
          <w:rFonts w:ascii="华文中宋" w:hAnsi="华文中宋" w:eastAsia="华文中宋" w:cs="华文中宋"/>
          <w:b/>
          <w:bCs/>
          <w:szCs w:val="21"/>
        </w:rPr>
      </w:pPr>
      <w:r>
        <w:rPr>
          <w:rFonts w:hint="eastAsia" w:ascii="华文中宋" w:hAnsi="华文中宋" w:eastAsia="华文中宋" w:cs="华文中宋"/>
          <w:b/>
          <w:bCs/>
          <w:szCs w:val="21"/>
        </w:rPr>
        <w:t>1、评标纪律</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1.1．评标是招标工作的重要环节，评标工作在评标委员会内独立进行。评标委员会成员由采购人代表及专家组成。评标委员会将按照评标原则的要求，公正、平等地对待所有投标人。</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1.2．所有评标人员应忠于职守、廉洁自律、秉公办事、不徇私情。</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1.3．评标人员不得接受或参加投标人或与投标有关的单位、组织或个人的有碍公务的宴请、娱乐活动等，不得以任何形式弄虚作假。</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1.4．评标期间，评标人员不得随意出入评标地点、与外界通讯、会客等。</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1.5．在投标文件的审查、澄清、评价和比较以及授予合同的过程中，投标人对采购人、采购人人员及评标委员会成员施加影响的任何行为，都将导致被取消投标资格。</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1.6．为保证评标的公正性，在评标过程中，评标委员会成员不得与投标人或与中标结果有利害关系的人进行私下接触。在评标工作结束后，凡与评标情况有接触的任何人，不得将评标情况扩散出评标委员会以外。</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1.7．评标过程中，当发表结论性意见时，先听取专家评委意见，用户评委随后发表意见。</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1.8．评标结束后，各评标人员应将全部资料整理上交采购人，严禁将评标过程中的任何资料带出评标现场向投标人或其他单位提供。</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1.9．在定标结果公布前应对评标委员会成员名单予以保密。</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1.10．评标委员会对各投标人的商业秘密予以保密。</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1.11．评标委员会成员应当客观、公正地履行职责，遵守职业道德，对所提出的评审意见承担个人责任。</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1.12．在整个评标过程中，投标人企图影响采购结果的任何活动，可能导致其投标失败。如有违法行为，将依法追究其法律责任。</w:t>
      </w:r>
    </w:p>
    <w:p>
      <w:pPr>
        <w:spacing w:line="520" w:lineRule="exact"/>
        <w:rPr>
          <w:rFonts w:ascii="华文中宋" w:hAnsi="华文中宋" w:eastAsia="华文中宋" w:cs="华文中宋"/>
          <w:b/>
          <w:bCs/>
          <w:szCs w:val="21"/>
        </w:rPr>
      </w:pPr>
      <w:r>
        <w:rPr>
          <w:rFonts w:hint="eastAsia" w:ascii="华文中宋" w:hAnsi="华文中宋" w:eastAsia="华文中宋" w:cs="华文中宋"/>
          <w:b/>
          <w:bCs/>
          <w:szCs w:val="21"/>
        </w:rPr>
        <w:t>2、关于评标</w:t>
      </w:r>
    </w:p>
    <w:p>
      <w:pPr>
        <w:spacing w:line="520" w:lineRule="exact"/>
        <w:rPr>
          <w:rFonts w:ascii="华文中宋" w:hAnsi="华文中宋" w:eastAsia="华文中宋" w:cs="华文中宋"/>
          <w:b/>
          <w:bCs/>
          <w:szCs w:val="21"/>
        </w:rPr>
      </w:pPr>
      <w:r>
        <w:rPr>
          <w:rFonts w:hint="eastAsia" w:ascii="华文中宋" w:hAnsi="华文中宋" w:eastAsia="华文中宋" w:cs="华文中宋"/>
          <w:b/>
          <w:bCs/>
          <w:szCs w:val="21"/>
        </w:rPr>
        <w:t>2.1商务分50分：</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 xml:space="preserve">（1）取所有有效投标人中满足招标文件要求且投标价格最低的投标报价为评标基准价。 </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（2）根据投标人的评标价与评标基准价对比，其他投标人的投标报价得分=(评标基准价／投标报价)×价格权值×100。</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以上报价评分不足一个百分点时，保留小数2位。</w:t>
      </w:r>
    </w:p>
    <w:p>
      <w:pPr>
        <w:spacing w:line="520" w:lineRule="exact"/>
        <w:rPr>
          <w:rFonts w:ascii="华文中宋" w:hAnsi="华文中宋" w:eastAsia="华文中宋" w:cs="华文中宋"/>
          <w:b/>
          <w:bCs/>
          <w:szCs w:val="21"/>
        </w:rPr>
      </w:pPr>
      <w:r>
        <w:rPr>
          <w:rFonts w:hint="eastAsia" w:ascii="华文中宋" w:hAnsi="华文中宋" w:eastAsia="华文中宋" w:cs="华文中宋"/>
          <w:b/>
          <w:bCs/>
          <w:szCs w:val="21"/>
        </w:rPr>
        <w:t>2.2技术资信分50分</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 xml:space="preserve">    各评委成员按下列评分项目进行评判，每人一张评分计算票，并记名。投标文件各项评分内容由评标委员会成员各自评分，如某张票的一个因素项目超过规定的范围，则该张票无效，无效票不影响评标过程。各评标委员会成员的算术平均值为各投标人技术资信分得分（小数点后按四舍五入保留2位）。各投标人的得分允许一致。        </w:t>
      </w:r>
    </w:p>
    <w:p>
      <w:pPr>
        <w:numPr>
          <w:ilvl w:val="0"/>
          <w:numId w:val="1"/>
        </w:numPr>
        <w:spacing w:line="520" w:lineRule="exact"/>
        <w:rPr>
          <w:rFonts w:ascii="华文中宋" w:hAnsi="华文中宋" w:eastAsia="华文中宋" w:cs="华文中宋"/>
          <w:b/>
          <w:bCs/>
          <w:szCs w:val="21"/>
        </w:rPr>
      </w:pPr>
      <w:r>
        <w:rPr>
          <w:rFonts w:hint="eastAsia" w:ascii="华文中宋" w:hAnsi="华文中宋" w:eastAsia="华文中宋" w:cs="华文中宋"/>
          <w:b/>
          <w:bCs/>
          <w:szCs w:val="21"/>
        </w:rPr>
        <w:t>资信业绩评分标准</w:t>
      </w:r>
    </w:p>
    <w:p>
      <w:pPr>
        <w:spacing w:line="520" w:lineRule="exact"/>
        <w:ind w:firstLine="420"/>
        <w:rPr>
          <w:rFonts w:ascii="华文中宋" w:hAnsi="华文中宋" w:eastAsia="华文中宋" w:cs="华文中宋"/>
          <w:szCs w:val="21"/>
        </w:rPr>
      </w:pPr>
      <w:r>
        <w:rPr>
          <w:rFonts w:hint="eastAsia" w:ascii="华文中宋" w:hAnsi="华文中宋" w:eastAsia="华文中宋" w:cs="华文中宋"/>
          <w:szCs w:val="21"/>
        </w:rPr>
        <w:t>制造厂品牌（0-6分）。</w:t>
      </w:r>
    </w:p>
    <w:p>
      <w:pPr>
        <w:spacing w:line="520" w:lineRule="exact"/>
        <w:ind w:firstLine="420"/>
        <w:rPr>
          <w:rFonts w:ascii="华文中宋" w:hAnsi="华文中宋" w:eastAsia="华文中宋" w:cs="华文中宋"/>
          <w:szCs w:val="21"/>
        </w:rPr>
      </w:pPr>
      <w:r>
        <w:rPr>
          <w:rFonts w:hint="eastAsia" w:ascii="华文中宋" w:hAnsi="华文中宋" w:eastAsia="华文中宋" w:cs="华文中宋"/>
          <w:szCs w:val="21"/>
        </w:rPr>
        <w:t>流量计与减压阀业绩（0-10分）。</w:t>
      </w:r>
    </w:p>
    <w:p>
      <w:pPr>
        <w:spacing w:line="520" w:lineRule="exact"/>
        <w:rPr>
          <w:rFonts w:ascii="华文中宋" w:hAnsi="华文中宋" w:eastAsia="华文中宋" w:cs="华文中宋"/>
          <w:b/>
          <w:bCs/>
          <w:szCs w:val="21"/>
        </w:rPr>
      </w:pPr>
      <w:r>
        <w:rPr>
          <w:rFonts w:hint="eastAsia" w:ascii="华文中宋" w:hAnsi="华文中宋" w:eastAsia="华文中宋" w:cs="华文中宋"/>
          <w:b/>
          <w:bCs/>
          <w:szCs w:val="21"/>
        </w:rPr>
        <w:t>2、技术部分评分标准：</w:t>
      </w:r>
    </w:p>
    <w:p>
      <w:pPr>
        <w:spacing w:line="520" w:lineRule="exact"/>
        <w:ind w:firstLine="420"/>
        <w:rPr>
          <w:rFonts w:ascii="华文中宋" w:hAnsi="华文中宋" w:eastAsia="华文中宋" w:cs="华文中宋"/>
          <w:szCs w:val="21"/>
        </w:rPr>
      </w:pPr>
      <w:r>
        <w:rPr>
          <w:rFonts w:hint="eastAsia" w:ascii="华文中宋" w:hAnsi="华文中宋" w:eastAsia="华文中宋" w:cs="华文中宋"/>
          <w:szCs w:val="21"/>
        </w:rPr>
        <w:t>主要部件材质（0-10分）。</w:t>
      </w:r>
    </w:p>
    <w:p>
      <w:pPr>
        <w:spacing w:line="520" w:lineRule="exact"/>
        <w:ind w:firstLine="420"/>
        <w:rPr>
          <w:rFonts w:ascii="华文中宋" w:hAnsi="华文中宋" w:eastAsia="华文中宋" w:cs="华文中宋"/>
          <w:szCs w:val="21"/>
        </w:rPr>
      </w:pPr>
      <w:r>
        <w:rPr>
          <w:rFonts w:hint="eastAsia" w:ascii="华文中宋" w:hAnsi="华文中宋" w:eastAsia="华文中宋" w:cs="华文中宋"/>
          <w:szCs w:val="21"/>
        </w:rPr>
        <w:t>流量计与减压阀对招标文件的性能响应程度（0-12分）</w:t>
      </w:r>
    </w:p>
    <w:p>
      <w:pPr>
        <w:spacing w:line="520" w:lineRule="exact"/>
        <w:ind w:firstLine="420"/>
        <w:rPr>
          <w:rFonts w:ascii="华文中宋" w:hAnsi="华文中宋" w:eastAsia="华文中宋" w:cs="华文中宋"/>
          <w:szCs w:val="21"/>
        </w:rPr>
      </w:pPr>
      <w:r>
        <w:rPr>
          <w:rFonts w:hint="eastAsia" w:ascii="华文中宋" w:hAnsi="华文中宋" w:eastAsia="华文中宋" w:cs="华文中宋"/>
          <w:bCs/>
          <w:spacing w:val="-6"/>
          <w:szCs w:val="21"/>
        </w:rPr>
        <w:t>质保期、售后服务承诺</w:t>
      </w:r>
      <w:r>
        <w:rPr>
          <w:rFonts w:hint="eastAsia" w:ascii="华文中宋" w:hAnsi="华文中宋" w:eastAsia="华文中宋" w:cs="华文中宋"/>
          <w:szCs w:val="21"/>
        </w:rPr>
        <w:t>（0-12分）</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 xml:space="preserve">    投标人评标综合得分=商务分+技术资信分</w:t>
      </w:r>
    </w:p>
    <w:p>
      <w:pPr>
        <w:spacing w:line="520" w:lineRule="exact"/>
        <w:rPr>
          <w:rFonts w:ascii="华文中宋" w:hAnsi="华文中宋" w:eastAsia="华文中宋" w:cs="华文中宋"/>
          <w:b/>
          <w:bCs/>
          <w:szCs w:val="21"/>
        </w:rPr>
      </w:pPr>
      <w:r>
        <w:rPr>
          <w:rFonts w:hint="eastAsia" w:ascii="华文中宋" w:hAnsi="华文中宋" w:eastAsia="华文中宋" w:cs="华文中宋"/>
          <w:b/>
          <w:bCs/>
          <w:szCs w:val="21"/>
        </w:rPr>
        <w:t>3、其他</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 xml:space="preserve">    1，2 项（企业技术标）由各评标专家分别打分，各投标单位的最终评分值取各专家评分的算术平均值。</w:t>
      </w:r>
    </w:p>
    <w:p>
      <w:pPr>
        <w:spacing w:line="520" w:lineRule="exact"/>
        <w:rPr>
          <w:rFonts w:ascii="华文中宋" w:hAnsi="华文中宋" w:eastAsia="华文中宋" w:cs="华文中宋"/>
          <w:szCs w:val="21"/>
        </w:rPr>
      </w:pPr>
      <w:r>
        <w:rPr>
          <w:rFonts w:hint="eastAsia" w:ascii="华文中宋" w:hAnsi="华文中宋" w:eastAsia="华文中宋" w:cs="华文中宋"/>
          <w:b/>
          <w:bCs/>
          <w:szCs w:val="21"/>
        </w:rPr>
        <w:t>4、</w:t>
      </w:r>
      <w:r>
        <w:rPr>
          <w:rFonts w:hint="eastAsia" w:ascii="华文中宋" w:hAnsi="华文中宋" w:eastAsia="华文中宋" w:cs="华文中宋"/>
          <w:szCs w:val="21"/>
        </w:rPr>
        <w:t>技术标与商务标得分数相加后为各投标单位的总得分。总得分最高和次高的投标单位为第一、第二中标候选单位。总得分相同则按商务报价得分的高低顺序排名次，高的为第一中标候选人。</w:t>
      </w:r>
    </w:p>
    <w:p>
      <w:pPr>
        <w:spacing w:line="520" w:lineRule="exact"/>
        <w:rPr>
          <w:rFonts w:ascii="华文中宋" w:hAnsi="华文中宋" w:eastAsia="华文中宋" w:cs="华文中宋"/>
          <w:szCs w:val="21"/>
        </w:rPr>
      </w:pPr>
      <w:r>
        <w:rPr>
          <w:rFonts w:hint="eastAsia" w:ascii="华文中宋" w:hAnsi="华文中宋" w:eastAsia="华文中宋" w:cs="华文中宋"/>
          <w:b/>
          <w:bCs/>
          <w:szCs w:val="21"/>
        </w:rPr>
        <w:t>5、</w:t>
      </w:r>
      <w:r>
        <w:rPr>
          <w:rFonts w:hint="eastAsia" w:ascii="华文中宋" w:hAnsi="华文中宋" w:eastAsia="华文中宋" w:cs="华文中宋"/>
          <w:szCs w:val="21"/>
        </w:rPr>
        <w:t>本次采购中标单位的供货定价：中标单位的综合单价为本次采购的中标单价，总价按每批供货量乘中标综合单价计算。</w:t>
      </w:r>
    </w:p>
    <w:p>
      <w:pPr>
        <w:spacing w:line="520" w:lineRule="exact"/>
        <w:rPr>
          <w:rFonts w:ascii="华文中宋" w:hAnsi="华文中宋" w:eastAsia="华文中宋" w:cs="华文中宋"/>
          <w:szCs w:val="21"/>
        </w:rPr>
        <w:sectPr>
          <w:headerReference r:id="rId8" w:type="first"/>
          <w:footerReference r:id="rId10" w:type="first"/>
          <w:headerReference r:id="rId7" w:type="default"/>
          <w:footerReference r:id="rId9" w:type="default"/>
          <w:pgSz w:w="11906" w:h="16838"/>
          <w:pgMar w:top="1440" w:right="1800" w:bottom="1440" w:left="1800" w:header="851" w:footer="992" w:gutter="0"/>
          <w:cols w:space="720" w:num="1"/>
          <w:titlePg/>
          <w:docGrid w:type="lines" w:linePitch="312" w:charSpace="0"/>
        </w:sectPr>
      </w:pPr>
    </w:p>
    <w:tbl>
      <w:tblPr>
        <w:tblStyle w:val="11"/>
        <w:tblW w:w="103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2"/>
        <w:gridCol w:w="1089"/>
        <w:gridCol w:w="7235"/>
        <w:gridCol w:w="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300" w:type="dxa"/>
            <w:gridSpan w:val="4"/>
            <w:vAlign w:val="center"/>
          </w:tcPr>
          <w:p>
            <w:pPr>
              <w:jc w:val="center"/>
              <w:rPr>
                <w:rFonts w:ascii="华文中宋" w:hAnsi="华文中宋" w:eastAsia="华文中宋" w:cs="华文中宋"/>
                <w:b/>
                <w:szCs w:val="21"/>
              </w:rPr>
            </w:pPr>
            <w:r>
              <w:rPr>
                <w:rFonts w:hint="eastAsia" w:ascii="华文中宋" w:hAnsi="华文中宋" w:eastAsia="华文中宋" w:cs="华文中宋"/>
                <w:b/>
                <w:bCs/>
                <w:szCs w:val="21"/>
              </w:rPr>
              <w:t>技术资信分50分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282" w:type="dxa"/>
            <w:vAlign w:val="center"/>
          </w:tcPr>
          <w:p>
            <w:pPr>
              <w:spacing w:line="288" w:lineRule="auto"/>
              <w:textAlignment w:val="baseline"/>
              <w:rPr>
                <w:rFonts w:ascii="华文中宋" w:hAnsi="华文中宋" w:eastAsia="华文中宋" w:cs="华文中宋"/>
                <w:b/>
                <w:szCs w:val="21"/>
              </w:rPr>
            </w:pPr>
            <w:r>
              <w:rPr>
                <w:rFonts w:hint="eastAsia" w:ascii="华文中宋" w:hAnsi="华文中宋" w:eastAsia="华文中宋" w:cs="华文中宋"/>
                <w:b/>
                <w:szCs w:val="21"/>
              </w:rPr>
              <w:t>评分项目</w:t>
            </w:r>
          </w:p>
        </w:tc>
        <w:tc>
          <w:tcPr>
            <w:tcW w:w="1089" w:type="dxa"/>
            <w:vAlign w:val="center"/>
          </w:tcPr>
          <w:p>
            <w:pPr>
              <w:spacing w:line="288" w:lineRule="auto"/>
              <w:jc w:val="center"/>
              <w:textAlignment w:val="baseline"/>
              <w:rPr>
                <w:rFonts w:ascii="华文中宋" w:hAnsi="华文中宋" w:eastAsia="华文中宋" w:cs="华文中宋"/>
                <w:b/>
                <w:szCs w:val="21"/>
              </w:rPr>
            </w:pPr>
            <w:r>
              <w:rPr>
                <w:rFonts w:hint="eastAsia" w:ascii="华文中宋" w:hAnsi="华文中宋" w:eastAsia="华文中宋" w:cs="华文中宋"/>
                <w:b/>
                <w:szCs w:val="21"/>
              </w:rPr>
              <w:t>分值</w:t>
            </w:r>
          </w:p>
        </w:tc>
        <w:tc>
          <w:tcPr>
            <w:tcW w:w="7235" w:type="dxa"/>
            <w:vAlign w:val="center"/>
          </w:tcPr>
          <w:p>
            <w:pPr>
              <w:spacing w:line="288" w:lineRule="auto"/>
              <w:ind w:firstLine="560"/>
              <w:jc w:val="center"/>
              <w:textAlignment w:val="baseline"/>
              <w:rPr>
                <w:rFonts w:ascii="华文中宋" w:hAnsi="华文中宋" w:eastAsia="华文中宋" w:cs="华文中宋"/>
                <w:b/>
                <w:szCs w:val="21"/>
              </w:rPr>
            </w:pPr>
            <w:r>
              <w:rPr>
                <w:rFonts w:hint="eastAsia" w:ascii="华文中宋" w:hAnsi="华文中宋" w:eastAsia="华文中宋" w:cs="华文中宋"/>
                <w:b/>
                <w:szCs w:val="21"/>
              </w:rPr>
              <w:t>评标要点及说明</w:t>
            </w:r>
          </w:p>
        </w:tc>
        <w:tc>
          <w:tcPr>
            <w:tcW w:w="694" w:type="dxa"/>
            <w:vAlign w:val="center"/>
          </w:tcPr>
          <w:p>
            <w:pPr>
              <w:spacing w:line="288" w:lineRule="auto"/>
              <w:textAlignment w:val="baseline"/>
              <w:rPr>
                <w:rFonts w:ascii="华文中宋" w:hAnsi="华文中宋" w:eastAsia="华文中宋" w:cs="华文中宋"/>
                <w:b/>
                <w:szCs w:val="21"/>
              </w:rPr>
            </w:pPr>
            <w:r>
              <w:rPr>
                <w:rFonts w:hint="eastAsia" w:ascii="华文中宋" w:hAnsi="华文中宋" w:eastAsia="华文中宋" w:cs="华文中宋"/>
                <w:b/>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3" w:hRule="atLeast"/>
          <w:jc w:val="center"/>
        </w:trPr>
        <w:tc>
          <w:tcPr>
            <w:tcW w:w="1282" w:type="dxa"/>
            <w:vAlign w:val="center"/>
          </w:tcPr>
          <w:p>
            <w:pPr>
              <w:spacing w:line="288" w:lineRule="auto"/>
              <w:jc w:val="center"/>
              <w:rPr>
                <w:rFonts w:ascii="华文中宋" w:hAnsi="华文中宋" w:eastAsia="华文中宋" w:cs="华文中宋"/>
                <w:szCs w:val="21"/>
              </w:rPr>
            </w:pPr>
            <w:r>
              <w:rPr>
                <w:rFonts w:hint="eastAsia" w:ascii="华文中宋" w:hAnsi="华文中宋" w:eastAsia="华文中宋" w:cs="华文中宋"/>
                <w:szCs w:val="21"/>
              </w:rPr>
              <w:t>制造厂品牌（6分）</w:t>
            </w:r>
          </w:p>
        </w:tc>
        <w:tc>
          <w:tcPr>
            <w:tcW w:w="1089" w:type="dxa"/>
            <w:vAlign w:val="center"/>
          </w:tcPr>
          <w:p>
            <w:pPr>
              <w:spacing w:line="288" w:lineRule="auto"/>
              <w:jc w:val="center"/>
              <w:rPr>
                <w:rFonts w:ascii="华文中宋" w:hAnsi="华文中宋" w:eastAsia="华文中宋" w:cs="华文中宋"/>
                <w:szCs w:val="21"/>
              </w:rPr>
            </w:pPr>
            <w:r>
              <w:rPr>
                <w:rFonts w:hint="eastAsia" w:ascii="华文中宋" w:hAnsi="华文中宋" w:eastAsia="华文中宋" w:cs="华文中宋"/>
                <w:szCs w:val="21"/>
              </w:rPr>
              <w:t>6</w:t>
            </w:r>
          </w:p>
        </w:tc>
        <w:tc>
          <w:tcPr>
            <w:tcW w:w="7235" w:type="dxa"/>
            <w:vAlign w:val="center"/>
          </w:tcPr>
          <w:p>
            <w:pPr>
              <w:spacing w:line="288" w:lineRule="auto"/>
              <w:rPr>
                <w:rFonts w:ascii="华文中宋" w:hAnsi="华文中宋" w:eastAsia="华文中宋" w:cs="华文中宋"/>
                <w:szCs w:val="21"/>
              </w:rPr>
            </w:pPr>
            <w:r>
              <w:rPr>
                <w:rFonts w:hint="eastAsia" w:ascii="华文中宋" w:hAnsi="华文中宋" w:eastAsia="华文中宋" w:cs="华文中宋"/>
                <w:szCs w:val="21"/>
              </w:rPr>
              <w:t>1、国际、国内知名品牌，根据品牌的知名度、美誉度排序，知名得4-6分，良好得2-3分，一般得0-1分。</w:t>
            </w:r>
          </w:p>
        </w:tc>
        <w:tc>
          <w:tcPr>
            <w:tcW w:w="694" w:type="dxa"/>
            <w:vAlign w:val="center"/>
          </w:tcPr>
          <w:p>
            <w:pPr>
              <w:spacing w:line="288" w:lineRule="auto"/>
              <w:rPr>
                <w:rFonts w:ascii="华文中宋" w:hAnsi="华文中宋" w:eastAsia="华文中宋" w:cs="华文中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3" w:hRule="atLeast"/>
          <w:jc w:val="center"/>
        </w:trPr>
        <w:tc>
          <w:tcPr>
            <w:tcW w:w="1282" w:type="dxa"/>
            <w:vAlign w:val="center"/>
          </w:tcPr>
          <w:p>
            <w:pPr>
              <w:spacing w:line="288" w:lineRule="auto"/>
              <w:jc w:val="center"/>
              <w:rPr>
                <w:rFonts w:ascii="华文中宋" w:hAnsi="华文中宋" w:eastAsia="华文中宋" w:cs="华文中宋"/>
                <w:szCs w:val="21"/>
              </w:rPr>
            </w:pPr>
            <w:r>
              <w:rPr>
                <w:rFonts w:hint="eastAsia" w:ascii="华文中宋" w:hAnsi="华文中宋" w:eastAsia="华文中宋" w:cs="华文中宋"/>
                <w:szCs w:val="21"/>
              </w:rPr>
              <w:t>流量计与减压阀业绩（10分）</w:t>
            </w:r>
          </w:p>
        </w:tc>
        <w:tc>
          <w:tcPr>
            <w:tcW w:w="1089" w:type="dxa"/>
            <w:vAlign w:val="center"/>
          </w:tcPr>
          <w:p>
            <w:pPr>
              <w:spacing w:line="288" w:lineRule="auto"/>
              <w:jc w:val="center"/>
              <w:rPr>
                <w:rFonts w:ascii="华文中宋" w:hAnsi="华文中宋" w:eastAsia="华文中宋" w:cs="华文中宋"/>
                <w:szCs w:val="21"/>
              </w:rPr>
            </w:pPr>
            <w:r>
              <w:rPr>
                <w:rFonts w:hint="eastAsia" w:ascii="华文中宋" w:hAnsi="华文中宋" w:eastAsia="华文中宋" w:cs="华文中宋"/>
                <w:szCs w:val="21"/>
              </w:rPr>
              <w:t>10</w:t>
            </w:r>
          </w:p>
        </w:tc>
        <w:tc>
          <w:tcPr>
            <w:tcW w:w="7235" w:type="dxa"/>
            <w:vAlign w:val="center"/>
          </w:tcPr>
          <w:p>
            <w:pPr>
              <w:spacing w:line="288" w:lineRule="auto"/>
              <w:rPr>
                <w:rFonts w:ascii="华文中宋" w:hAnsi="华文中宋" w:eastAsia="华文中宋" w:cs="华文中宋"/>
                <w:szCs w:val="21"/>
              </w:rPr>
            </w:pPr>
            <w:r>
              <w:rPr>
                <w:rFonts w:hint="eastAsia" w:ascii="华文中宋" w:hAnsi="华文中宋" w:eastAsia="华文中宋" w:cs="华文中宋"/>
                <w:szCs w:val="21"/>
              </w:rPr>
              <w:t>自2015年1月1日至今，在浙江省内出售类似规格、材质流量计与减压阀，用户运行评价良好，无质量问题的，每个项目得2分，最高得10分。投标时须随标书提供供货合同和与之相对应的用户运行良好、无质量问题的评价等证明文件复印件加盖投标人公章，否则不得分。</w:t>
            </w:r>
          </w:p>
        </w:tc>
        <w:tc>
          <w:tcPr>
            <w:tcW w:w="694" w:type="dxa"/>
            <w:vAlign w:val="center"/>
          </w:tcPr>
          <w:p>
            <w:pPr>
              <w:spacing w:line="288" w:lineRule="auto"/>
              <w:rPr>
                <w:rFonts w:ascii="华文中宋" w:hAnsi="华文中宋" w:eastAsia="华文中宋" w:cs="华文中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3" w:hRule="atLeast"/>
          <w:jc w:val="center"/>
        </w:trPr>
        <w:tc>
          <w:tcPr>
            <w:tcW w:w="1282" w:type="dxa"/>
            <w:vAlign w:val="center"/>
          </w:tcPr>
          <w:p>
            <w:pPr>
              <w:spacing w:line="288" w:lineRule="auto"/>
              <w:jc w:val="center"/>
              <w:rPr>
                <w:rFonts w:ascii="华文中宋" w:hAnsi="华文中宋" w:eastAsia="华文中宋" w:cs="华文中宋"/>
                <w:szCs w:val="21"/>
              </w:rPr>
            </w:pPr>
            <w:r>
              <w:rPr>
                <w:rFonts w:hint="eastAsia" w:ascii="华文中宋" w:hAnsi="华文中宋" w:eastAsia="华文中宋" w:cs="华文中宋"/>
                <w:szCs w:val="21"/>
              </w:rPr>
              <w:t>主要部件材质</w:t>
            </w:r>
          </w:p>
          <w:p>
            <w:pPr>
              <w:spacing w:line="288" w:lineRule="auto"/>
              <w:jc w:val="center"/>
              <w:rPr>
                <w:rFonts w:ascii="华文中宋" w:hAnsi="华文中宋" w:eastAsia="华文中宋" w:cs="华文中宋"/>
                <w:szCs w:val="21"/>
              </w:rPr>
            </w:pPr>
            <w:r>
              <w:rPr>
                <w:rFonts w:hint="eastAsia" w:ascii="华文中宋" w:hAnsi="华文中宋" w:eastAsia="华文中宋" w:cs="华文中宋"/>
                <w:szCs w:val="21"/>
              </w:rPr>
              <w:t>（10分）</w:t>
            </w:r>
          </w:p>
        </w:tc>
        <w:tc>
          <w:tcPr>
            <w:tcW w:w="1089" w:type="dxa"/>
            <w:vAlign w:val="center"/>
          </w:tcPr>
          <w:p>
            <w:pPr>
              <w:spacing w:line="288" w:lineRule="auto"/>
              <w:jc w:val="center"/>
              <w:rPr>
                <w:rFonts w:ascii="华文中宋" w:hAnsi="华文中宋" w:eastAsia="华文中宋" w:cs="华文中宋"/>
                <w:szCs w:val="21"/>
              </w:rPr>
            </w:pPr>
            <w:r>
              <w:rPr>
                <w:rFonts w:hint="eastAsia" w:ascii="华文中宋" w:hAnsi="华文中宋" w:eastAsia="华文中宋" w:cs="华文中宋"/>
                <w:szCs w:val="21"/>
              </w:rPr>
              <w:t>10</w:t>
            </w:r>
          </w:p>
        </w:tc>
        <w:tc>
          <w:tcPr>
            <w:tcW w:w="7235" w:type="dxa"/>
            <w:vAlign w:val="center"/>
          </w:tcPr>
          <w:p>
            <w:pPr>
              <w:spacing w:line="288" w:lineRule="auto"/>
              <w:rPr>
                <w:rFonts w:ascii="华文中宋" w:hAnsi="华文中宋" w:eastAsia="华文中宋" w:cs="华文中宋"/>
                <w:szCs w:val="21"/>
              </w:rPr>
            </w:pPr>
            <w:r>
              <w:rPr>
                <w:rFonts w:hint="eastAsia" w:ascii="华文中宋" w:hAnsi="华文中宋" w:eastAsia="华文中宋" w:cs="华文中宋"/>
                <w:szCs w:val="21"/>
              </w:rPr>
              <w:t>阀体、阀芯等材质必须满足招标文件技术要求，评委根据投标人主要部件材质的优劣、阀门性能的好坏进行评分，优秀得7-10分，良好得4-6分，一般得0-3分。</w:t>
            </w:r>
          </w:p>
        </w:tc>
        <w:tc>
          <w:tcPr>
            <w:tcW w:w="694" w:type="dxa"/>
            <w:vAlign w:val="center"/>
          </w:tcPr>
          <w:p>
            <w:pPr>
              <w:spacing w:line="288" w:lineRule="auto"/>
              <w:rPr>
                <w:rFonts w:ascii="华文中宋" w:hAnsi="华文中宋" w:eastAsia="华文中宋" w:cs="华文中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3" w:hRule="atLeast"/>
          <w:jc w:val="center"/>
        </w:trPr>
        <w:tc>
          <w:tcPr>
            <w:tcW w:w="1282" w:type="dxa"/>
            <w:vAlign w:val="center"/>
          </w:tcPr>
          <w:p>
            <w:pPr>
              <w:spacing w:line="288" w:lineRule="auto"/>
              <w:jc w:val="center"/>
              <w:rPr>
                <w:rFonts w:ascii="华文中宋" w:hAnsi="华文中宋" w:eastAsia="华文中宋" w:cs="华文中宋"/>
                <w:szCs w:val="21"/>
              </w:rPr>
            </w:pPr>
            <w:r>
              <w:rPr>
                <w:rFonts w:hint="eastAsia" w:ascii="华文中宋" w:hAnsi="华文中宋" w:eastAsia="华文中宋" w:cs="华文中宋"/>
                <w:szCs w:val="21"/>
              </w:rPr>
              <w:t>流量计与减压阀对招标文件的性能响应程度（12分）</w:t>
            </w:r>
          </w:p>
        </w:tc>
        <w:tc>
          <w:tcPr>
            <w:tcW w:w="1089" w:type="dxa"/>
            <w:vAlign w:val="center"/>
          </w:tcPr>
          <w:p>
            <w:pPr>
              <w:spacing w:line="288" w:lineRule="auto"/>
              <w:jc w:val="center"/>
              <w:rPr>
                <w:rFonts w:ascii="华文中宋" w:hAnsi="华文中宋" w:eastAsia="华文中宋" w:cs="华文中宋"/>
                <w:szCs w:val="21"/>
              </w:rPr>
            </w:pPr>
            <w:r>
              <w:rPr>
                <w:rFonts w:hint="eastAsia" w:ascii="华文中宋" w:hAnsi="华文中宋" w:eastAsia="华文中宋" w:cs="华文中宋"/>
                <w:szCs w:val="21"/>
              </w:rPr>
              <w:t>12</w:t>
            </w:r>
          </w:p>
        </w:tc>
        <w:tc>
          <w:tcPr>
            <w:tcW w:w="7235" w:type="dxa"/>
            <w:vAlign w:val="center"/>
          </w:tcPr>
          <w:p>
            <w:pPr>
              <w:spacing w:line="288" w:lineRule="auto"/>
              <w:rPr>
                <w:rFonts w:ascii="华文中宋" w:hAnsi="华文中宋" w:eastAsia="华文中宋" w:cs="华文中宋"/>
                <w:szCs w:val="21"/>
              </w:rPr>
            </w:pPr>
            <w:r>
              <w:rPr>
                <w:rFonts w:hint="eastAsia" w:ascii="华文中宋" w:hAnsi="华文中宋" w:eastAsia="华文中宋" w:cs="华文中宋"/>
                <w:szCs w:val="21"/>
              </w:rPr>
              <w:t>评委根据投标产品对招标技术要求的相应和性能优劣进行评分，优秀得9-12分，良好得5-8分，一般得0-4分。</w:t>
            </w:r>
          </w:p>
        </w:tc>
        <w:tc>
          <w:tcPr>
            <w:tcW w:w="694" w:type="dxa"/>
            <w:vAlign w:val="center"/>
          </w:tcPr>
          <w:p>
            <w:pPr>
              <w:spacing w:line="288" w:lineRule="auto"/>
              <w:rPr>
                <w:rFonts w:ascii="华文中宋" w:hAnsi="华文中宋" w:eastAsia="华文中宋" w:cs="华文中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5" w:hRule="atLeast"/>
          <w:jc w:val="center"/>
        </w:trPr>
        <w:tc>
          <w:tcPr>
            <w:tcW w:w="1282" w:type="dxa"/>
            <w:vMerge w:val="restart"/>
            <w:vAlign w:val="center"/>
          </w:tcPr>
          <w:p>
            <w:pPr>
              <w:spacing w:line="288" w:lineRule="auto"/>
              <w:jc w:val="center"/>
              <w:rPr>
                <w:rFonts w:ascii="华文中宋" w:hAnsi="华文中宋" w:eastAsia="华文中宋" w:cs="华文中宋"/>
                <w:szCs w:val="21"/>
              </w:rPr>
            </w:pPr>
            <w:r>
              <w:rPr>
                <w:rFonts w:hint="eastAsia" w:ascii="华文中宋" w:hAnsi="华文中宋" w:eastAsia="华文中宋" w:cs="华文中宋"/>
                <w:bCs/>
                <w:spacing w:val="-6"/>
                <w:szCs w:val="21"/>
              </w:rPr>
              <w:t>质保期、售后服务承诺</w:t>
            </w:r>
            <w:r>
              <w:rPr>
                <w:rFonts w:hint="eastAsia" w:ascii="华文中宋" w:hAnsi="华文中宋" w:eastAsia="华文中宋" w:cs="华文中宋"/>
                <w:szCs w:val="21"/>
              </w:rPr>
              <w:t>（12分）</w:t>
            </w:r>
          </w:p>
        </w:tc>
        <w:tc>
          <w:tcPr>
            <w:tcW w:w="1089" w:type="dxa"/>
            <w:vAlign w:val="center"/>
          </w:tcPr>
          <w:p>
            <w:pPr>
              <w:spacing w:line="288" w:lineRule="auto"/>
              <w:jc w:val="center"/>
              <w:rPr>
                <w:rFonts w:ascii="华文中宋" w:hAnsi="华文中宋" w:eastAsia="华文中宋" w:cs="华文中宋"/>
                <w:szCs w:val="21"/>
              </w:rPr>
            </w:pPr>
            <w:r>
              <w:rPr>
                <w:rFonts w:hint="eastAsia" w:ascii="华文中宋" w:hAnsi="华文中宋" w:eastAsia="华文中宋" w:cs="华文中宋"/>
                <w:szCs w:val="21"/>
              </w:rPr>
              <w:t>6</w:t>
            </w:r>
          </w:p>
        </w:tc>
        <w:tc>
          <w:tcPr>
            <w:tcW w:w="7235" w:type="dxa"/>
            <w:vAlign w:val="center"/>
          </w:tcPr>
          <w:p>
            <w:pPr>
              <w:spacing w:line="288" w:lineRule="auto"/>
              <w:rPr>
                <w:rFonts w:ascii="华文中宋" w:hAnsi="华文中宋" w:eastAsia="华文中宋" w:cs="华文中宋"/>
                <w:szCs w:val="21"/>
              </w:rPr>
            </w:pPr>
            <w:r>
              <w:rPr>
                <w:rFonts w:hint="eastAsia" w:ascii="华文中宋" w:hAnsi="华文中宋" w:eastAsia="华文中宋" w:cs="华文中宋"/>
                <w:szCs w:val="21"/>
              </w:rPr>
              <w:t>响应招标文件服务承诺0-6分：</w:t>
            </w:r>
          </w:p>
        </w:tc>
        <w:tc>
          <w:tcPr>
            <w:tcW w:w="694" w:type="dxa"/>
            <w:vAlign w:val="center"/>
          </w:tcPr>
          <w:p>
            <w:pPr>
              <w:spacing w:line="288" w:lineRule="auto"/>
              <w:rPr>
                <w:rFonts w:ascii="华文中宋" w:hAnsi="华文中宋" w:eastAsia="华文中宋" w:cs="华文中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82" w:type="dxa"/>
            <w:vMerge w:val="continue"/>
            <w:vAlign w:val="center"/>
          </w:tcPr>
          <w:p>
            <w:pPr>
              <w:spacing w:line="288" w:lineRule="auto"/>
              <w:jc w:val="center"/>
              <w:rPr>
                <w:rFonts w:ascii="华文中宋" w:hAnsi="华文中宋" w:eastAsia="华文中宋" w:cs="华文中宋"/>
                <w:bCs/>
                <w:spacing w:val="-6"/>
                <w:szCs w:val="21"/>
              </w:rPr>
            </w:pPr>
          </w:p>
        </w:tc>
        <w:tc>
          <w:tcPr>
            <w:tcW w:w="1089" w:type="dxa"/>
            <w:vAlign w:val="center"/>
          </w:tcPr>
          <w:p>
            <w:pPr>
              <w:spacing w:line="288" w:lineRule="auto"/>
              <w:jc w:val="center"/>
              <w:rPr>
                <w:rFonts w:ascii="华文中宋" w:hAnsi="华文中宋" w:eastAsia="华文中宋" w:cs="华文中宋"/>
                <w:szCs w:val="21"/>
              </w:rPr>
            </w:pPr>
            <w:r>
              <w:rPr>
                <w:rFonts w:hint="eastAsia" w:ascii="华文中宋" w:hAnsi="华文中宋" w:eastAsia="华文中宋" w:cs="华文中宋"/>
                <w:szCs w:val="21"/>
              </w:rPr>
              <w:t>6</w:t>
            </w:r>
          </w:p>
        </w:tc>
        <w:tc>
          <w:tcPr>
            <w:tcW w:w="7235" w:type="dxa"/>
            <w:vAlign w:val="center"/>
          </w:tcPr>
          <w:p>
            <w:pPr>
              <w:spacing w:line="288" w:lineRule="auto"/>
              <w:rPr>
                <w:rFonts w:ascii="华文中宋" w:hAnsi="华文中宋" w:eastAsia="华文中宋" w:cs="华文中宋"/>
                <w:szCs w:val="21"/>
              </w:rPr>
            </w:pPr>
            <w:r>
              <w:rPr>
                <w:rFonts w:hint="eastAsia" w:ascii="华文中宋" w:hAnsi="华文中宋" w:eastAsia="华文中宋" w:cs="华文中宋"/>
                <w:szCs w:val="21"/>
              </w:rPr>
              <w:t>详细完整的售后服务措施和方案（包括服务措施0-2分 、本地化服务0-2分、备品备件供应的及时性和可靠性0-2分）；</w:t>
            </w:r>
          </w:p>
        </w:tc>
        <w:tc>
          <w:tcPr>
            <w:tcW w:w="694" w:type="dxa"/>
            <w:vAlign w:val="center"/>
          </w:tcPr>
          <w:p>
            <w:pPr>
              <w:spacing w:line="288" w:lineRule="auto"/>
              <w:rPr>
                <w:rFonts w:ascii="华文中宋" w:hAnsi="华文中宋" w:eastAsia="华文中宋" w:cs="华文中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jc w:val="center"/>
        </w:trPr>
        <w:tc>
          <w:tcPr>
            <w:tcW w:w="9606" w:type="dxa"/>
            <w:gridSpan w:val="3"/>
            <w:vAlign w:val="center"/>
          </w:tcPr>
          <w:p>
            <w:pPr>
              <w:spacing w:line="288" w:lineRule="auto"/>
              <w:jc w:val="center"/>
              <w:rPr>
                <w:rFonts w:ascii="华文中宋" w:hAnsi="华文中宋" w:eastAsia="华文中宋" w:cs="华文中宋"/>
                <w:szCs w:val="21"/>
              </w:rPr>
            </w:pPr>
            <w:r>
              <w:rPr>
                <w:rFonts w:hint="eastAsia" w:ascii="华文中宋" w:hAnsi="华文中宋" w:eastAsia="华文中宋" w:cs="华文中宋"/>
                <w:szCs w:val="21"/>
              </w:rPr>
              <w:t xml:space="preserve">      总分（50分）</w:t>
            </w:r>
          </w:p>
        </w:tc>
        <w:tc>
          <w:tcPr>
            <w:tcW w:w="694" w:type="dxa"/>
            <w:vAlign w:val="center"/>
          </w:tcPr>
          <w:p>
            <w:pPr>
              <w:spacing w:line="288" w:lineRule="auto"/>
              <w:rPr>
                <w:rFonts w:ascii="华文中宋" w:hAnsi="华文中宋" w:eastAsia="华文中宋" w:cs="华文中宋"/>
                <w:szCs w:val="21"/>
              </w:rPr>
            </w:pPr>
          </w:p>
        </w:tc>
      </w:tr>
    </w:tbl>
    <w:p>
      <w:pPr>
        <w:pStyle w:val="4"/>
        <w:tabs>
          <w:tab w:val="left" w:pos="0"/>
        </w:tabs>
        <w:wordWrap w:val="0"/>
        <w:spacing w:after="0" w:line="440" w:lineRule="exact"/>
        <w:ind w:left="0" w:leftChars="0"/>
        <w:rPr>
          <w:rFonts w:ascii="华文细黑" w:hAnsi="华文细黑" w:eastAsia="华文细黑" w:cs="华文细黑"/>
          <w:sz w:val="24"/>
          <w:szCs w:val="24"/>
        </w:rPr>
      </w:pPr>
    </w:p>
    <w:sectPr>
      <w:headerReference r:id="rId12" w:type="first"/>
      <w:footerReference r:id="rId14" w:type="first"/>
      <w:headerReference r:id="rId11" w:type="default"/>
      <w:footerReference r:id="rId13" w:type="default"/>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Unicode MS">
    <w:panose1 w:val="020B0604020202020204"/>
    <w:charset w:val="86"/>
    <w:family w:val="roman"/>
    <w:pitch w:val="default"/>
    <w:sig w:usb0="FFFFFFFF" w:usb1="E9FFFFFF" w:usb2="0000003F" w:usb3="00000000" w:csb0="603F01FF" w:csb1="FFFF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2"/>
      <w:rPr>
        <w:rStyle w:val="10"/>
      </w:rPr>
    </w:pPr>
    <w:r>
      <w:fldChar w:fldCharType="begin"/>
    </w:r>
    <w:r>
      <w:rPr>
        <w:rStyle w:val="10"/>
      </w:rPr>
      <w:instrText xml:space="preserve">PAGE  </w:instrText>
    </w:r>
    <w: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rPr>
        <w:rStyle w:val="10"/>
      </w:rPr>
      <w:instrText xml:space="preserve"> PAGE </w:instrText>
    </w:r>
    <w:r>
      <w:fldChar w:fldCharType="separate"/>
    </w:r>
    <w:r>
      <w:rPr>
        <w:rStyle w:val="10"/>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6"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72A33"/>
    <w:multiLevelType w:val="singleLevel"/>
    <w:tmpl w:val="59672A3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FC7F3D"/>
    <w:rsid w:val="00013A3F"/>
    <w:rsid w:val="000825DD"/>
    <w:rsid w:val="00143657"/>
    <w:rsid w:val="002941BB"/>
    <w:rsid w:val="00320BC8"/>
    <w:rsid w:val="00737735"/>
    <w:rsid w:val="00810EA5"/>
    <w:rsid w:val="008235D6"/>
    <w:rsid w:val="00876AC8"/>
    <w:rsid w:val="00A0530C"/>
    <w:rsid w:val="00C64AA0"/>
    <w:rsid w:val="00D905C0"/>
    <w:rsid w:val="00D9566D"/>
    <w:rsid w:val="00E75AE7"/>
    <w:rsid w:val="00EC4E9C"/>
    <w:rsid w:val="07C904D2"/>
    <w:rsid w:val="07CD72E2"/>
    <w:rsid w:val="09AC7B34"/>
    <w:rsid w:val="100915C7"/>
    <w:rsid w:val="13AA5AD0"/>
    <w:rsid w:val="1E755027"/>
    <w:rsid w:val="22FF0BA8"/>
    <w:rsid w:val="25F76C1E"/>
    <w:rsid w:val="26212EF7"/>
    <w:rsid w:val="27622B4F"/>
    <w:rsid w:val="2BF96F6F"/>
    <w:rsid w:val="2D6B50D0"/>
    <w:rsid w:val="342D74E5"/>
    <w:rsid w:val="347D0A86"/>
    <w:rsid w:val="38EF7149"/>
    <w:rsid w:val="38FC7F3D"/>
    <w:rsid w:val="3A140A17"/>
    <w:rsid w:val="49D32A72"/>
    <w:rsid w:val="4AAC6732"/>
    <w:rsid w:val="55431FCD"/>
    <w:rsid w:val="57E906EE"/>
    <w:rsid w:val="67564F5E"/>
    <w:rsid w:val="67832C8C"/>
    <w:rsid w:val="6A683DA0"/>
    <w:rsid w:val="78E02710"/>
    <w:rsid w:val="7D1619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bidi="ar-SA"/>
    </w:rPr>
  </w:style>
  <w:style w:type="character" w:default="1" w:styleId="9">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2">
    <w:name w:val="Normal Indent"/>
    <w:basedOn w:val="1"/>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3">
    <w:name w:val="Body Text"/>
    <w:basedOn w:val="1"/>
    <w:qFormat/>
    <w:uiPriority w:val="0"/>
    <w:pPr>
      <w:widowControl/>
      <w:spacing w:before="100" w:beforeAutospacing="1" w:after="100" w:afterAutospacing="1"/>
      <w:jc w:val="left"/>
    </w:pPr>
    <w:rPr>
      <w:rFonts w:ascii="Arial Unicode MS" w:hAnsi="Arial Unicode MS" w:eastAsia="Arial Unicode MS" w:cs="Arial Unicode MS"/>
      <w:color w:val="000000"/>
      <w:kern w:val="0"/>
      <w:sz w:val="24"/>
    </w:rPr>
  </w:style>
  <w:style w:type="paragraph" w:styleId="4">
    <w:name w:val="Body Text Indent"/>
    <w:basedOn w:val="1"/>
    <w:qFormat/>
    <w:uiPriority w:val="0"/>
    <w:pPr>
      <w:spacing w:after="120"/>
      <w:ind w:left="420" w:leftChars="200"/>
    </w:pPr>
  </w:style>
  <w:style w:type="paragraph" w:styleId="5">
    <w:name w:val="Plain Text"/>
    <w:basedOn w:val="1"/>
    <w:link w:val="12"/>
    <w:qFormat/>
    <w:uiPriority w:val="0"/>
    <w:rPr>
      <w:rFonts w:ascii="宋体" w:hAnsi="Courier New"/>
      <w:szCs w:val="20"/>
    </w:rPr>
  </w:style>
  <w:style w:type="paragraph" w:styleId="6">
    <w:name w:val="footer"/>
    <w:basedOn w:val="1"/>
    <w:qFormat/>
    <w:uiPriority w:val="0"/>
    <w:pPr>
      <w:tabs>
        <w:tab w:val="center" w:pos="4153"/>
        <w:tab w:val="right" w:pos="8306"/>
      </w:tabs>
      <w:adjustRightInd w:val="0"/>
      <w:spacing w:line="240" w:lineRule="atLeast"/>
      <w:jc w:val="left"/>
      <w:textAlignment w:val="baseline"/>
    </w:pPr>
    <w:rPr>
      <w:kern w:val="0"/>
      <w:sz w:val="18"/>
    </w:rPr>
  </w:style>
  <w:style w:type="paragraph" w:styleId="7">
    <w:name w:val="header"/>
    <w:basedOn w:val="1"/>
    <w:qFormat/>
    <w:uiPriority w:val="0"/>
    <w:pPr>
      <w:pBdr>
        <w:bottom w:val="single" w:color="auto" w:sz="6" w:space="1"/>
      </w:pBdr>
      <w:tabs>
        <w:tab w:val="center" w:pos="4153"/>
        <w:tab w:val="right" w:pos="8306"/>
      </w:tabs>
      <w:adjustRightInd w:val="0"/>
      <w:spacing w:line="240" w:lineRule="atLeast"/>
      <w:jc w:val="center"/>
      <w:textAlignment w:val="baseline"/>
    </w:pPr>
    <w:rPr>
      <w:kern w:val="0"/>
      <w:sz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page number"/>
    <w:basedOn w:val="9"/>
    <w:qFormat/>
    <w:uiPriority w:val="0"/>
  </w:style>
  <w:style w:type="character" w:customStyle="1" w:styleId="12">
    <w:name w:val="纯文本 Char"/>
    <w:basedOn w:val="9"/>
    <w:link w:val="5"/>
    <w:qFormat/>
    <w:uiPriority w:val="0"/>
    <w:rPr>
      <w:rFonts w:ascii="宋体" w:hAnsi="Courier New" w:eastAsia="宋体"/>
      <w:kern w:val="2"/>
      <w:sz w:val="21"/>
    </w:rPr>
  </w:style>
  <w:style w:type="paragraph" w:styleId="13">
    <w:name w:val="List Paragraph"/>
    <w:basedOn w:val="1"/>
    <w:qFormat/>
    <w:uiPriority w:val="34"/>
    <w:pPr>
      <w:ind w:firstLine="420" w:firstLineChars="200"/>
    </w:pPr>
    <w:rPr>
      <w:rFonts w:eastAsiaTheme="minorEastAsi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652</Words>
  <Characters>3718</Characters>
  <Lines>30</Lines>
  <Paragraphs>8</Paragraphs>
  <TotalTime>26</TotalTime>
  <ScaleCrop>false</ScaleCrop>
  <LinksUpToDate>false</LinksUpToDate>
  <CharactersWithSpaces>4362</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2017-12-13T02:32:00Z</dcterms:created>
  <dc:creator>Hami猫不迷糊</dc:creator>
  <cp:lastModifiedBy>Hami猫不迷糊</cp:lastModifiedBy>
  <cp:lastPrinted>2018-12-11T00:51:00Z</cp:lastPrinted>
  <dcterms:modified xsi:type="dcterms:W3CDTF">2018-12-19T06:19:46Z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